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Arial" w:cs="Arial" w:eastAsia="Arial" w:hAnsi="Arial"/>
          <w:sz w:val="16"/>
          <w:szCs w:val="16"/>
          <w:b w:val="1"/>
          <w:bCs w:val="1"/>
          <w:color w:val="auto"/>
        </w:rPr>
        <w:t>UNITED STATES</w:t>
      </w:r>
    </w:p>
    <w:p>
      <w:pPr>
        <w:spacing w:after="0" w:line="100" w:lineRule="exact"/>
        <w:rPr>
          <w:sz w:val="24"/>
          <w:szCs w:val="24"/>
          <w:color w:val="auto"/>
        </w:rPr>
      </w:pPr>
    </w:p>
    <w:p>
      <w:pPr>
        <w:jc w:val="center"/>
        <w:ind w:right="-1040"/>
        <w:spacing w:after="0"/>
        <w:rPr>
          <w:sz w:val="20"/>
          <w:szCs w:val="20"/>
          <w:color w:val="auto"/>
        </w:rPr>
      </w:pPr>
      <w:r>
        <w:rPr>
          <w:rFonts w:ascii="Arial" w:cs="Arial" w:eastAsia="Arial" w:hAnsi="Arial"/>
          <w:sz w:val="16"/>
          <w:szCs w:val="16"/>
          <w:b w:val="1"/>
          <w:bCs w:val="1"/>
          <w:color w:val="auto"/>
        </w:rPr>
        <w:t>SECURITIES AND EXCHANGE COMMISSION</w:t>
      </w:r>
    </w:p>
    <w:p>
      <w:pPr>
        <w:spacing w:after="0" w:line="100" w:lineRule="exact"/>
        <w:rPr>
          <w:sz w:val="24"/>
          <w:szCs w:val="24"/>
          <w:color w:val="auto"/>
        </w:rPr>
      </w:pPr>
    </w:p>
    <w:p>
      <w:pPr>
        <w:jc w:val="center"/>
        <w:ind w:right="-1040"/>
        <w:spacing w:after="0"/>
        <w:rPr>
          <w:sz w:val="20"/>
          <w:szCs w:val="20"/>
          <w:color w:val="auto"/>
        </w:rPr>
      </w:pPr>
      <w:r>
        <w:rPr>
          <w:rFonts w:ascii="Arial" w:cs="Arial" w:eastAsia="Arial" w:hAnsi="Arial"/>
          <w:sz w:val="16"/>
          <w:szCs w:val="16"/>
          <w:color w:val="auto"/>
        </w:rPr>
        <w:t>Washington, DC 20549</w:t>
      </w:r>
    </w:p>
    <w:p>
      <w:pPr>
        <w:spacing w:after="0" w:line="197" w:lineRule="exact"/>
        <w:rPr>
          <w:sz w:val="24"/>
          <w:szCs w:val="24"/>
          <w:color w:val="auto"/>
        </w:rPr>
      </w:pPr>
    </w:p>
    <w:p>
      <w:pPr>
        <w:ind w:left="3700"/>
        <w:spacing w:after="0"/>
        <w:rPr>
          <w:sz w:val="20"/>
          <w:szCs w:val="20"/>
          <w:color w:val="auto"/>
        </w:rPr>
      </w:pPr>
      <w:r>
        <w:rPr>
          <w:rFonts w:ascii="Arial" w:cs="Arial" w:eastAsia="Arial" w:hAnsi="Arial"/>
          <w:sz w:val="25"/>
          <w:szCs w:val="25"/>
          <w:b w:val="1"/>
          <w:bCs w:val="1"/>
          <w:color w:val="0233A1"/>
        </w:rPr>
        <w:t>SCHEDULE 14A INFORMATION</w:t>
      </w:r>
    </w:p>
    <w:p>
      <w:pPr>
        <w:spacing w:after="0" w:line="222" w:lineRule="exact"/>
        <w:rPr>
          <w:sz w:val="24"/>
          <w:szCs w:val="24"/>
          <w:color w:val="auto"/>
        </w:rPr>
      </w:pPr>
    </w:p>
    <w:p>
      <w:pPr>
        <w:jc w:val="center"/>
        <w:ind w:right="-1000"/>
        <w:spacing w:after="0"/>
        <w:rPr>
          <w:sz w:val="20"/>
          <w:szCs w:val="20"/>
          <w:color w:val="auto"/>
        </w:rPr>
      </w:pPr>
      <w:r>
        <w:rPr>
          <w:rFonts w:ascii="Arial" w:cs="Arial" w:eastAsia="Arial" w:hAnsi="Arial"/>
          <w:sz w:val="16"/>
          <w:szCs w:val="16"/>
          <w:b w:val="1"/>
          <w:bCs w:val="1"/>
          <w:color w:val="auto"/>
        </w:rPr>
        <w:t>PROXY STATEMENT PURSUANT TO SECTION 14(A)</w:t>
      </w:r>
    </w:p>
    <w:p>
      <w:pPr>
        <w:spacing w:after="0" w:line="21" w:lineRule="exact"/>
        <w:rPr>
          <w:sz w:val="24"/>
          <w:szCs w:val="24"/>
          <w:color w:val="auto"/>
        </w:rPr>
      </w:pPr>
    </w:p>
    <w:p>
      <w:pPr>
        <w:jc w:val="center"/>
        <w:ind w:right="-1040"/>
        <w:spacing w:after="0"/>
        <w:rPr>
          <w:sz w:val="20"/>
          <w:szCs w:val="20"/>
          <w:color w:val="auto"/>
        </w:rPr>
      </w:pPr>
      <w:r>
        <w:rPr>
          <w:rFonts w:ascii="Arial" w:cs="Arial" w:eastAsia="Arial" w:hAnsi="Arial"/>
          <w:sz w:val="16"/>
          <w:szCs w:val="16"/>
          <w:b w:val="1"/>
          <w:bCs w:val="1"/>
          <w:color w:val="auto"/>
        </w:rPr>
        <w:t>OF THE SECURITIES EXCHANGE ACT OF 1934</w:t>
      </w:r>
    </w:p>
    <w:p>
      <w:pPr>
        <w:spacing w:after="0" w:line="5" w:lineRule="exact"/>
        <w:rPr>
          <w:sz w:val="24"/>
          <w:szCs w:val="24"/>
          <w:color w:val="auto"/>
        </w:rPr>
      </w:pPr>
    </w:p>
    <w:p>
      <w:pPr>
        <w:jc w:val="center"/>
        <w:ind w:right="-1040"/>
        <w:spacing w:after="0"/>
        <w:rPr>
          <w:sz w:val="20"/>
          <w:szCs w:val="20"/>
          <w:color w:val="auto"/>
        </w:rPr>
      </w:pPr>
      <w:r>
        <w:rPr>
          <w:rFonts w:ascii="Arial" w:cs="Arial" w:eastAsia="Arial" w:hAnsi="Arial"/>
          <w:sz w:val="16"/>
          <w:szCs w:val="16"/>
          <w:b w:val="1"/>
          <w:bCs w:val="1"/>
          <w:color w:val="auto"/>
        </w:rPr>
        <w:t>(Amendment No. ___)</w:t>
      </w:r>
    </w:p>
    <w:p>
      <w:pPr>
        <w:spacing w:after="0" w:line="183" w:lineRule="exact"/>
        <w:rPr>
          <w:sz w:val="24"/>
          <w:szCs w:val="24"/>
          <w:color w:val="auto"/>
        </w:rPr>
      </w:pPr>
    </w:p>
    <w:p>
      <w:pPr>
        <w:ind w:left="1240"/>
        <w:spacing w:after="0"/>
        <w:rPr>
          <w:sz w:val="20"/>
          <w:szCs w:val="20"/>
          <w:color w:val="auto"/>
        </w:rPr>
      </w:pPr>
      <w:r>
        <w:rPr>
          <w:sz w:val="1"/>
          <w:szCs w:val="1"/>
          <w:color w:val="auto"/>
        </w:rPr>
        <w:drawing>
          <wp:inline distT="0" distB="0" distL="0" distR="0">
            <wp:extent cx="214630" cy="2146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4630" cy="214630"/>
                    </a:xfrm>
                    <a:prstGeom prst="rect">
                      <a:avLst/>
                    </a:prstGeom>
                    <a:noFill/>
                    <a:ln>
                      <a:noFill/>
                    </a:ln>
                  </pic:spPr>
                </pic:pic>
              </a:graphicData>
            </a:graphic>
          </wp:inline>
        </w:drawing>
      </w:r>
      <w:r>
        <w:rPr>
          <w:rFonts w:ascii="Arial" w:cs="Arial" w:eastAsia="Arial" w:hAnsi="Arial"/>
          <w:sz w:val="16"/>
          <w:szCs w:val="16"/>
          <w:color w:val="auto"/>
        </w:rPr>
        <w:t xml:space="preserve"> Filed by the Registrant                             </w:t>
      </w:r>
      <w:r>
        <w:rPr>
          <w:sz w:val="1"/>
          <w:szCs w:val="1"/>
          <w:color w:val="auto"/>
        </w:rPr>
        <w:drawing>
          <wp:inline distT="0" distB="0" distL="0" distR="0">
            <wp:extent cx="214630" cy="21463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4630" cy="214630"/>
                    </a:xfrm>
                    <a:prstGeom prst="rect">
                      <a:avLst/>
                    </a:prstGeom>
                    <a:noFill/>
                    <a:ln>
                      <a:noFill/>
                    </a:ln>
                  </pic:spPr>
                </pic:pic>
              </a:graphicData>
            </a:graphic>
          </wp:inline>
        </w:drawing>
      </w:r>
      <w:r>
        <w:rPr>
          <w:rFonts w:ascii="Arial" w:cs="Arial" w:eastAsia="Arial" w:hAnsi="Arial"/>
          <w:sz w:val="16"/>
          <w:szCs w:val="16"/>
          <w:color w:val="auto"/>
        </w:rPr>
        <w:t xml:space="preserve"> Filed by a Party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121285</wp:posOffset>
            </wp:positionV>
            <wp:extent cx="7132320" cy="14147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41478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Check the appropriate box:</w:t>
      </w:r>
    </w:p>
    <w:p>
      <w:pPr>
        <w:spacing w:after="0" w:line="203" w:lineRule="exact"/>
        <w:rPr>
          <w:sz w:val="24"/>
          <w:szCs w:val="24"/>
          <w:color w:val="auto"/>
        </w:rPr>
      </w:pPr>
    </w:p>
    <w:p>
      <w:pPr>
        <w:ind w:left="560"/>
        <w:spacing w:after="0"/>
        <w:rPr>
          <w:sz w:val="20"/>
          <w:szCs w:val="20"/>
          <w:color w:val="auto"/>
        </w:rPr>
      </w:pPr>
      <w:r>
        <w:rPr>
          <w:rFonts w:ascii="Arial" w:cs="Arial" w:eastAsia="Arial" w:hAnsi="Arial"/>
          <w:sz w:val="16"/>
          <w:szCs w:val="16"/>
          <w:color w:val="auto"/>
        </w:rPr>
        <w:t>Preliminary Proxy Statement</w:t>
      </w:r>
    </w:p>
    <w:p>
      <w:pPr>
        <w:spacing w:after="0" w:line="208" w:lineRule="exact"/>
        <w:rPr>
          <w:sz w:val="24"/>
          <w:szCs w:val="24"/>
          <w:color w:val="auto"/>
        </w:rPr>
      </w:pPr>
    </w:p>
    <w:p>
      <w:pPr>
        <w:ind w:left="560"/>
        <w:spacing w:after="0"/>
        <w:rPr>
          <w:sz w:val="20"/>
          <w:szCs w:val="20"/>
          <w:color w:val="auto"/>
        </w:rPr>
      </w:pPr>
      <w:r>
        <w:rPr>
          <w:rFonts w:ascii="Arial" w:cs="Arial" w:eastAsia="Arial" w:hAnsi="Arial"/>
          <w:sz w:val="16"/>
          <w:szCs w:val="16"/>
          <w:color w:val="auto"/>
        </w:rPr>
        <w:t>Confidential, for Use of the Commission Only (as permitted by Rule 14A-6(e)(2))</w:t>
      </w:r>
    </w:p>
    <w:p>
      <w:pPr>
        <w:spacing w:after="0" w:line="208" w:lineRule="exact"/>
        <w:rPr>
          <w:sz w:val="24"/>
          <w:szCs w:val="24"/>
          <w:color w:val="auto"/>
        </w:rPr>
      </w:pPr>
    </w:p>
    <w:p>
      <w:pPr>
        <w:ind w:left="560"/>
        <w:spacing w:after="0"/>
        <w:rPr>
          <w:sz w:val="20"/>
          <w:szCs w:val="20"/>
          <w:color w:val="auto"/>
        </w:rPr>
      </w:pPr>
      <w:r>
        <w:rPr>
          <w:rFonts w:ascii="Arial" w:cs="Arial" w:eastAsia="Arial" w:hAnsi="Arial"/>
          <w:sz w:val="16"/>
          <w:szCs w:val="16"/>
          <w:color w:val="auto"/>
        </w:rPr>
        <w:t>Definitive Proxy Statement</w:t>
      </w:r>
    </w:p>
    <w:p>
      <w:pPr>
        <w:spacing w:after="0" w:line="208" w:lineRule="exact"/>
        <w:rPr>
          <w:sz w:val="24"/>
          <w:szCs w:val="24"/>
          <w:color w:val="auto"/>
        </w:rPr>
      </w:pPr>
    </w:p>
    <w:p>
      <w:pPr>
        <w:ind w:left="560"/>
        <w:spacing w:after="0"/>
        <w:rPr>
          <w:sz w:val="20"/>
          <w:szCs w:val="20"/>
          <w:color w:val="auto"/>
        </w:rPr>
      </w:pPr>
      <w:r>
        <w:rPr>
          <w:rFonts w:ascii="Arial" w:cs="Arial" w:eastAsia="Arial" w:hAnsi="Arial"/>
          <w:sz w:val="16"/>
          <w:szCs w:val="16"/>
          <w:color w:val="auto"/>
        </w:rPr>
        <w:t>Definitive Additional Materials</w:t>
      </w:r>
    </w:p>
    <w:p>
      <w:pPr>
        <w:spacing w:after="0" w:line="208" w:lineRule="exact"/>
        <w:rPr>
          <w:sz w:val="24"/>
          <w:szCs w:val="24"/>
          <w:color w:val="auto"/>
        </w:rPr>
      </w:pPr>
    </w:p>
    <w:p>
      <w:pPr>
        <w:ind w:left="560"/>
        <w:spacing w:after="0"/>
        <w:rPr>
          <w:sz w:val="20"/>
          <w:szCs w:val="20"/>
          <w:color w:val="auto"/>
        </w:rPr>
      </w:pPr>
      <w:r>
        <w:rPr>
          <w:rFonts w:ascii="Arial" w:cs="Arial" w:eastAsia="Arial" w:hAnsi="Arial"/>
          <w:sz w:val="16"/>
          <w:szCs w:val="16"/>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3104515</wp:posOffset>
            </wp:positionH>
            <wp:positionV relativeFrom="paragraph">
              <wp:posOffset>158115</wp:posOffset>
            </wp:positionV>
            <wp:extent cx="857250" cy="514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57250"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ind w:right="-1040"/>
        <w:spacing w:after="0"/>
        <w:rPr>
          <w:sz w:val="20"/>
          <w:szCs w:val="20"/>
          <w:color w:val="auto"/>
        </w:rPr>
      </w:pPr>
      <w:r>
        <w:rPr>
          <w:rFonts w:ascii="Arial" w:cs="Arial" w:eastAsia="Arial" w:hAnsi="Arial"/>
          <w:sz w:val="35"/>
          <w:szCs w:val="35"/>
          <w:b w:val="1"/>
          <w:bCs w:val="1"/>
          <w:color w:val="auto"/>
        </w:rPr>
        <w:t>SCHLUMBERGER N.V. (SCHLUMBERGER LIMITED)</w:t>
      </w:r>
    </w:p>
    <w:p>
      <w:pPr>
        <w:spacing w:after="0" w:line="231" w:lineRule="exact"/>
        <w:rPr>
          <w:sz w:val="24"/>
          <w:szCs w:val="24"/>
          <w:color w:val="auto"/>
        </w:rPr>
      </w:pPr>
    </w:p>
    <w:p>
      <w:pPr>
        <w:jc w:val="center"/>
        <w:ind w:right="-1040"/>
        <w:spacing w:after="0"/>
        <w:rPr>
          <w:sz w:val="20"/>
          <w:szCs w:val="20"/>
          <w:color w:val="auto"/>
        </w:rPr>
      </w:pPr>
      <w:r>
        <w:rPr>
          <w:rFonts w:ascii="Arial" w:cs="Arial" w:eastAsia="Arial" w:hAnsi="Arial"/>
          <w:sz w:val="16"/>
          <w:szCs w:val="16"/>
          <w:i w:val="1"/>
          <w:iCs w:val="1"/>
          <w:color w:val="auto"/>
        </w:rPr>
        <w:t>(Name of Registrant as Specified in Its Charter)</w:t>
      </w:r>
    </w:p>
    <w:p>
      <w:pPr>
        <w:spacing w:after="0" w:line="100" w:lineRule="exact"/>
        <w:rPr>
          <w:sz w:val="24"/>
          <w:szCs w:val="24"/>
          <w:color w:val="auto"/>
        </w:rPr>
      </w:pPr>
    </w:p>
    <w:p>
      <w:pPr>
        <w:jc w:val="center"/>
        <w:ind w:right="-1040"/>
        <w:spacing w:after="0"/>
        <w:rPr>
          <w:sz w:val="20"/>
          <w:szCs w:val="20"/>
          <w:color w:val="auto"/>
        </w:rPr>
      </w:pPr>
      <w:r>
        <w:rPr>
          <w:rFonts w:ascii="Arial" w:cs="Arial" w:eastAsia="Arial" w:hAnsi="Arial"/>
          <w:sz w:val="16"/>
          <w:szCs w:val="16"/>
          <w:i w:val="1"/>
          <w:i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53975</wp:posOffset>
            </wp:positionV>
            <wp:extent cx="7132320" cy="916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916940"/>
                    </a:xfrm>
                    <a:prstGeom prst="rect">
                      <a:avLst/>
                    </a:prstGeom>
                    <a:noFill/>
                  </pic:spPr>
                </pic:pic>
              </a:graphicData>
            </a:graphic>
          </wp:anchor>
        </w:drawing>
      </w:r>
    </w:p>
    <w:p>
      <w:pPr>
        <w:spacing w:after="0" w:line="8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Payment of Filing Fee (Check all boxes that apply):</w:t>
      </w:r>
    </w:p>
    <w:p>
      <w:pPr>
        <w:spacing w:after="0" w:line="203" w:lineRule="exact"/>
        <w:rPr>
          <w:sz w:val="24"/>
          <w:szCs w:val="24"/>
          <w:color w:val="auto"/>
        </w:rPr>
      </w:pPr>
    </w:p>
    <w:p>
      <w:pPr>
        <w:ind w:left="560"/>
        <w:spacing w:after="0"/>
        <w:rPr>
          <w:sz w:val="20"/>
          <w:szCs w:val="20"/>
          <w:color w:val="auto"/>
        </w:rPr>
      </w:pPr>
      <w:r>
        <w:rPr>
          <w:rFonts w:ascii="Arial" w:cs="Arial" w:eastAsia="Arial" w:hAnsi="Arial"/>
          <w:sz w:val="16"/>
          <w:szCs w:val="16"/>
          <w:color w:val="auto"/>
        </w:rPr>
        <w:t>No fee required</w:t>
      </w:r>
    </w:p>
    <w:p>
      <w:pPr>
        <w:spacing w:after="0" w:line="208" w:lineRule="exact"/>
        <w:rPr>
          <w:sz w:val="24"/>
          <w:szCs w:val="24"/>
          <w:color w:val="auto"/>
        </w:rPr>
      </w:pPr>
    </w:p>
    <w:p>
      <w:pPr>
        <w:ind w:left="560"/>
        <w:spacing w:after="0"/>
        <w:rPr>
          <w:sz w:val="20"/>
          <w:szCs w:val="20"/>
          <w:color w:val="auto"/>
        </w:rPr>
      </w:pPr>
      <w:r>
        <w:rPr>
          <w:rFonts w:ascii="Arial" w:cs="Arial" w:eastAsia="Arial" w:hAnsi="Arial"/>
          <w:sz w:val="16"/>
          <w:szCs w:val="16"/>
          <w:color w:val="auto"/>
        </w:rPr>
        <w:t>Fee paid previously with preliminary materials</w:t>
      </w:r>
    </w:p>
    <w:p>
      <w:pPr>
        <w:spacing w:after="0" w:line="208" w:lineRule="exact"/>
        <w:rPr>
          <w:sz w:val="24"/>
          <w:szCs w:val="24"/>
          <w:color w:val="auto"/>
        </w:rPr>
      </w:pPr>
    </w:p>
    <w:p>
      <w:pPr>
        <w:ind w:left="560"/>
        <w:spacing w:after="0"/>
        <w:rPr>
          <w:sz w:val="20"/>
          <w:szCs w:val="20"/>
          <w:color w:val="auto"/>
        </w:rPr>
      </w:pP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183515</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079"/>
          </w:cols>
          <w:pgMar w:left="380" w:top="233"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268605</wp:posOffset>
            </wp:positionV>
            <wp:extent cx="7132320" cy="9292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9292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49"/>
          <w:szCs w:val="49"/>
          <w:color w:val="FFFFFF"/>
        </w:rPr>
        <w:t>2023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474980</wp:posOffset>
            </wp:positionV>
            <wp:extent cx="471170" cy="23145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7117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840"/>
        <w:spacing w:after="0"/>
        <w:rPr>
          <w:sz w:val="20"/>
          <w:szCs w:val="20"/>
          <w:color w:val="auto"/>
        </w:rPr>
      </w:pPr>
      <w:r>
        <w:rPr>
          <w:rFonts w:ascii="Arial" w:cs="Arial" w:eastAsia="Arial" w:hAnsi="Arial"/>
          <w:sz w:val="47"/>
          <w:szCs w:val="47"/>
          <w:color w:val="0233A1"/>
          <w:vertAlign w:val="superscript"/>
        </w:rPr>
        <w:t>$</w:t>
      </w:r>
      <w:r>
        <w:rPr>
          <w:rFonts w:ascii="Arial" w:cs="Arial" w:eastAsia="Arial" w:hAnsi="Arial"/>
          <w:sz w:val="47"/>
          <w:szCs w:val="47"/>
          <w:color w:val="0233A1"/>
        </w:rPr>
        <w:t xml:space="preserve">33.14 </w:t>
      </w:r>
      <w:r>
        <w:rPr>
          <w:rFonts w:ascii="Arial" w:cs="Arial" w:eastAsia="Arial" w:hAnsi="Arial"/>
          <w:sz w:val="25"/>
          <w:szCs w:val="25"/>
          <w:color w:val="0233A1"/>
        </w:rPr>
        <w:t>billion</w:t>
      </w:r>
    </w:p>
    <w:p>
      <w:pPr>
        <w:spacing w:after="0" w:line="3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100330</wp:posOffset>
            </wp:positionV>
            <wp:extent cx="20828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82800" cy="8890"/>
                    </a:xfrm>
                    <a:prstGeom prst="rect">
                      <a:avLst/>
                    </a:prstGeom>
                    <a:noFill/>
                  </pic:spPr>
                </pic:pic>
              </a:graphicData>
            </a:graphic>
          </wp:anchor>
        </w:drawing>
      </w:r>
    </w:p>
    <w:p>
      <w:pPr>
        <w:spacing w:after="0" w:line="290" w:lineRule="exact"/>
        <w:rPr>
          <w:sz w:val="20"/>
          <w:szCs w:val="20"/>
          <w:color w:val="auto"/>
        </w:rPr>
      </w:pPr>
    </w:p>
    <w:p>
      <w:pPr>
        <w:ind w:left="840"/>
        <w:spacing w:after="0"/>
        <w:rPr>
          <w:sz w:val="20"/>
          <w:szCs w:val="20"/>
          <w:color w:val="auto"/>
        </w:rPr>
      </w:pPr>
      <w:r>
        <w:rPr>
          <w:rFonts w:ascii="Arial" w:cs="Arial" w:eastAsia="Arial" w:hAnsi="Arial"/>
          <w:sz w:val="47"/>
          <w:szCs w:val="47"/>
          <w:color w:val="0233A1"/>
          <w:vertAlign w:val="superscript"/>
        </w:rPr>
        <w:t>$</w:t>
      </w:r>
      <w:r>
        <w:rPr>
          <w:rFonts w:ascii="Arial" w:cs="Arial" w:eastAsia="Arial" w:hAnsi="Arial"/>
          <w:sz w:val="47"/>
          <w:szCs w:val="47"/>
          <w:color w:val="0233A1"/>
        </w:rPr>
        <w:t xml:space="preserve">2.0 </w:t>
      </w:r>
      <w:r>
        <w:rPr>
          <w:rFonts w:ascii="Arial" w:cs="Arial" w:eastAsia="Arial" w:hAnsi="Arial"/>
          <w:sz w:val="25"/>
          <w:szCs w:val="25"/>
          <w:color w:val="0233A1"/>
        </w:rPr>
        <w:t>billion</w:t>
      </w:r>
    </w:p>
    <w:p>
      <w:pPr>
        <w:spacing w:after="0" w:line="36" w:lineRule="exact"/>
        <w:rPr>
          <w:sz w:val="20"/>
          <w:szCs w:val="20"/>
          <w:color w:val="auto"/>
        </w:rPr>
      </w:pPr>
    </w:p>
    <w:p>
      <w:pPr>
        <w:ind w:left="840" w:right="560"/>
        <w:spacing w:after="0" w:line="250" w:lineRule="auto"/>
        <w:rPr>
          <w:sz w:val="20"/>
          <w:szCs w:val="20"/>
          <w:color w:val="auto"/>
        </w:rPr>
      </w:pPr>
      <w:r>
        <w:rPr>
          <w:rFonts w:ascii="Arial" w:cs="Arial" w:eastAsia="Arial" w:hAnsi="Arial"/>
          <w:sz w:val="18"/>
          <w:szCs w:val="18"/>
          <w:color w:val="auto"/>
        </w:rPr>
        <w:t>returned to shareholders through dividends and share repurchases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112395</wp:posOffset>
            </wp:positionV>
            <wp:extent cx="20828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201" w:lineRule="exact"/>
        <w:rPr>
          <w:sz w:val="20"/>
          <w:szCs w:val="20"/>
          <w:color w:val="auto"/>
        </w:rPr>
      </w:pPr>
    </w:p>
    <w:p>
      <w:pPr>
        <w:ind w:left="840"/>
        <w:spacing w:after="0"/>
        <w:rPr>
          <w:sz w:val="20"/>
          <w:szCs w:val="20"/>
          <w:color w:val="auto"/>
        </w:rPr>
      </w:pPr>
      <w:r>
        <w:rPr>
          <w:rFonts w:ascii="Arial" w:cs="Arial" w:eastAsia="Arial" w:hAnsi="Arial"/>
          <w:sz w:val="47"/>
          <w:szCs w:val="47"/>
          <w:color w:val="0233A1"/>
          <w:vertAlign w:val="superscript"/>
        </w:rPr>
        <w:t>$</w:t>
      </w:r>
      <w:r>
        <w:rPr>
          <w:rFonts w:ascii="Arial" w:cs="Arial" w:eastAsia="Arial" w:hAnsi="Arial"/>
          <w:sz w:val="47"/>
          <w:szCs w:val="47"/>
          <w:color w:val="0233A1"/>
        </w:rPr>
        <w:t xml:space="preserve">4.20 </w:t>
      </w:r>
      <w:r>
        <w:rPr>
          <w:rFonts w:ascii="Arial" w:cs="Arial" w:eastAsia="Arial" w:hAnsi="Arial"/>
          <w:sz w:val="25"/>
          <w:szCs w:val="25"/>
          <w:color w:val="0233A1"/>
        </w:rPr>
        <w:t>billion</w:t>
      </w:r>
    </w:p>
    <w:p>
      <w:pPr>
        <w:spacing w:after="0" w:line="3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net income attributable to SLB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48895</wp:posOffset>
            </wp:positionV>
            <wp:extent cx="20828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82800" cy="8890"/>
                    </a:xfrm>
                    <a:prstGeom prst="rect">
                      <a:avLst/>
                    </a:prstGeom>
                    <a:noFill/>
                  </pic:spPr>
                </pic:pic>
              </a:graphicData>
            </a:graphic>
          </wp:anchor>
        </w:drawing>
      </w:r>
    </w:p>
    <w:p>
      <w:pPr>
        <w:spacing w:after="0" w:line="101" w:lineRule="exact"/>
        <w:rPr>
          <w:sz w:val="20"/>
          <w:szCs w:val="20"/>
          <w:color w:val="auto"/>
        </w:rPr>
      </w:pPr>
    </w:p>
    <w:p>
      <w:pPr>
        <w:ind w:left="840"/>
        <w:spacing w:after="0"/>
        <w:rPr>
          <w:sz w:val="20"/>
          <w:szCs w:val="20"/>
          <w:color w:val="auto"/>
        </w:rPr>
      </w:pPr>
      <w:r>
        <w:rPr>
          <w:rFonts w:ascii="Arial" w:cs="Arial" w:eastAsia="Arial" w:hAnsi="Arial"/>
          <w:sz w:val="47"/>
          <w:szCs w:val="47"/>
          <w:color w:val="0233A1"/>
          <w:vertAlign w:val="superscript"/>
        </w:rPr>
        <w:t>$</w:t>
      </w:r>
      <w:r>
        <w:rPr>
          <w:rFonts w:ascii="Arial" w:cs="Arial" w:eastAsia="Arial" w:hAnsi="Arial"/>
          <w:sz w:val="47"/>
          <w:szCs w:val="47"/>
          <w:color w:val="0233A1"/>
        </w:rPr>
        <w:t xml:space="preserve">8.11 </w:t>
      </w:r>
      <w:r>
        <w:rPr>
          <w:rFonts w:ascii="Arial" w:cs="Arial" w:eastAsia="Arial" w:hAnsi="Arial"/>
          <w:sz w:val="25"/>
          <w:szCs w:val="25"/>
          <w:color w:val="0233A1"/>
        </w:rPr>
        <w:t>billion</w:t>
      </w:r>
    </w:p>
    <w:p>
      <w:pPr>
        <w:spacing w:after="0" w:line="3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adjusted EBITDA</w:t>
      </w:r>
      <w:r>
        <w:rPr>
          <w:rFonts w:ascii="Arial" w:cs="Arial" w:eastAsia="Arial" w:hAnsi="Arial"/>
          <w:sz w:val="29"/>
          <w:szCs w:val="29"/>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-5080</wp:posOffset>
            </wp:positionV>
            <wp:extent cx="20828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34" w:lineRule="exact"/>
        <w:rPr>
          <w:sz w:val="20"/>
          <w:szCs w:val="20"/>
          <w:color w:val="auto"/>
        </w:rPr>
      </w:pPr>
    </w:p>
    <w:p>
      <w:pPr>
        <w:ind w:left="840"/>
        <w:spacing w:after="0"/>
        <w:rPr>
          <w:sz w:val="20"/>
          <w:szCs w:val="20"/>
          <w:color w:val="auto"/>
        </w:rPr>
      </w:pPr>
      <w:r>
        <w:rPr>
          <w:rFonts w:ascii="Arial" w:cs="Arial" w:eastAsia="Arial" w:hAnsi="Arial"/>
          <w:sz w:val="47"/>
          <w:szCs w:val="47"/>
          <w:color w:val="0233A1"/>
          <w:vertAlign w:val="superscript"/>
        </w:rPr>
        <w:t>$</w:t>
      </w:r>
      <w:r>
        <w:rPr>
          <w:rFonts w:ascii="Arial" w:cs="Arial" w:eastAsia="Arial" w:hAnsi="Arial"/>
          <w:sz w:val="47"/>
          <w:szCs w:val="47"/>
          <w:color w:val="0233A1"/>
        </w:rPr>
        <w:t xml:space="preserve">6.64 </w:t>
      </w:r>
      <w:r>
        <w:rPr>
          <w:rFonts w:ascii="Arial" w:cs="Arial" w:eastAsia="Arial" w:hAnsi="Arial"/>
          <w:sz w:val="25"/>
          <w:szCs w:val="25"/>
          <w:color w:val="0233A1"/>
        </w:rPr>
        <w:t>billion</w:t>
      </w:r>
    </w:p>
    <w:p>
      <w:pPr>
        <w:spacing w:after="0" w:line="1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cash flow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48895</wp:posOffset>
            </wp:positionV>
            <wp:extent cx="20828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82800" cy="8890"/>
                    </a:xfrm>
                    <a:prstGeom prst="rect">
                      <a:avLst/>
                    </a:prstGeom>
                    <a:noFill/>
                  </pic:spPr>
                </pic:pic>
              </a:graphicData>
            </a:graphic>
          </wp:anchor>
        </w:drawing>
      </w:r>
    </w:p>
    <w:p>
      <w:pPr>
        <w:spacing w:after="0" w:line="182" w:lineRule="exact"/>
        <w:rPr>
          <w:sz w:val="20"/>
          <w:szCs w:val="20"/>
          <w:color w:val="auto"/>
        </w:rPr>
      </w:pPr>
    </w:p>
    <w:p>
      <w:pPr>
        <w:ind w:left="840"/>
        <w:spacing w:after="0"/>
        <w:rPr>
          <w:sz w:val="20"/>
          <w:szCs w:val="20"/>
          <w:color w:val="auto"/>
        </w:rPr>
      </w:pPr>
      <w:r>
        <w:rPr>
          <w:rFonts w:ascii="Arial" w:cs="Arial" w:eastAsia="Arial" w:hAnsi="Arial"/>
          <w:sz w:val="47"/>
          <w:szCs w:val="47"/>
          <w:color w:val="0233A1"/>
          <w:vertAlign w:val="superscript"/>
        </w:rPr>
        <w:t>$</w:t>
      </w:r>
      <w:r>
        <w:rPr>
          <w:rFonts w:ascii="Arial" w:cs="Arial" w:eastAsia="Arial" w:hAnsi="Arial"/>
          <w:sz w:val="47"/>
          <w:szCs w:val="47"/>
          <w:color w:val="0233A1"/>
        </w:rPr>
        <w:t xml:space="preserve">4.04 </w:t>
      </w:r>
      <w:r>
        <w:rPr>
          <w:rFonts w:ascii="Arial" w:cs="Arial" w:eastAsia="Arial" w:hAnsi="Arial"/>
          <w:sz w:val="25"/>
          <w:szCs w:val="25"/>
          <w:color w:val="0233A1"/>
        </w:rPr>
        <w:t>billion</w:t>
      </w:r>
    </w:p>
    <w:p>
      <w:pPr>
        <w:spacing w:after="0" w:line="3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free cash flow</w:t>
      </w:r>
      <w:r>
        <w:rPr>
          <w:rFonts w:ascii="Arial" w:cs="Arial" w:eastAsia="Arial" w:hAnsi="Arial"/>
          <w:sz w:val="29"/>
          <w:szCs w:val="29"/>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45720</wp:posOffset>
            </wp:positionV>
            <wp:extent cx="20828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79" w:firstLine="872"/>
        <w:spacing w:after="0" w:line="276" w:lineRule="auto"/>
        <w:rPr>
          <w:sz w:val="20"/>
          <w:szCs w:val="20"/>
          <w:color w:val="auto"/>
        </w:rPr>
      </w:pPr>
      <w:r>
        <w:rPr>
          <w:rFonts w:ascii="Arial" w:cs="Arial" w:eastAsia="Arial" w:hAnsi="Arial"/>
          <w:sz w:val="79"/>
          <w:szCs w:val="79"/>
          <w:color w:val="808185"/>
        </w:rPr>
        <w:t>Safety and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-3209925</wp:posOffset>
            </wp:positionH>
            <wp:positionV relativeFrom="paragraph">
              <wp:posOffset>-2218690</wp:posOffset>
            </wp:positionV>
            <wp:extent cx="6858000" cy="6172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00" cy="617220"/>
                    </a:xfrm>
                    <a:prstGeom prst="rect">
                      <a:avLst/>
                    </a:prstGeom>
                    <a:noFill/>
                  </pic:spPr>
                </pic:pic>
              </a:graphicData>
            </a:graphic>
          </wp:anchor>
        </w:drawing>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47"/>
          <w:szCs w:val="47"/>
          <w:color w:val="0233A1"/>
        </w:rPr>
        <w:t>Fatality-Free</w:t>
      </w:r>
    </w:p>
    <w:p>
      <w:pPr>
        <w:spacing w:after="0" w:line="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57785</wp:posOffset>
            </wp:positionV>
            <wp:extent cx="25628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47"/>
          <w:szCs w:val="47"/>
          <w:color w:val="0233A1"/>
        </w:rPr>
        <w:t xml:space="preserve">15% </w:t>
      </w:r>
      <w:r>
        <w:rPr>
          <w:rFonts w:ascii="Arial" w:cs="Arial" w:eastAsia="Arial" w:hAnsi="Arial"/>
          <w:sz w:val="25"/>
          <w:szCs w:val="25"/>
          <w:color w:val="0233A1"/>
        </w:rPr>
        <w:t>Scope 1 &amp; 2</w:t>
      </w:r>
    </w:p>
    <w:p>
      <w:pPr>
        <w:spacing w:after="0" w:line="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emissions intensity reduction* vs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66040</wp:posOffset>
            </wp:positionV>
            <wp:extent cx="2562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43"/>
          <w:szCs w:val="43"/>
          <w:color w:val="0233A1"/>
        </w:rPr>
        <w:t xml:space="preserve">13% </w:t>
      </w:r>
      <w:r>
        <w:rPr>
          <w:rFonts w:ascii="Arial" w:cs="Arial" w:eastAsia="Arial" w:hAnsi="Arial"/>
          <w:sz w:val="25"/>
          <w:szCs w:val="25"/>
          <w:color w:val="0233A1"/>
        </w:rPr>
        <w:t>Scope 3</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emissions intensity reduction* vs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57785</wp:posOffset>
            </wp:positionV>
            <wp:extent cx="25628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25"/>
          <w:szCs w:val="25"/>
          <w:color w:val="0233A1"/>
        </w:rPr>
        <w:t xml:space="preserve">More than </w:t>
      </w:r>
      <w:r>
        <w:rPr>
          <w:rFonts w:ascii="Arial" w:cs="Arial" w:eastAsia="Arial" w:hAnsi="Arial"/>
          <w:sz w:val="50"/>
          <w:szCs w:val="50"/>
          <w:color w:val="0233A1"/>
          <w:vertAlign w:val="superscript"/>
        </w:rPr>
        <w:t>$</w:t>
      </w:r>
      <w:r>
        <w:rPr>
          <w:rFonts w:ascii="Arial" w:cs="Arial" w:eastAsia="Arial" w:hAnsi="Arial"/>
          <w:sz w:val="46"/>
          <w:szCs w:val="46"/>
          <w:color w:val="0233A1"/>
        </w:rPr>
        <w:t>1</w:t>
      </w:r>
      <w:r>
        <w:rPr>
          <w:rFonts w:ascii="Arial" w:cs="Arial" w:eastAsia="Arial" w:hAnsi="Arial"/>
          <w:sz w:val="25"/>
          <w:szCs w:val="25"/>
          <w:color w:val="0233A1"/>
        </w:rPr>
        <w:t xml:space="preserve"> billion</w:t>
      </w:r>
    </w:p>
    <w:p>
      <w:pPr>
        <w:ind w:left="460"/>
        <w:spacing w:after="0" w:line="236" w:lineRule="auto"/>
        <w:rPr>
          <w:sz w:val="20"/>
          <w:szCs w:val="20"/>
          <w:color w:val="auto"/>
        </w:rPr>
      </w:pPr>
      <w:r>
        <w:rPr>
          <w:rFonts w:ascii="Arial" w:cs="Arial" w:eastAsia="Arial" w:hAnsi="Arial"/>
          <w:sz w:val="18"/>
          <w:szCs w:val="18"/>
          <w:color w:val="auto"/>
        </w:rPr>
        <w:t>of revenue generated by</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Transition Technologies™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48895</wp:posOffset>
            </wp:positionV>
            <wp:extent cx="25628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05" w:lineRule="exact"/>
        <w:rPr>
          <w:sz w:val="20"/>
          <w:szCs w:val="20"/>
          <w:color w:val="auto"/>
        </w:rPr>
      </w:pPr>
    </w:p>
    <w:p>
      <w:pPr>
        <w:sectPr>
          <w:pgSz w:w="11900" w:h="16838" w:orient="portrait"/>
          <w:cols w:equalWidth="0" w:num="2">
            <w:col w:w="4060" w:space="720"/>
            <w:col w:w="4859"/>
          </w:cols>
          <w:pgMar w:left="820" w:top="583" w:right="1440" w:bottom="1440" w:gutter="0" w:footer="0" w:header="0"/>
        </w:sectPr>
      </w:pPr>
    </w:p>
    <w:p>
      <w:pPr>
        <w:spacing w:after="0" w:line="131" w:lineRule="exact"/>
        <w:rPr>
          <w:sz w:val="20"/>
          <w:szCs w:val="20"/>
          <w:color w:val="auto"/>
        </w:rPr>
      </w:pPr>
    </w:p>
    <w:p>
      <w:pPr>
        <w:ind w:left="1700"/>
        <w:spacing w:after="0"/>
        <w:rPr>
          <w:sz w:val="20"/>
          <w:szCs w:val="20"/>
          <w:color w:val="auto"/>
        </w:rPr>
      </w:pPr>
      <w:r>
        <w:rPr>
          <w:rFonts w:ascii="Arial" w:cs="Arial" w:eastAsia="Arial" w:hAnsi="Arial"/>
          <w:sz w:val="79"/>
          <w:szCs w:val="79"/>
          <w:color w:val="666666"/>
        </w:rPr>
        <w:t>Inclusivity and Culture</w:t>
      </w:r>
    </w:p>
    <w:tbl>
      <w:tblPr>
        <w:tblLayout w:type="fixed"/>
        <w:tblInd w:w="900" w:type="dxa"/>
        <w:tblCellMar>
          <w:top w:w="0" w:type="dxa"/>
          <w:left w:w="0" w:type="dxa"/>
          <w:bottom w:w="0" w:type="dxa"/>
          <w:right w:w="0" w:type="dxa"/>
        </w:tblCellMar>
      </w:tblPr>
      <w:tr>
        <w:trPr>
          <w:trHeight w:val="523"/>
        </w:trPr>
        <w:tc>
          <w:tcPr>
            <w:tcW w:w="1320" w:type="dxa"/>
            <w:vAlign w:val="bottom"/>
          </w:tcPr>
          <w:p>
            <w:pPr>
              <w:jc w:val="right"/>
              <w:ind w:right="346"/>
              <w:spacing w:after="0" w:line="523" w:lineRule="exact"/>
              <w:rPr>
                <w:sz w:val="20"/>
                <w:szCs w:val="20"/>
                <w:color w:val="auto"/>
              </w:rPr>
            </w:pPr>
            <w:r>
              <w:rPr>
                <w:rFonts w:ascii="Arial" w:cs="Arial" w:eastAsia="Arial" w:hAnsi="Arial"/>
                <w:sz w:val="47"/>
                <w:szCs w:val="47"/>
                <w:color w:val="0233A1"/>
                <w:w w:val="96"/>
              </w:rPr>
              <w:t>40</w:t>
            </w:r>
            <w:r>
              <w:rPr>
                <w:rFonts w:ascii="Arial" w:cs="Arial" w:eastAsia="Arial" w:hAnsi="Arial"/>
                <w:sz w:val="25"/>
                <w:szCs w:val="25"/>
                <w:color w:val="0233A1"/>
                <w:w w:val="96"/>
              </w:rPr>
              <w:t>%</w:t>
            </w:r>
          </w:p>
        </w:tc>
        <w:tc>
          <w:tcPr>
            <w:tcW w:w="1920" w:type="dxa"/>
            <w:vAlign w:val="bottom"/>
          </w:tcPr>
          <w:p>
            <w:pPr>
              <w:jc w:val="right"/>
              <w:ind w:right="346"/>
              <w:spacing w:after="0" w:line="523" w:lineRule="exact"/>
              <w:rPr>
                <w:sz w:val="20"/>
                <w:szCs w:val="20"/>
                <w:color w:val="auto"/>
              </w:rPr>
            </w:pPr>
            <w:r>
              <w:rPr>
                <w:rFonts w:ascii="Arial" w:cs="Arial" w:eastAsia="Arial" w:hAnsi="Arial"/>
                <w:sz w:val="47"/>
                <w:szCs w:val="47"/>
                <w:color w:val="0233A1"/>
              </w:rPr>
              <w:t>30</w:t>
            </w:r>
            <w:r>
              <w:rPr>
                <w:rFonts w:ascii="Arial" w:cs="Arial" w:eastAsia="Arial" w:hAnsi="Arial"/>
                <w:sz w:val="25"/>
                <w:szCs w:val="25"/>
                <w:color w:val="0233A1"/>
              </w:rPr>
              <w:t>%</w:t>
            </w:r>
          </w:p>
        </w:tc>
        <w:tc>
          <w:tcPr>
            <w:tcW w:w="2440" w:type="dxa"/>
            <w:vAlign w:val="bottom"/>
          </w:tcPr>
          <w:p>
            <w:pPr>
              <w:jc w:val="right"/>
              <w:ind w:right="486"/>
              <w:spacing w:after="0" w:line="523" w:lineRule="exact"/>
              <w:rPr>
                <w:sz w:val="20"/>
                <w:szCs w:val="20"/>
                <w:color w:val="auto"/>
              </w:rPr>
            </w:pPr>
            <w:r>
              <w:rPr>
                <w:rFonts w:ascii="Arial" w:cs="Arial" w:eastAsia="Arial" w:hAnsi="Arial"/>
                <w:sz w:val="47"/>
                <w:szCs w:val="47"/>
                <w:color w:val="0233A1"/>
              </w:rPr>
              <w:t>24.6</w:t>
            </w:r>
            <w:r>
              <w:rPr>
                <w:rFonts w:ascii="Arial" w:cs="Arial" w:eastAsia="Arial" w:hAnsi="Arial"/>
                <w:sz w:val="25"/>
                <w:szCs w:val="25"/>
                <w:color w:val="0233A1"/>
              </w:rPr>
              <w:t>%</w:t>
            </w:r>
          </w:p>
        </w:tc>
        <w:tc>
          <w:tcPr>
            <w:tcW w:w="1940" w:type="dxa"/>
            <w:vAlign w:val="bottom"/>
          </w:tcPr>
          <w:p>
            <w:pPr>
              <w:ind w:left="720"/>
              <w:spacing w:after="0"/>
              <w:rPr>
                <w:sz w:val="20"/>
                <w:szCs w:val="20"/>
                <w:color w:val="auto"/>
              </w:rPr>
            </w:pPr>
            <w:r>
              <w:rPr>
                <w:rFonts w:ascii="Arial" w:cs="Arial" w:eastAsia="Arial" w:hAnsi="Arial"/>
                <w:sz w:val="16"/>
                <w:szCs w:val="16"/>
                <w:color w:val="auto"/>
                <w:w w:val="99"/>
              </w:rPr>
              <w:t>Code of Conduct</w:t>
            </w:r>
          </w:p>
        </w:tc>
      </w:tr>
      <w:tr>
        <w:trPr>
          <w:trHeight w:val="215"/>
        </w:trPr>
        <w:tc>
          <w:tcPr>
            <w:tcW w:w="1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940" w:type="dxa"/>
            <w:vAlign w:val="bottom"/>
          </w:tcPr>
          <w:p>
            <w:pPr>
              <w:ind w:left="720"/>
              <w:spacing w:after="0"/>
              <w:rPr>
                <w:sz w:val="20"/>
                <w:szCs w:val="20"/>
                <w:color w:val="auto"/>
              </w:rPr>
            </w:pPr>
            <w:r>
              <w:rPr>
                <w:rFonts w:ascii="Arial" w:cs="Arial" w:eastAsia="Arial" w:hAnsi="Arial"/>
                <w:sz w:val="16"/>
                <w:szCs w:val="16"/>
                <w:color w:val="auto"/>
              </w:rPr>
              <w:t>Launched new</w:t>
            </w:r>
          </w:p>
        </w:tc>
      </w:tr>
    </w:tbl>
    <w:p>
      <w:pPr>
        <w:spacing w:after="0" w:line="135" w:lineRule="exact"/>
        <w:rPr>
          <w:sz w:val="20"/>
          <w:szCs w:val="20"/>
          <w:color w:val="auto"/>
        </w:rPr>
      </w:pPr>
    </w:p>
    <w:p>
      <w:pPr>
        <w:sectPr>
          <w:pgSz w:w="11900" w:h="16838" w:orient="portrait"/>
          <w:cols w:equalWidth="0" w:num="1">
            <w:col w:w="9639"/>
          </w:cols>
          <w:pgMar w:left="820" w:top="583" w:right="1440" w:bottom="1440" w:gutter="0" w:footer="0" w:header="0"/>
          <w:type w:val="continuous"/>
        </w:sectPr>
      </w:pPr>
    </w:p>
    <w:p>
      <w:pPr>
        <w:spacing w:after="0" w:line="93" w:lineRule="exact"/>
        <w:rPr>
          <w:sz w:val="20"/>
          <w:szCs w:val="20"/>
          <w:color w:val="auto"/>
        </w:rPr>
      </w:pPr>
    </w:p>
    <w:tbl>
      <w:tblPr>
        <w:tblLayout w:type="fixed"/>
        <w:tblInd w:w="800" w:type="dxa"/>
        <w:tblCellMar>
          <w:top w:w="0" w:type="dxa"/>
          <w:left w:w="0" w:type="dxa"/>
          <w:bottom w:w="0" w:type="dxa"/>
          <w:right w:w="0" w:type="dxa"/>
        </w:tblCellMar>
      </w:tblPr>
      <w:tr>
        <w:trPr>
          <w:trHeight w:val="189"/>
        </w:trPr>
        <w:tc>
          <w:tcPr>
            <w:tcW w:w="1920" w:type="dxa"/>
            <w:vAlign w:val="bottom"/>
            <w:gridSpan w:val="2"/>
          </w:tcPr>
          <w:p>
            <w:pPr>
              <w:ind w:left="100"/>
              <w:spacing w:after="0"/>
              <w:rPr>
                <w:sz w:val="20"/>
                <w:szCs w:val="20"/>
                <w:color w:val="auto"/>
              </w:rPr>
            </w:pPr>
            <w:r>
              <w:rPr>
                <w:rFonts w:ascii="Arial" w:cs="Arial" w:eastAsia="Arial" w:hAnsi="Arial"/>
                <w:sz w:val="16"/>
                <w:szCs w:val="16"/>
                <w:color w:val="auto"/>
              </w:rPr>
              <w:t>of Board committees</w:t>
            </w:r>
          </w:p>
        </w:tc>
        <w:tc>
          <w:tcPr>
            <w:tcW w:w="1920" w:type="dxa"/>
            <w:vAlign w:val="bottom"/>
            <w:gridSpan w:val="2"/>
          </w:tcPr>
          <w:p>
            <w:pPr>
              <w:ind w:left="100"/>
              <w:spacing w:after="0"/>
              <w:rPr>
                <w:sz w:val="20"/>
                <w:szCs w:val="20"/>
                <w:color w:val="auto"/>
              </w:rPr>
            </w:pPr>
            <w:r>
              <w:rPr>
                <w:rFonts w:ascii="Arial" w:cs="Arial" w:eastAsia="Arial" w:hAnsi="Arial"/>
                <w:sz w:val="16"/>
                <w:szCs w:val="16"/>
                <w:color w:val="auto"/>
              </w:rPr>
              <w:t>women in executive</w:t>
            </w:r>
          </w:p>
        </w:tc>
        <w:tc>
          <w:tcPr>
            <w:tcW w:w="2300" w:type="dxa"/>
            <w:vAlign w:val="bottom"/>
          </w:tcPr>
          <w:p>
            <w:pPr>
              <w:ind w:left="80"/>
              <w:spacing w:after="0"/>
              <w:rPr>
                <w:sz w:val="20"/>
                <w:szCs w:val="20"/>
                <w:color w:val="auto"/>
              </w:rPr>
            </w:pPr>
            <w:r>
              <w:rPr>
                <w:rFonts w:ascii="Arial" w:cs="Arial" w:eastAsia="Arial" w:hAnsi="Arial"/>
                <w:sz w:val="16"/>
                <w:szCs w:val="16"/>
                <w:color w:val="auto"/>
              </w:rPr>
              <w:t>women in salaried</w:t>
            </w:r>
          </w:p>
        </w:tc>
      </w:tr>
      <w:tr>
        <w:trPr>
          <w:trHeight w:val="215"/>
        </w:trPr>
        <w:tc>
          <w:tcPr>
            <w:tcW w:w="1920" w:type="dxa"/>
            <w:vAlign w:val="bottom"/>
            <w:gridSpan w:val="2"/>
          </w:tcPr>
          <w:p>
            <w:pPr>
              <w:ind w:left="100"/>
              <w:spacing w:after="0"/>
              <w:rPr>
                <w:sz w:val="20"/>
                <w:szCs w:val="20"/>
                <w:color w:val="auto"/>
              </w:rPr>
            </w:pPr>
            <w:r>
              <w:rPr>
                <w:rFonts w:ascii="Arial" w:cs="Arial" w:eastAsia="Arial" w:hAnsi="Arial"/>
                <w:sz w:val="16"/>
                <w:szCs w:val="16"/>
                <w:color w:val="auto"/>
              </w:rPr>
              <w:t>chaired by women</w:t>
            </w:r>
          </w:p>
        </w:tc>
        <w:tc>
          <w:tcPr>
            <w:tcW w:w="1920" w:type="dxa"/>
            <w:vAlign w:val="bottom"/>
            <w:gridSpan w:val="2"/>
          </w:tcPr>
          <w:p>
            <w:pPr>
              <w:ind w:left="100"/>
              <w:spacing w:after="0"/>
              <w:rPr>
                <w:sz w:val="20"/>
                <w:szCs w:val="20"/>
                <w:color w:val="auto"/>
              </w:rPr>
            </w:pPr>
            <w:r>
              <w:rPr>
                <w:rFonts w:ascii="Arial" w:cs="Arial" w:eastAsia="Arial" w:hAnsi="Arial"/>
                <w:sz w:val="16"/>
                <w:szCs w:val="16"/>
                <w:color w:val="auto"/>
              </w:rPr>
              <w:t>leadership</w:t>
            </w:r>
          </w:p>
        </w:tc>
        <w:tc>
          <w:tcPr>
            <w:tcW w:w="2300" w:type="dxa"/>
            <w:vAlign w:val="bottom"/>
          </w:tcPr>
          <w:p>
            <w:pPr>
              <w:ind w:left="80"/>
              <w:spacing w:after="0"/>
              <w:rPr>
                <w:sz w:val="20"/>
                <w:szCs w:val="20"/>
                <w:color w:val="auto"/>
              </w:rPr>
            </w:pPr>
            <w:r>
              <w:rPr>
                <w:rFonts w:ascii="Arial" w:cs="Arial" w:eastAsia="Arial" w:hAnsi="Arial"/>
                <w:sz w:val="16"/>
                <w:szCs w:val="16"/>
                <w:color w:val="auto"/>
              </w:rPr>
              <w:t>population</w:t>
            </w:r>
          </w:p>
        </w:tc>
      </w:tr>
      <w:tr>
        <w:trPr>
          <w:trHeight w:val="474"/>
        </w:trPr>
        <w:tc>
          <w:tcPr>
            <w:tcW w:w="1660" w:type="dxa"/>
            <w:vAlign w:val="bottom"/>
            <w:tcBorders>
              <w:bottom w:val="single" w:sz="8" w:color="0233A1"/>
            </w:tcBorders>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Borders>
              <w:bottom w:val="single" w:sz="8" w:color="0233A1"/>
            </w:tcBorders>
          </w:tcPr>
          <w:p>
            <w:pPr>
              <w:spacing w:after="0"/>
              <w:rPr>
                <w:sz w:val="24"/>
                <w:szCs w:val="24"/>
                <w:color w:val="auto"/>
              </w:rPr>
            </w:pPr>
          </w:p>
        </w:tc>
        <w:tc>
          <w:tcPr>
            <w:tcW w:w="280" w:type="dxa"/>
            <w:vAlign w:val="bottom"/>
          </w:tcPr>
          <w:p>
            <w:pPr>
              <w:spacing w:after="0"/>
              <w:rPr>
                <w:sz w:val="24"/>
                <w:szCs w:val="24"/>
                <w:color w:val="auto"/>
              </w:rPr>
            </w:pPr>
          </w:p>
        </w:tc>
        <w:tc>
          <w:tcPr>
            <w:tcW w:w="2300" w:type="dxa"/>
            <w:vAlign w:val="bottom"/>
            <w:tcBorders>
              <w:bottom w:val="single" w:sz="8" w:color="0233A1"/>
            </w:tcBorders>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ind w:right="519"/>
        <w:spacing w:after="0" w:line="285" w:lineRule="auto"/>
        <w:rPr>
          <w:sz w:val="20"/>
          <w:szCs w:val="20"/>
          <w:color w:val="auto"/>
        </w:rPr>
      </w:pPr>
      <w:r>
        <w:rPr>
          <w:rFonts w:ascii="Arial" w:cs="Arial" w:eastAsia="Arial" w:hAnsi="Arial"/>
          <w:sz w:val="32"/>
          <w:szCs w:val="32"/>
          <w:i w:val="1"/>
          <w:iCs w:val="1"/>
          <w:color w:val="0233A1"/>
        </w:rPr>
        <w:t>Together with Integrity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61595</wp:posOffset>
            </wp:positionV>
            <wp:extent cx="14147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10" w:lineRule="exact"/>
        <w:rPr>
          <w:sz w:val="20"/>
          <w:szCs w:val="20"/>
          <w:color w:val="auto"/>
        </w:rPr>
      </w:pPr>
    </w:p>
    <w:p>
      <w:pPr>
        <w:sectPr>
          <w:pgSz w:w="11900" w:h="16838" w:orient="portrait"/>
          <w:cols w:equalWidth="0" w:num="2">
            <w:col w:w="6940" w:space="360"/>
            <w:col w:w="2339"/>
          </w:cols>
          <w:pgMar w:left="820" w:top="583" w:right="1440" w:bottom="1440" w:gutter="0" w:footer="0" w:header="0"/>
          <w:type w:val="continuous"/>
        </w:sectPr>
      </w:pPr>
    </w:p>
    <w:p>
      <w:pPr>
        <w:spacing w:after="0" w:line="358" w:lineRule="exact"/>
        <w:rPr>
          <w:sz w:val="20"/>
          <w:szCs w:val="20"/>
          <w:color w:val="auto"/>
        </w:rPr>
      </w:pPr>
    </w:p>
    <w:p>
      <w:pPr>
        <w:ind w:left="1040" w:hanging="236"/>
        <w:spacing w:after="0"/>
        <w:tabs>
          <w:tab w:leader="none" w:pos="1040" w:val="left"/>
        </w:tabs>
        <w:numPr>
          <w:ilvl w:val="0"/>
          <w:numId w:val="1"/>
        </w:numPr>
        <w:rPr>
          <w:rFonts w:ascii="Arial" w:cs="Arial" w:eastAsia="Arial" w:hAnsi="Arial"/>
          <w:sz w:val="14"/>
          <w:szCs w:val="14"/>
          <w:color w:val="auto"/>
        </w:rPr>
      </w:pPr>
      <w:r>
        <w:rPr>
          <w:rFonts w:ascii="Arial" w:cs="Arial" w:eastAsia="Arial" w:hAnsi="Arial"/>
          <w:sz w:val="14"/>
          <w:szCs w:val="14"/>
          <w:color w:val="auto"/>
        </w:rPr>
        <w:t>See Appendix A for non-GAAP reconciliations</w:t>
      </w:r>
    </w:p>
    <w:p>
      <w:pPr>
        <w:spacing w:after="0" w:line="15" w:lineRule="exact"/>
        <w:rPr>
          <w:sz w:val="20"/>
          <w:szCs w:val="20"/>
          <w:color w:val="auto"/>
        </w:rPr>
      </w:pPr>
    </w:p>
    <w:p>
      <w:pPr>
        <w:ind w:left="1040" w:hanging="236"/>
        <w:spacing w:after="0"/>
        <w:tabs>
          <w:tab w:leader="none" w:pos="1040" w:val="left"/>
        </w:tabs>
        <w:numPr>
          <w:ilvl w:val="0"/>
          <w:numId w:val="2"/>
        </w:numPr>
        <w:rPr>
          <w:rFonts w:ascii="Arial" w:cs="Arial" w:eastAsia="Arial" w:hAnsi="Arial"/>
          <w:sz w:val="14"/>
          <w:szCs w:val="14"/>
          <w:color w:val="auto"/>
        </w:rPr>
      </w:pPr>
      <w:r>
        <w:rPr>
          <w:rFonts w:ascii="Arial" w:cs="Arial" w:eastAsia="Arial" w:hAnsi="Arial"/>
          <w:sz w:val="14"/>
          <w:szCs w:val="14"/>
          <w:color w:val="auto"/>
        </w:rPr>
        <w:t>Excludes acquired Aker Solutions subsea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1300480</wp:posOffset>
            </wp:positionV>
            <wp:extent cx="71323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-174625</wp:posOffset>
            </wp:positionH>
            <wp:positionV relativeFrom="paragraph">
              <wp:posOffset>314960</wp:posOffset>
            </wp:positionV>
            <wp:extent cx="6858000" cy="8312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00" cy="831215"/>
                    </a:xfrm>
                    <a:prstGeom prst="rect">
                      <a:avLst/>
                    </a:prstGeom>
                    <a:noFill/>
                  </pic:spPr>
                </pic:pic>
              </a:graphicData>
            </a:graphic>
          </wp:anchor>
        </w:drawing>
      </w:r>
    </w:p>
    <w:p>
      <w:pPr>
        <w:sectPr>
          <w:pgSz w:w="11900" w:h="16838" w:orient="portrait"/>
          <w:cols w:equalWidth="0" w:num="1">
            <w:col w:w="9639"/>
          </w:cols>
          <w:pgMar w:left="820" w:top="583" w:right="1440" w:bottom="1440" w:gutter="0" w:footer="0" w:header="0"/>
          <w:type w:val="continuous"/>
        </w:sectPr>
      </w:pPr>
    </w:p>
    <w:bookmarkStart w:id="3" w:name="page4"/>
    <w:bookmarkEnd w:id="3"/>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269240</wp:posOffset>
            </wp:positionV>
            <wp:extent cx="857250" cy="5226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857250" cy="522605"/>
                    </a:xfrm>
                    <a:prstGeom prst="rect">
                      <a:avLst/>
                    </a:prstGeom>
                    <a:noFill/>
                  </pic:spPr>
                </pic:pic>
              </a:graphicData>
            </a:graphic>
          </wp:anchor>
        </w:drawing>
      </w:r>
    </w:p>
    <w:p>
      <w:pPr>
        <w:spacing w:after="0"/>
        <w:rPr>
          <w:sz w:val="20"/>
          <w:szCs w:val="20"/>
          <w:color w:val="auto"/>
        </w:rPr>
      </w:pPr>
      <w:r>
        <w:rPr>
          <w:rFonts w:ascii="Arial" w:cs="Arial" w:eastAsia="Arial" w:hAnsi="Arial"/>
          <w:sz w:val="47"/>
          <w:szCs w:val="47"/>
          <w:color w:val="0233A1"/>
        </w:rPr>
        <w:t>A Message from the Board of Directors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February 22, 2024</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9"/>
          <w:szCs w:val="29"/>
          <w:color w:val="0233A1"/>
        </w:rPr>
        <w:t>Dear SLB Shareholder,</w:t>
      </w:r>
    </w:p>
    <w:p>
      <w:pPr>
        <w:spacing w:after="0" w:line="20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2023 was a remarkable year at SLB—marked by widespread revenue growth, margin expansion, and exceptional cash flow. As a result, we returned $2.0 billion to shareholders in 2023 through dividends and share repurchases. We also recently increased our dividend by 10%, our third increase in the past two years and reflecting a cumulative 120% increase since the beginning of 2022. Furthermore, we announced plans to increase share repurchases in 2024, as we target to return more than $2.5 billion to shareholders in 2024.</w:t>
      </w:r>
    </w:p>
    <w:p>
      <w:pPr>
        <w:spacing w:after="0" w:line="16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During the year, our Board concluded a multi-year board refreshment exercise by appointing Mr. Jim Hackett as our new independent Board Chair. Mr. Hackett brings extensive knowledge of the global energy industry, both as the former Chairman and CEO of a global energy production and midstream company, and through his extensive governance experience as a board chair and director at numerous public companies serving the energy industry. This appointment demonstrates SLB’s commitment to balanced and ongoing board succession planning, with half of our non-executive director nominees joining the Board since 2021, bringing expertise in areas that are strategic for SLB.</w:t>
      </w:r>
    </w:p>
    <w:p>
      <w:pPr>
        <w:spacing w:after="0" w:line="16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are actively embedding sustainability in everything we do, redefining the role that a global technology company in energy can play in the transition. In 2023, we reduced our emissions intensity—the amount of carbon emissions produced per dollar of revenue—across Scope 1, 2, and 3, in support of SLB’s 2025 emission reduction commitment. Further, our Transition Technologies™ portfolio generated more than $1 billion of revenue in 2023, as SLB continues to become our customers’ partner of choice for enhancing efficiency and reducing emissions.</w:t>
      </w:r>
    </w:p>
    <w:p>
      <w:pPr>
        <w:spacing w:after="0" w:line="16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Finally, we achieved our lowest recordable injury rate and highest level of operational reliability on record. These accomplishments are driving customer satisfaction and value creation for SLB, our customers, and our shareholders.</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Overall, our impressive full-year results showcase SLB’s continued ability to deliver superior earnings, generate exceptional cash flows, and maintain a strong balance sheet. These achievements are a testament to the performance of our teams of dedicated women and men across the globe, the support of our partners, and the loyalty of our customers.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We thank you for your investment in SLB and for the opportunity to serve you and our Company as directors.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9"/>
          <w:szCs w:val="29"/>
          <w:color w:val="0233A1"/>
        </w:rPr>
        <w:t>Your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All references in this proxy statement to “SLB,” “the Company,” “we,” or “our” are to Schlumberger Limited (Schlumberger N.V.) and its subsidiaries.</w:t>
      </w:r>
    </w:p>
    <w:p>
      <w:pPr>
        <w:spacing w:after="0" w:line="163" w:lineRule="exact"/>
        <w:rPr>
          <w:sz w:val="20"/>
          <w:szCs w:val="20"/>
          <w:color w:val="auto"/>
        </w:rPr>
      </w:pPr>
    </w:p>
    <w:p>
      <w:pPr>
        <w:jc w:val="both"/>
        <w:spacing w:after="0" w:line="261" w:lineRule="auto"/>
        <w:rPr>
          <w:sz w:val="20"/>
          <w:szCs w:val="20"/>
          <w:color w:val="auto"/>
        </w:rPr>
      </w:pPr>
      <w:r>
        <w:rPr>
          <w:rFonts w:ascii="Arial" w:cs="Arial" w:eastAsia="Arial" w:hAnsi="Arial"/>
          <w:sz w:val="14"/>
          <w:szCs w:val="14"/>
          <w:i w:val="1"/>
          <w:iCs w:val="1"/>
          <w:color w:val="auto"/>
        </w:rPr>
        <w:t>Website references throughout this document are provided for convenience only, and the content on the referenced websites is not incorporated by reference into this document.</w:t>
      </w:r>
    </w:p>
    <w:p>
      <w:pPr>
        <w:spacing w:after="0" w:line="311" w:lineRule="exact"/>
        <w:rPr>
          <w:sz w:val="20"/>
          <w:szCs w:val="20"/>
          <w:color w:val="auto"/>
        </w:rPr>
      </w:pPr>
    </w:p>
    <w:p>
      <w:pPr>
        <w:jc w:val="both"/>
        <w:spacing w:after="0" w:line="243" w:lineRule="auto"/>
        <w:rPr>
          <w:sz w:val="20"/>
          <w:szCs w:val="20"/>
          <w:color w:val="auto"/>
        </w:rPr>
      </w:pPr>
      <w:r>
        <w:rPr>
          <w:rFonts w:ascii="Arial" w:cs="Arial" w:eastAsia="Arial" w:hAnsi="Arial"/>
          <w:sz w:val="14"/>
          <w:szCs w:val="14"/>
          <w:i w:val="1"/>
          <w:iCs w:val="1"/>
          <w:color w:val="auto"/>
        </w:rPr>
        <w:t>This proxy statement includes forward-looking statements within the meaning of the Private Securities Litigation Reform Act of 1995. All statements other than statements of historical or current facts made in this document are forward-looking. We use words such as anticipates, believes, expects, future, intends, goal, target, ambition, will, and similar expressions to identify forward-looking statements. Forward-looking statements reflect management’s current expectations and are inherently uncertain, and actual results or outcomes could differ materially for a variety of reasons. Risks and uncertainties that could cause our actual results to differ significantly from management’s expectations include, but are not limited to, changing global economic and geopolitical conditions; changes in exploration and production spending by SLB’s customers and changes in the level of oil and natural gas exploration and development; the results of operations and financial condition of SLB’s customers and suppliers; SLB’s inability to achieve its financial and performance targets and other forecasts and expectations; SLB’s inability to achieve net-zero carbon emissions goals or interim emissions reduction goals; general economic, geopolitical, and business conditions in key regions of the world; the ongoing conflict in Ukraine; foreign currency risk; inflation; changes in monetary policy by governments; pricing pressure; weather and seasonal factors; unfavorable effects of health pandemics; availability and cost of raw materials; operational modifications, delays, or cancellations; challenges in SLB’s supply chain; production declines; the extent of future charges; SLB’s inability to recognize efficiencies and other intended benefits from its business strategies and initiatives, such as digital or new energy, as well as its cost reduction strategies; changes in government regulations and regulatory requirements, including those related to offshore oil and gas exploration, radioactive sources, explosives, chemicals, and climate-related initiatives; the inability of technology to meet new challenges in exploration; the competitiveness of alternative energy sources or product substitutes; and other risks and uncertainties detailed in SLB’s Annual Report on Form 10-K for the fiscal year ended December 31, 2023 (</w:t>
      </w:r>
      <w:r>
        <w:rPr>
          <w:rFonts w:ascii="Arial" w:cs="Arial" w:eastAsia="Arial" w:hAnsi="Arial"/>
          <w:sz w:val="14"/>
          <w:szCs w:val="14"/>
          <w:b w:val="1"/>
          <w:bCs w:val="1"/>
          <w:i w:val="1"/>
          <w:iCs w:val="1"/>
          <w:color w:val="auto"/>
        </w:rPr>
        <w:t>2023 Annual Report</w:t>
      </w:r>
      <w:r>
        <w:rPr>
          <w:rFonts w:ascii="Arial" w:cs="Arial" w:eastAsia="Arial" w:hAnsi="Arial"/>
          <w:sz w:val="14"/>
          <w:szCs w:val="14"/>
          <w:i w:val="1"/>
          <w:iCs w:val="1"/>
          <w:color w:val="auto"/>
        </w:rPr>
        <w:t>)</w:t>
      </w:r>
      <w:r>
        <w:rPr>
          <w:rFonts w:ascii="Arial" w:cs="Arial" w:eastAsia="Arial" w:hAnsi="Arial"/>
          <w:sz w:val="14"/>
          <w:szCs w:val="14"/>
          <w:color w:val="auto"/>
        </w:rPr>
        <w:t>,</w:t>
      </w:r>
      <w:r>
        <w:rPr>
          <w:rFonts w:ascii="Arial" w:cs="Arial" w:eastAsia="Arial" w:hAnsi="Arial"/>
          <w:sz w:val="14"/>
          <w:szCs w:val="14"/>
          <w:i w:val="1"/>
          <w:iCs w:val="1"/>
          <w:color w:val="auto"/>
        </w:rPr>
        <w:t xml:space="preserve"> and other filings that we make with the SEC. If one or more of these or other risks or uncertainties materialize (or the consequences of any such development changes), or should our underlying assumptions prove incorrect, actual results or outcomes may vary materially from those reflected in our forward-looking statements. Forward-looking and other statements in this proxy statement regarding our environmental, social, governance (</w:t>
      </w:r>
      <w:r>
        <w:rPr>
          <w:rFonts w:ascii="Arial" w:cs="Arial" w:eastAsia="Arial" w:hAnsi="Arial"/>
          <w:sz w:val="14"/>
          <w:szCs w:val="14"/>
          <w:b w:val="1"/>
          <w:bCs w:val="1"/>
          <w:i w:val="1"/>
          <w:iCs w:val="1"/>
          <w:color w:val="auto"/>
        </w:rPr>
        <w:t>ESG</w:t>
      </w:r>
      <w:r>
        <w:rPr>
          <w:rFonts w:ascii="Arial" w:cs="Arial" w:eastAsia="Arial" w:hAnsi="Arial"/>
          <w:sz w:val="14"/>
          <w:szCs w:val="14"/>
          <w:i w:val="1"/>
          <w:iCs w:val="1"/>
          <w:color w:val="auto"/>
        </w:rPr>
        <w:t>) and other sustainability plans and goals are not an indication that these statements are necessarily material to investors or required to be disclosed in our filings with the SEC. In addition, historical, current, and forward-looking ESG and sustainability-related statements may be based on standards for measuring progress that are still developing, internal controls and processes that continue to evolve, and assumptions that are subject to change in the future.</w:t>
      </w:r>
    </w:p>
    <w:p>
      <w:pPr>
        <w:spacing w:after="0" w:line="143" w:lineRule="exact"/>
        <w:rPr>
          <w:sz w:val="20"/>
          <w:szCs w:val="20"/>
          <w:color w:val="auto"/>
        </w:rPr>
      </w:pPr>
    </w:p>
    <w:p>
      <w:pPr>
        <w:jc w:val="both"/>
        <w:spacing w:after="0" w:line="282" w:lineRule="auto"/>
        <w:rPr>
          <w:sz w:val="20"/>
          <w:szCs w:val="20"/>
          <w:color w:val="auto"/>
        </w:rPr>
      </w:pPr>
      <w:r>
        <w:rPr>
          <w:rFonts w:ascii="Arial" w:cs="Arial" w:eastAsia="Arial" w:hAnsi="Arial"/>
          <w:sz w:val="14"/>
          <w:szCs w:val="14"/>
          <w:i w:val="1"/>
          <w:iCs w:val="1"/>
          <w:color w:val="auto"/>
        </w:rPr>
        <w:t>For definitions of adjusted EBITDA, free cash flow, free cash flow margin, and net debt, as well as reconciliations of these non-GAAP measures to their most comparable GAAP measures, see Appendix A.</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Emissions intensity data in this proxy statement do not reflect the impact of the Aker Solutions subsea business, which was acquired in the fourth quarter of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jc w:val="right"/>
        <w:ind w:left="5260"/>
        <w:spacing w:after="0" w:line="253" w:lineRule="auto"/>
        <w:rPr>
          <w:sz w:val="20"/>
          <w:szCs w:val="20"/>
          <w:color w:val="auto"/>
        </w:rPr>
      </w:pPr>
      <w:r>
        <w:rPr>
          <w:rFonts w:ascii="Arial" w:cs="Arial" w:eastAsia="Arial" w:hAnsi="Arial"/>
          <w:sz w:val="54"/>
          <w:szCs w:val="54"/>
          <w:color w:val="0233A1"/>
        </w:rPr>
        <w:t>Notice of 2024 Annual General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-1210310</wp:posOffset>
            </wp:positionV>
            <wp:extent cx="857250" cy="514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0" cy="514350"/>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0233A1"/>
        </w:rPr>
        <w:t>Items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-247015</wp:posOffset>
            </wp:positionV>
            <wp:extent cx="3437255" cy="31546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37255" cy="3154680"/>
                    </a:xfrm>
                    <a:prstGeom prst="rect">
                      <a:avLst/>
                    </a:prstGeom>
                    <a:noFill/>
                  </pic:spPr>
                </pic:pic>
              </a:graphicData>
            </a:graphic>
          </wp:anchor>
        </w:drawing>
      </w:r>
    </w:p>
    <w:p>
      <w:pPr>
        <w:spacing w:after="0" w:line="205" w:lineRule="exact"/>
        <w:rPr>
          <w:sz w:val="20"/>
          <w:szCs w:val="20"/>
          <w:color w:val="auto"/>
        </w:rPr>
      </w:pPr>
    </w:p>
    <w:p>
      <w:pPr>
        <w:ind w:left="500" w:hanging="330"/>
        <w:spacing w:after="0"/>
        <w:tabs>
          <w:tab w:leader="none" w:pos="500" w:val="left"/>
        </w:tabs>
        <w:numPr>
          <w:ilvl w:val="0"/>
          <w:numId w:val="3"/>
        </w:numPr>
        <w:rPr>
          <w:rFonts w:ascii="Arial" w:cs="Arial" w:eastAsia="Arial" w:hAnsi="Arial"/>
          <w:sz w:val="18"/>
          <w:szCs w:val="18"/>
          <w:color w:val="0233A1"/>
        </w:rPr>
      </w:pPr>
      <w:r>
        <w:rPr>
          <w:rFonts w:ascii="Arial" w:cs="Arial" w:eastAsia="Arial" w:hAnsi="Arial"/>
          <w:sz w:val="18"/>
          <w:szCs w:val="18"/>
          <w:color w:val="auto"/>
        </w:rPr>
        <w:t>Election of 11 director nominees.</w:t>
      </w:r>
    </w:p>
    <w:p>
      <w:pPr>
        <w:spacing w:after="0" w:line="90" w:lineRule="exact"/>
        <w:rPr>
          <w:rFonts w:ascii="Arial" w:cs="Arial" w:eastAsia="Arial" w:hAnsi="Arial"/>
          <w:sz w:val="18"/>
          <w:szCs w:val="18"/>
          <w:color w:val="0233A1"/>
        </w:rPr>
      </w:pPr>
    </w:p>
    <w:p>
      <w:pPr>
        <w:ind w:left="500" w:right="20" w:hanging="330"/>
        <w:spacing w:after="0" w:line="271" w:lineRule="auto"/>
        <w:tabs>
          <w:tab w:leader="none" w:pos="500" w:val="left"/>
        </w:tabs>
        <w:numPr>
          <w:ilvl w:val="0"/>
          <w:numId w:val="3"/>
        </w:numPr>
        <w:rPr>
          <w:rFonts w:ascii="Arial" w:cs="Arial" w:eastAsia="Arial" w:hAnsi="Arial"/>
          <w:sz w:val="18"/>
          <w:szCs w:val="18"/>
          <w:color w:val="0233A1"/>
        </w:rPr>
      </w:pPr>
      <w:r>
        <w:rPr>
          <w:rFonts w:ascii="Arial" w:cs="Arial" w:eastAsia="Arial" w:hAnsi="Arial"/>
          <w:sz w:val="18"/>
          <w:szCs w:val="18"/>
          <w:color w:val="auto"/>
        </w:rPr>
        <w:t>Advisory “say-on-pay” approval of our executive compensation.</w:t>
      </w:r>
    </w:p>
    <w:p>
      <w:pPr>
        <w:spacing w:after="0" w:line="18" w:lineRule="exact"/>
        <w:rPr>
          <w:rFonts w:ascii="Arial" w:cs="Arial" w:eastAsia="Arial" w:hAnsi="Arial"/>
          <w:sz w:val="18"/>
          <w:szCs w:val="18"/>
          <w:color w:val="0233A1"/>
        </w:rPr>
      </w:pPr>
    </w:p>
    <w:p>
      <w:pPr>
        <w:ind w:left="500" w:right="20" w:hanging="330"/>
        <w:spacing w:after="0" w:line="271" w:lineRule="auto"/>
        <w:tabs>
          <w:tab w:leader="none" w:pos="500" w:val="left"/>
        </w:tabs>
        <w:numPr>
          <w:ilvl w:val="0"/>
          <w:numId w:val="3"/>
        </w:numPr>
        <w:rPr>
          <w:rFonts w:ascii="Arial" w:cs="Arial" w:eastAsia="Arial" w:hAnsi="Arial"/>
          <w:sz w:val="18"/>
          <w:szCs w:val="18"/>
          <w:color w:val="0233A1"/>
        </w:rPr>
      </w:pPr>
      <w:r>
        <w:rPr>
          <w:rFonts w:ascii="Arial" w:cs="Arial" w:eastAsia="Arial" w:hAnsi="Arial"/>
          <w:sz w:val="18"/>
          <w:szCs w:val="18"/>
          <w:color w:val="auto"/>
        </w:rPr>
        <w:t>Approval of certain annual financial statements for the year ended December 31, 2023.</w:t>
      </w:r>
    </w:p>
    <w:p>
      <w:pPr>
        <w:spacing w:after="0" w:line="18" w:lineRule="exact"/>
        <w:rPr>
          <w:rFonts w:ascii="Arial" w:cs="Arial" w:eastAsia="Arial" w:hAnsi="Arial"/>
          <w:sz w:val="18"/>
          <w:szCs w:val="18"/>
          <w:color w:val="0233A1"/>
        </w:rPr>
      </w:pPr>
    </w:p>
    <w:p>
      <w:pPr>
        <w:ind w:left="500" w:right="20" w:hanging="330"/>
        <w:spacing w:after="0" w:line="271" w:lineRule="auto"/>
        <w:tabs>
          <w:tab w:leader="none" w:pos="500" w:val="left"/>
        </w:tabs>
        <w:numPr>
          <w:ilvl w:val="0"/>
          <w:numId w:val="3"/>
        </w:numPr>
        <w:rPr>
          <w:rFonts w:ascii="Arial" w:cs="Arial" w:eastAsia="Arial" w:hAnsi="Arial"/>
          <w:sz w:val="18"/>
          <w:szCs w:val="18"/>
          <w:color w:val="0233A1"/>
        </w:rPr>
      </w:pPr>
      <w:r>
        <w:rPr>
          <w:rFonts w:ascii="Arial" w:cs="Arial" w:eastAsia="Arial" w:hAnsi="Arial"/>
          <w:sz w:val="18"/>
          <w:szCs w:val="18"/>
          <w:color w:val="auto"/>
        </w:rPr>
        <w:t>Ratification of the appointment of our independent auditor, PricewaterhouseCoopers LLP.</w:t>
      </w:r>
    </w:p>
    <w:p>
      <w:pPr>
        <w:spacing w:after="0" w:line="154" w:lineRule="exact"/>
        <w:rPr>
          <w:sz w:val="20"/>
          <w:szCs w:val="20"/>
          <w:color w:val="auto"/>
        </w:rPr>
      </w:pPr>
    </w:p>
    <w:p>
      <w:pPr>
        <w:ind w:left="180" w:right="20"/>
        <w:spacing w:after="0" w:line="271" w:lineRule="auto"/>
        <w:rPr>
          <w:sz w:val="20"/>
          <w:szCs w:val="20"/>
          <w:color w:val="auto"/>
        </w:rPr>
      </w:pPr>
      <w:r>
        <w:rPr>
          <w:rFonts w:ascii="Arial" w:cs="Arial" w:eastAsia="Arial" w:hAnsi="Arial"/>
          <w:sz w:val="18"/>
          <w:szCs w:val="18"/>
          <w:color w:val="auto"/>
        </w:rPr>
        <w:t>Such other matters as may properly be brought before the meeting.</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Dianne B. Ralston</w:t>
      </w:r>
    </w:p>
    <w:p>
      <w:pPr>
        <w:spacing w:after="0" w:line="9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Chief Legal Officer and Secretary</w:t>
      </w:r>
    </w:p>
    <w:p>
      <w:pPr>
        <w:spacing w:after="0" w:line="9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February 22, 2024</w:t>
      </w:r>
    </w:p>
    <w:p>
      <w:pPr>
        <w:spacing w:after="0" w:line="20" w:lineRule="exact"/>
        <w:rPr>
          <w:sz w:val="20"/>
          <w:szCs w:val="20"/>
          <w:color w:val="auto"/>
        </w:rPr>
      </w:pPr>
      <w:r>
        <w:rPr>
          <w:sz w:val="20"/>
          <w:szCs w:val="20"/>
          <w:color w:val="auto"/>
        </w:rPr>
        <w:br w:type="column"/>
      </w:r>
    </w:p>
    <w:p>
      <w:pPr>
        <w:spacing w:after="0" w:line="276" w:lineRule="exact"/>
        <w:rPr>
          <w:sz w:val="20"/>
          <w:szCs w:val="20"/>
          <w:color w:val="auto"/>
        </w:rPr>
      </w:pPr>
    </w:p>
    <w:p>
      <w:pPr>
        <w:spacing w:after="0"/>
        <w:rPr>
          <w:sz w:val="20"/>
          <w:szCs w:val="20"/>
          <w:color w:val="auto"/>
        </w:rPr>
      </w:pPr>
      <w:r>
        <w:rPr>
          <w:rFonts w:ascii="Arial" w:cs="Arial" w:eastAsia="Arial" w:hAnsi="Arial"/>
          <w:sz w:val="36"/>
          <w:szCs w:val="36"/>
          <w:b w:val="1"/>
          <w:bCs w:val="1"/>
          <w:color w:val="0233A1"/>
        </w:rPr>
        <w:t>Wednesday, April 3, 2024</w:t>
      </w:r>
    </w:p>
    <w:p>
      <w:pPr>
        <w:spacing w:after="0" w:line="3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9:00 a.m. Curaçao time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Curaçao Marriott Beach Resort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John F Kennedy Boulevard, 3, Piscadera Bay</w:t>
      </w:r>
    </w:p>
    <w:p>
      <w:pPr>
        <w:spacing w:after="0"/>
        <w:rPr>
          <w:sz w:val="20"/>
          <w:szCs w:val="20"/>
          <w:color w:val="auto"/>
        </w:rPr>
      </w:pPr>
      <w:r>
        <w:rPr>
          <w:rFonts w:ascii="Arial" w:cs="Arial" w:eastAsia="Arial" w:hAnsi="Arial"/>
          <w:sz w:val="18"/>
          <w:szCs w:val="18"/>
          <w:i w:val="1"/>
          <w:iCs w:val="1"/>
          <w:color w:val="auto"/>
        </w:rPr>
        <w:t>Willemstad, Curaçao</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0233A1"/>
        </w:rPr>
        <w:t>Record Date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February 7, 2024</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0233A1"/>
        </w:rPr>
        <w:t>How to Cast Your Vote</w:t>
      </w:r>
    </w:p>
    <w:p>
      <w:pPr>
        <w:spacing w:after="0" w:line="1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Please refer to the enclosed proxy materials or to the information forwarded by your bank, broker, or other nominee to determine which voting methods are available to you. Shareholders with shares registered in their names with SLB’s transfer agent may authorize a proxy:</w:t>
      </w:r>
    </w:p>
    <w:p>
      <w:pPr>
        <w:spacing w:after="0" w:line="158" w:lineRule="exact"/>
        <w:rPr>
          <w:sz w:val="20"/>
          <w:szCs w:val="20"/>
          <w:color w:val="auto"/>
        </w:rPr>
      </w:pPr>
    </w:p>
    <w:p>
      <w:pPr>
        <w:ind w:left="600"/>
        <w:spacing w:after="0"/>
        <w:tabs>
          <w:tab w:leader="none" w:pos="4100" w:val="left"/>
        </w:tabs>
        <w:rPr>
          <w:sz w:val="20"/>
          <w:szCs w:val="20"/>
          <w:color w:val="auto"/>
        </w:rPr>
      </w:pPr>
      <w:r>
        <w:rPr>
          <w:rFonts w:ascii="Arial" w:cs="Arial" w:eastAsia="Arial" w:hAnsi="Arial"/>
          <w:sz w:val="16"/>
          <w:szCs w:val="16"/>
          <w:b w:val="1"/>
          <w:bCs w:val="1"/>
          <w:color w:val="0233A1"/>
        </w:rPr>
        <w:t>By Internet</w:t>
      </w:r>
      <w:r>
        <w:rPr>
          <w:sz w:val="20"/>
          <w:szCs w:val="20"/>
          <w:color w:val="auto"/>
        </w:rPr>
        <w:tab/>
      </w:r>
      <w:r>
        <w:rPr>
          <w:rFonts w:ascii="Arial" w:cs="Arial" w:eastAsia="Arial" w:hAnsi="Arial"/>
          <w:sz w:val="15"/>
          <w:szCs w:val="15"/>
          <w:b w:val="1"/>
          <w:bCs w:val="1"/>
          <w:color w:val="0233A1"/>
        </w:rPr>
        <w:t>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-107315</wp:posOffset>
            </wp:positionV>
            <wp:extent cx="214630"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4630" cy="188595"/>
                    </a:xfrm>
                    <a:prstGeom prst="rect">
                      <a:avLst/>
                    </a:prstGeom>
                    <a:noFill/>
                  </pic:spPr>
                </pic:pic>
              </a:graphicData>
            </a:graphic>
          </wp:anchor>
        </w:drawing>
        <w:drawing>
          <wp:anchor simplePos="0" relativeHeight="251657728" behindDoc="1" locked="0" layoutInCell="0" allowOverlap="1">
            <wp:simplePos x="0" y="0"/>
            <wp:positionH relativeFrom="column">
              <wp:posOffset>2271395</wp:posOffset>
            </wp:positionH>
            <wp:positionV relativeFrom="paragraph">
              <wp:posOffset>-107315</wp:posOffset>
            </wp:positionV>
            <wp:extent cx="17145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1" w:lineRule="exact"/>
        <w:rPr>
          <w:sz w:val="20"/>
          <w:szCs w:val="20"/>
          <w:color w:val="auto"/>
        </w:rPr>
      </w:pPr>
    </w:p>
    <w:p>
      <w:pPr>
        <w:ind w:left="600"/>
        <w:spacing w:after="0"/>
        <w:tabs>
          <w:tab w:leader="none" w:pos="4100" w:val="left"/>
        </w:tabs>
        <w:rPr>
          <w:sz w:val="20"/>
          <w:szCs w:val="20"/>
          <w:color w:val="auto"/>
        </w:rPr>
      </w:pPr>
      <w:r>
        <w:rPr>
          <w:rFonts w:ascii="Arial" w:cs="Arial" w:eastAsia="Arial" w:hAnsi="Arial"/>
          <w:sz w:val="16"/>
          <w:szCs w:val="16"/>
          <w:i w:val="1"/>
          <w:iCs w:val="1"/>
          <w:color w:val="auto"/>
        </w:rPr>
        <w:t>www.proxypush.com/SLB</w:t>
      </w:r>
      <w:r>
        <w:rPr>
          <w:sz w:val="20"/>
          <w:szCs w:val="20"/>
          <w:color w:val="auto"/>
        </w:rPr>
        <w:tab/>
      </w:r>
      <w:r>
        <w:rPr>
          <w:rFonts w:ascii="Arial" w:cs="Arial" w:eastAsia="Arial" w:hAnsi="Arial"/>
          <w:sz w:val="16"/>
          <w:szCs w:val="16"/>
          <w:color w:val="auto"/>
        </w:rPr>
        <w:t>(866) 240-5191</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0233A1"/>
        </w:rPr>
        <w:t>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-107315</wp:posOffset>
            </wp:positionV>
            <wp:extent cx="17145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Sign, date, and mail your proxy card</w:t>
      </w:r>
    </w:p>
    <w:p>
      <w:pPr>
        <w:spacing w:after="0" w:line="173" w:lineRule="exact"/>
        <w:rPr>
          <w:sz w:val="20"/>
          <w:szCs w:val="20"/>
          <w:color w:val="auto"/>
        </w:rPr>
      </w:pPr>
    </w:p>
    <w:p>
      <w:pPr>
        <w:sectPr>
          <w:pgSz w:w="11900" w:h="16838" w:orient="portrait"/>
          <w:cols w:equalWidth="0" w:num="2">
            <w:col w:w="5240" w:space="600"/>
            <w:col w:w="5400"/>
          </w:cols>
          <w:pgMar w:left="320" w:top="366" w:right="339" w:bottom="1440" w:gutter="0" w:footer="0" w:header="0"/>
          <w:type w:val="continuous"/>
        </w:sectPr>
      </w:pPr>
    </w:p>
    <w:p>
      <w:pPr>
        <w:ind w:left="5840"/>
        <w:spacing w:after="0"/>
        <w:rPr>
          <w:sz w:val="20"/>
          <w:szCs w:val="20"/>
          <w:color w:val="auto"/>
        </w:rPr>
      </w:pPr>
      <w:r>
        <w:rPr>
          <w:rFonts w:ascii="Arial" w:cs="Arial" w:eastAsia="Arial" w:hAnsi="Arial"/>
          <w:sz w:val="18"/>
          <w:szCs w:val="18"/>
          <w:color w:val="auto"/>
        </w:rPr>
        <w:t>If you are a beneficial holder of SLB common stock, you should</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follow any instructions provided by your bank, broker, or other</w:t>
      </w:r>
    </w:p>
    <w:p>
      <w:pPr>
        <w:ind w:left="5840"/>
        <w:spacing w:after="0" w:line="234" w:lineRule="auto"/>
        <w:rPr>
          <w:sz w:val="20"/>
          <w:szCs w:val="20"/>
          <w:color w:val="auto"/>
        </w:rPr>
      </w:pPr>
      <w:r>
        <w:rPr>
          <w:rFonts w:ascii="Arial" w:cs="Arial" w:eastAsia="Arial" w:hAnsi="Arial"/>
          <w:sz w:val="18"/>
          <w:szCs w:val="18"/>
          <w:color w:val="auto"/>
        </w:rPr>
        <w:t>nominee.  See  “Information  About  the  Meeting”  in  this  proxy</w:t>
      </w:r>
    </w:p>
    <w:p>
      <w:pPr>
        <w:ind w:left="5840"/>
        <w:spacing w:after="0" w:line="235" w:lineRule="auto"/>
        <w:rPr>
          <w:sz w:val="20"/>
          <w:szCs w:val="20"/>
          <w:color w:val="auto"/>
        </w:rPr>
      </w:pPr>
      <w:r>
        <w:rPr>
          <w:rFonts w:ascii="Arial" w:cs="Arial" w:eastAsia="Arial" w:hAnsi="Arial"/>
          <w:sz w:val="18"/>
          <w:szCs w:val="18"/>
          <w:color w:val="auto"/>
        </w:rPr>
        <w:t>statement.</w:t>
      </w:r>
    </w:p>
    <w:p>
      <w:pPr>
        <w:spacing w:after="0" w:line="235" w:lineRule="auto"/>
        <w:rPr>
          <w:sz w:val="20"/>
          <w:szCs w:val="20"/>
          <w:color w:val="auto"/>
        </w:rPr>
      </w:pPr>
      <w:r>
        <w:rPr>
          <w:rFonts w:ascii="Arial" w:cs="Arial" w:eastAsia="Arial" w:hAnsi="Arial"/>
          <w:sz w:val="18"/>
          <w:szCs w:val="18"/>
          <w:b w:val="1"/>
          <w:bCs w:val="1"/>
          <w:color w:val="0233A1"/>
        </w:rPr>
        <w:t>Proxy Voting</w:t>
      </w:r>
    </w:p>
    <w:p>
      <w:pPr>
        <w:jc w:val="both"/>
        <w:spacing w:after="0" w:line="239" w:lineRule="auto"/>
        <w:rPr>
          <w:sz w:val="20"/>
          <w:szCs w:val="20"/>
          <w:color w:val="auto"/>
        </w:rPr>
      </w:pPr>
      <w:r>
        <w:rPr>
          <w:rFonts w:ascii="Arial" w:cs="Arial" w:eastAsia="Arial" w:hAnsi="Arial"/>
          <w:sz w:val="18"/>
          <w:szCs w:val="18"/>
          <w:color w:val="auto"/>
        </w:rPr>
        <w:t>Your vote is very important. Whether or not you plan to attend the annual general meeting in person, please sign, date, and promptly return your proxy card by mail, or alternatively please grant a proxy and give voting instructions by telephone or internet, so that you may be represented at the meeting. Voting instructions are provided on your proxy card or on the voting instruction form provided by your broker. Brokers are not permitted to vote on certain proposals and may elect not to vote on any of the proposals unless you provide voting instructions. Voting your shares will help to ensure that your interests are represented at the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0233A1"/>
        </w:rPr>
        <w:t>Important Notice of Internet Availability of Proxy Materials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0233A1"/>
        </w:rPr>
        <w:t>for the Annual General Meeting of Shareholders to be Held on April 3, 2024</w:t>
      </w:r>
    </w:p>
    <w:p>
      <w:pPr>
        <w:jc w:val="both"/>
        <w:spacing w:after="0" w:line="260" w:lineRule="auto"/>
        <w:rPr>
          <w:sz w:val="20"/>
          <w:szCs w:val="20"/>
          <w:color w:val="auto"/>
        </w:rPr>
      </w:pPr>
      <w:r>
        <w:rPr>
          <w:rFonts w:ascii="Arial" w:cs="Arial" w:eastAsia="Arial" w:hAnsi="Arial"/>
          <w:sz w:val="18"/>
          <w:szCs w:val="18"/>
          <w:color w:val="auto"/>
        </w:rPr>
        <w:t>This Notice, the Proxy Statement, the Notice of Internet Availability of Proxy Materials (</w:t>
      </w:r>
      <w:r>
        <w:rPr>
          <w:rFonts w:ascii="Arial" w:cs="Arial" w:eastAsia="Arial" w:hAnsi="Arial"/>
          <w:sz w:val="18"/>
          <w:szCs w:val="18"/>
          <w:b w:val="1"/>
          <w:bCs w:val="1"/>
          <w:color w:val="auto"/>
        </w:rPr>
        <w:t>Notice of Internet Availability</w:t>
      </w:r>
      <w:r>
        <w:rPr>
          <w:rFonts w:ascii="Arial" w:cs="Arial" w:eastAsia="Arial" w:hAnsi="Arial"/>
          <w:sz w:val="18"/>
          <w:szCs w:val="18"/>
          <w:color w:val="auto"/>
        </w:rPr>
        <w:t xml:space="preserve">), and our 2023 Annual Report are each available free of charge at </w:t>
      </w:r>
      <w:r>
        <w:rPr>
          <w:rFonts w:ascii="Arial" w:cs="Arial" w:eastAsia="Arial" w:hAnsi="Arial"/>
          <w:sz w:val="18"/>
          <w:szCs w:val="18"/>
          <w:b w:val="1"/>
          <w:bCs w:val="1"/>
          <w:i w:val="1"/>
          <w:iCs w:val="1"/>
          <w:color w:val="auto"/>
        </w:rPr>
        <w:t>https://investorcenter.slb.com</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www.proxydocs.com/SLB</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50"/>
          <w:szCs w:val="50"/>
          <w:color w:val="0233A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5400" w:type="dxa"/>
            <w:vAlign w:val="bottom"/>
            <w:tcBorders>
              <w:bottom w:val="single" w:sz="8" w:color="5A5C5F"/>
            </w:tcBorders>
            <w:gridSpan w:val="2"/>
          </w:tcPr>
          <w:p>
            <w:pPr>
              <w:spacing w:after="0"/>
              <w:rPr>
                <w:sz w:val="20"/>
                <w:szCs w:val="20"/>
                <w:color w:val="auto"/>
              </w:rPr>
            </w:pPr>
            <w:r>
              <w:rPr>
                <w:rFonts w:ascii="Arial" w:cs="Arial" w:eastAsia="Arial" w:hAnsi="Arial"/>
                <w:sz w:val="22"/>
                <w:szCs w:val="22"/>
                <w:b w:val="1"/>
                <w:bCs w:val="1"/>
                <w:color w:val="0233A1"/>
              </w:rPr>
              <w:t>Proxy Summary</w:t>
            </w:r>
          </w:p>
        </w:tc>
        <w:tc>
          <w:tcPr>
            <w:tcW w:w="460" w:type="dxa"/>
            <w:vAlign w:val="bottom"/>
            <w:tcBorders>
              <w:bottom w:val="single" w:sz="8" w:color="5A5C5F"/>
            </w:tcBorders>
          </w:tcPr>
          <w:p>
            <w:pPr>
              <w:spacing w:after="0"/>
              <w:rPr>
                <w:sz w:val="23"/>
                <w:szCs w:val="23"/>
                <w:color w:val="auto"/>
              </w:rPr>
            </w:pPr>
          </w:p>
        </w:tc>
        <w:tc>
          <w:tcPr>
            <w:tcW w:w="4480" w:type="dxa"/>
            <w:vAlign w:val="bottom"/>
            <w:tcBorders>
              <w:bottom w:val="single" w:sz="8" w:color="5A5C5F"/>
            </w:tcBorders>
          </w:tcPr>
          <w:p>
            <w:pPr>
              <w:spacing w:after="0"/>
              <w:rPr>
                <w:sz w:val="23"/>
                <w:szCs w:val="23"/>
                <w:color w:val="auto"/>
              </w:rPr>
            </w:pPr>
          </w:p>
        </w:tc>
        <w:tc>
          <w:tcPr>
            <w:tcW w:w="900" w:type="dxa"/>
            <w:vAlign w:val="bottom"/>
            <w:tcBorders>
              <w:bottom w:val="single" w:sz="8" w:color="5A5C5F"/>
            </w:tcBorders>
          </w:tcPr>
          <w:p>
            <w:pPr>
              <w:jc w:val="right"/>
              <w:spacing w:after="0"/>
              <w:rPr>
                <w:sz w:val="20"/>
                <w:szCs w:val="20"/>
                <w:color w:val="auto"/>
              </w:rPr>
            </w:pPr>
            <w:r>
              <w:rPr>
                <w:rFonts w:ascii="Arial" w:cs="Arial" w:eastAsia="Arial" w:hAnsi="Arial"/>
                <w:sz w:val="22"/>
                <w:szCs w:val="22"/>
                <w:b w:val="1"/>
                <w:bCs w:val="1"/>
                <w:color w:val="0233A1"/>
              </w:rPr>
              <w:t>6</w:t>
            </w:r>
          </w:p>
        </w:tc>
        <w:tc>
          <w:tcPr>
            <w:tcW w:w="0" w:type="dxa"/>
            <w:vAlign w:val="bottom"/>
          </w:tcPr>
          <w:p>
            <w:pPr>
              <w:spacing w:after="0"/>
              <w:rPr>
                <w:sz w:val="1"/>
                <w:szCs w:val="1"/>
                <w:color w:val="auto"/>
              </w:rPr>
            </w:pPr>
          </w:p>
        </w:tc>
      </w:tr>
      <w:tr>
        <w:trPr>
          <w:trHeight w:val="168"/>
        </w:trPr>
        <w:tc>
          <w:tcPr>
            <w:tcW w:w="5400" w:type="dxa"/>
            <w:vAlign w:val="bottom"/>
            <w:gridSpan w:val="2"/>
          </w:tcPr>
          <w:p>
            <w:pPr>
              <w:spacing w:after="0" w:line="168" w:lineRule="exact"/>
              <w:rPr>
                <w:sz w:val="20"/>
                <w:szCs w:val="20"/>
                <w:color w:val="auto"/>
              </w:rPr>
            </w:pPr>
            <w:r>
              <w:rPr>
                <w:rFonts w:ascii="Arial" w:cs="Arial" w:eastAsia="Arial" w:hAnsi="Arial"/>
                <w:sz w:val="16"/>
                <w:szCs w:val="16"/>
                <w:color w:val="auto"/>
              </w:rPr>
              <w:t>Voting at the 2024 Annual General Meeting</w:t>
            </w:r>
          </w:p>
        </w:tc>
        <w:tc>
          <w:tcPr>
            <w:tcW w:w="4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89"/>
        </w:trPr>
        <w:tc>
          <w:tcPr>
            <w:tcW w:w="5400" w:type="dxa"/>
            <w:vAlign w:val="bottom"/>
            <w:gridSpan w:val="2"/>
          </w:tcPr>
          <w:p>
            <w:pPr>
              <w:spacing w:after="0"/>
              <w:rPr>
                <w:sz w:val="20"/>
                <w:szCs w:val="20"/>
                <w:color w:val="auto"/>
              </w:rPr>
            </w:pPr>
            <w:r>
              <w:rPr>
                <w:rFonts w:ascii="Arial" w:cs="Arial" w:eastAsia="Arial" w:hAnsi="Arial"/>
                <w:sz w:val="16"/>
                <w:szCs w:val="16"/>
                <w:color w:val="auto"/>
              </w:rPr>
              <w:t>2023 Performance Highlights</w:t>
            </w:r>
          </w:p>
        </w:tc>
        <w:tc>
          <w:tcPr>
            <w:tcW w:w="4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89"/>
        </w:trPr>
        <w:tc>
          <w:tcPr>
            <w:tcW w:w="5400" w:type="dxa"/>
            <w:vAlign w:val="bottom"/>
            <w:gridSpan w:val="2"/>
          </w:tcPr>
          <w:p>
            <w:pPr>
              <w:spacing w:after="0"/>
              <w:rPr>
                <w:sz w:val="20"/>
                <w:szCs w:val="20"/>
                <w:color w:val="auto"/>
              </w:rPr>
            </w:pPr>
            <w:r>
              <w:rPr>
                <w:rFonts w:ascii="Arial" w:cs="Arial" w:eastAsia="Arial" w:hAnsi="Arial"/>
                <w:sz w:val="16"/>
                <w:szCs w:val="16"/>
                <w:color w:val="auto"/>
              </w:rPr>
              <w:t>Our Director Nominees</w:t>
            </w:r>
          </w:p>
        </w:tc>
        <w:tc>
          <w:tcPr>
            <w:tcW w:w="4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89"/>
        </w:trPr>
        <w:tc>
          <w:tcPr>
            <w:tcW w:w="5400" w:type="dxa"/>
            <w:vAlign w:val="bottom"/>
            <w:gridSpan w:val="2"/>
          </w:tcPr>
          <w:p>
            <w:pPr>
              <w:spacing w:after="0"/>
              <w:rPr>
                <w:sz w:val="20"/>
                <w:szCs w:val="20"/>
                <w:color w:val="auto"/>
              </w:rPr>
            </w:pPr>
            <w:r>
              <w:rPr>
                <w:rFonts w:ascii="Arial" w:cs="Arial" w:eastAsia="Arial" w:hAnsi="Arial"/>
                <w:sz w:val="16"/>
                <w:szCs w:val="16"/>
                <w:color w:val="auto"/>
              </w:rPr>
              <w:t>Governance Highlights</w:t>
            </w:r>
          </w:p>
        </w:tc>
        <w:tc>
          <w:tcPr>
            <w:tcW w:w="4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5"/>
        </w:trPr>
        <w:tc>
          <w:tcPr>
            <w:tcW w:w="5400" w:type="dxa"/>
            <w:vAlign w:val="bottom"/>
            <w:gridSpan w:val="2"/>
          </w:tcPr>
          <w:p>
            <w:pPr>
              <w:spacing w:after="0"/>
              <w:rPr>
                <w:sz w:val="20"/>
                <w:szCs w:val="20"/>
                <w:color w:val="auto"/>
              </w:rPr>
            </w:pPr>
            <w:r>
              <w:rPr>
                <w:rFonts w:ascii="Arial" w:cs="Arial" w:eastAsia="Arial" w:hAnsi="Arial"/>
                <w:sz w:val="16"/>
                <w:szCs w:val="16"/>
                <w:color w:val="auto"/>
              </w:rPr>
              <w:t>2023 Executive Compensation Highlights</w:t>
            </w:r>
          </w:p>
        </w:tc>
        <w:tc>
          <w:tcPr>
            <w:tcW w:w="46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421"/>
        </w:trPr>
        <w:tc>
          <w:tcPr>
            <w:tcW w:w="5400" w:type="dxa"/>
            <w:vAlign w:val="bottom"/>
            <w:tcBorders>
              <w:bottom w:val="single" w:sz="8" w:color="5A5C5F"/>
            </w:tcBorders>
            <w:gridSpan w:val="2"/>
          </w:tcPr>
          <w:p>
            <w:pPr>
              <w:spacing w:after="0"/>
              <w:rPr>
                <w:sz w:val="20"/>
                <w:szCs w:val="20"/>
                <w:color w:val="auto"/>
              </w:rPr>
            </w:pPr>
            <w:r>
              <w:rPr>
                <w:rFonts w:ascii="Arial" w:cs="Arial" w:eastAsia="Arial" w:hAnsi="Arial"/>
                <w:sz w:val="22"/>
                <w:szCs w:val="22"/>
                <w:b w:val="1"/>
                <w:bCs w:val="1"/>
                <w:color w:val="0233A1"/>
              </w:rPr>
              <w:t>Leader in Global Diversity</w:t>
            </w:r>
          </w:p>
        </w:tc>
        <w:tc>
          <w:tcPr>
            <w:tcW w:w="460" w:type="dxa"/>
            <w:vAlign w:val="bottom"/>
            <w:tcBorders>
              <w:bottom w:val="single" w:sz="8" w:color="5A5C5F"/>
            </w:tcBorders>
          </w:tcPr>
          <w:p>
            <w:pPr>
              <w:spacing w:after="0"/>
              <w:rPr>
                <w:sz w:val="24"/>
                <w:szCs w:val="24"/>
                <w:color w:val="auto"/>
              </w:rPr>
            </w:pPr>
          </w:p>
        </w:tc>
        <w:tc>
          <w:tcPr>
            <w:tcW w:w="4480" w:type="dxa"/>
            <w:vAlign w:val="bottom"/>
            <w:tcBorders>
              <w:bottom w:val="single" w:sz="8" w:color="5A5C5F"/>
            </w:tcBorders>
          </w:tcPr>
          <w:p>
            <w:pPr>
              <w:spacing w:after="0"/>
              <w:rPr>
                <w:sz w:val="24"/>
                <w:szCs w:val="24"/>
                <w:color w:val="auto"/>
              </w:rPr>
            </w:pPr>
          </w:p>
        </w:tc>
        <w:tc>
          <w:tcPr>
            <w:tcW w:w="900" w:type="dxa"/>
            <w:vAlign w:val="bottom"/>
            <w:tcBorders>
              <w:bottom w:val="single" w:sz="8" w:color="5A5C5F"/>
            </w:tcBorders>
          </w:tcPr>
          <w:p>
            <w:pPr>
              <w:jc w:val="right"/>
              <w:spacing w:after="0"/>
              <w:rPr>
                <w:sz w:val="20"/>
                <w:szCs w:val="20"/>
                <w:color w:val="auto"/>
              </w:rPr>
            </w:pPr>
            <w:r>
              <w:rPr>
                <w:rFonts w:ascii="Arial" w:cs="Arial" w:eastAsia="Arial" w:hAnsi="Arial"/>
                <w:sz w:val="22"/>
                <w:szCs w:val="22"/>
                <w:b w:val="1"/>
                <w:bCs w:val="1"/>
                <w:color w:val="0233A1"/>
              </w:rPr>
              <w:t>10</w:t>
            </w:r>
          </w:p>
        </w:tc>
        <w:tc>
          <w:tcPr>
            <w:tcW w:w="0" w:type="dxa"/>
            <w:vAlign w:val="bottom"/>
          </w:tcPr>
          <w:p>
            <w:pPr>
              <w:spacing w:after="0"/>
              <w:rPr>
                <w:sz w:val="1"/>
                <w:szCs w:val="1"/>
                <w:color w:val="auto"/>
              </w:rPr>
            </w:pPr>
          </w:p>
        </w:tc>
      </w:tr>
      <w:tr>
        <w:trPr>
          <w:trHeight w:val="425"/>
        </w:trPr>
        <w:tc>
          <w:tcPr>
            <w:tcW w:w="5400" w:type="dxa"/>
            <w:vAlign w:val="bottom"/>
            <w:tcBorders>
              <w:bottom w:val="single" w:sz="8" w:color="5A5C5F"/>
            </w:tcBorders>
            <w:gridSpan w:val="2"/>
          </w:tcPr>
          <w:p>
            <w:pPr>
              <w:spacing w:after="0"/>
              <w:rPr>
                <w:sz w:val="20"/>
                <w:szCs w:val="20"/>
                <w:color w:val="auto"/>
              </w:rPr>
            </w:pPr>
            <w:r>
              <w:rPr>
                <w:rFonts w:ascii="Arial" w:cs="Arial" w:eastAsia="Arial" w:hAnsi="Arial"/>
                <w:sz w:val="22"/>
                <w:szCs w:val="22"/>
                <w:b w:val="1"/>
                <w:bCs w:val="1"/>
                <w:color w:val="0233A1"/>
              </w:rPr>
              <w:t>Item 1. Election of Directors</w:t>
            </w:r>
          </w:p>
        </w:tc>
        <w:tc>
          <w:tcPr>
            <w:tcW w:w="460" w:type="dxa"/>
            <w:vAlign w:val="bottom"/>
            <w:tcBorders>
              <w:bottom w:val="single" w:sz="8" w:color="5A5C5F"/>
            </w:tcBorders>
          </w:tcPr>
          <w:p>
            <w:pPr>
              <w:spacing w:after="0"/>
              <w:rPr>
                <w:sz w:val="24"/>
                <w:szCs w:val="24"/>
                <w:color w:val="auto"/>
              </w:rPr>
            </w:pPr>
          </w:p>
        </w:tc>
        <w:tc>
          <w:tcPr>
            <w:tcW w:w="4480" w:type="dxa"/>
            <w:vAlign w:val="bottom"/>
            <w:tcBorders>
              <w:bottom w:val="single" w:sz="8" w:color="5A5C5F"/>
            </w:tcBorders>
          </w:tcPr>
          <w:p>
            <w:pPr>
              <w:spacing w:after="0"/>
              <w:rPr>
                <w:sz w:val="24"/>
                <w:szCs w:val="24"/>
                <w:color w:val="auto"/>
              </w:rPr>
            </w:pPr>
          </w:p>
        </w:tc>
        <w:tc>
          <w:tcPr>
            <w:tcW w:w="900" w:type="dxa"/>
            <w:vAlign w:val="bottom"/>
            <w:tcBorders>
              <w:bottom w:val="single" w:sz="8" w:color="5A5C5F"/>
            </w:tcBorders>
          </w:tcPr>
          <w:p>
            <w:pPr>
              <w:jc w:val="right"/>
              <w:spacing w:after="0"/>
              <w:rPr>
                <w:sz w:val="20"/>
                <w:szCs w:val="20"/>
                <w:color w:val="auto"/>
              </w:rPr>
            </w:pPr>
            <w:r>
              <w:rPr>
                <w:rFonts w:ascii="Arial" w:cs="Arial" w:eastAsia="Arial" w:hAnsi="Arial"/>
                <w:sz w:val="22"/>
                <w:szCs w:val="22"/>
                <w:b w:val="1"/>
                <w:bCs w:val="1"/>
                <w:color w:val="0233A1"/>
              </w:rPr>
              <w:t>12</w:t>
            </w:r>
          </w:p>
        </w:tc>
        <w:tc>
          <w:tcPr>
            <w:tcW w:w="0" w:type="dxa"/>
            <w:vAlign w:val="bottom"/>
          </w:tcPr>
          <w:p>
            <w:pPr>
              <w:spacing w:after="0"/>
              <w:rPr>
                <w:sz w:val="1"/>
                <w:szCs w:val="1"/>
                <w:color w:val="auto"/>
              </w:rPr>
            </w:pPr>
          </w:p>
        </w:tc>
      </w:tr>
      <w:tr>
        <w:trPr>
          <w:trHeight w:val="208"/>
        </w:trPr>
        <w:tc>
          <w:tcPr>
            <w:tcW w:w="5400" w:type="dxa"/>
            <w:vAlign w:val="bottom"/>
            <w:gridSpan w:val="2"/>
          </w:tcPr>
          <w:p>
            <w:pPr>
              <w:spacing w:after="0"/>
              <w:rPr>
                <w:sz w:val="20"/>
                <w:szCs w:val="20"/>
                <w:color w:val="auto"/>
              </w:rPr>
            </w:pPr>
            <w:r>
              <w:rPr>
                <w:rFonts w:ascii="Arial" w:cs="Arial" w:eastAsia="Arial" w:hAnsi="Arial"/>
                <w:sz w:val="16"/>
                <w:szCs w:val="16"/>
                <w:color w:val="auto"/>
              </w:rPr>
              <w:t>Skills and Experience of Our Director Nominees</w:t>
            </w:r>
          </w:p>
        </w:tc>
        <w:tc>
          <w:tcPr>
            <w:tcW w:w="46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406"/>
        </w:trPr>
        <w:tc>
          <w:tcPr>
            <w:tcW w:w="5400" w:type="dxa"/>
            <w:vAlign w:val="bottom"/>
            <w:tcBorders>
              <w:bottom w:val="single" w:sz="8" w:color="5A5C5F"/>
            </w:tcBorders>
            <w:gridSpan w:val="2"/>
          </w:tcPr>
          <w:p>
            <w:pPr>
              <w:spacing w:after="0"/>
              <w:rPr>
                <w:sz w:val="20"/>
                <w:szCs w:val="20"/>
                <w:color w:val="auto"/>
              </w:rPr>
            </w:pPr>
            <w:r>
              <w:rPr>
                <w:rFonts w:ascii="Arial" w:cs="Arial" w:eastAsia="Arial" w:hAnsi="Arial"/>
                <w:sz w:val="22"/>
                <w:szCs w:val="22"/>
                <w:b w:val="1"/>
                <w:bCs w:val="1"/>
                <w:color w:val="0233A1"/>
              </w:rPr>
              <w:t>Corporate Governance</w:t>
            </w:r>
          </w:p>
        </w:tc>
        <w:tc>
          <w:tcPr>
            <w:tcW w:w="460" w:type="dxa"/>
            <w:vAlign w:val="bottom"/>
            <w:tcBorders>
              <w:bottom w:val="single" w:sz="8" w:color="5A5C5F"/>
            </w:tcBorders>
          </w:tcPr>
          <w:p>
            <w:pPr>
              <w:spacing w:after="0"/>
              <w:rPr>
                <w:sz w:val="24"/>
                <w:szCs w:val="24"/>
                <w:color w:val="auto"/>
              </w:rPr>
            </w:pPr>
          </w:p>
        </w:tc>
        <w:tc>
          <w:tcPr>
            <w:tcW w:w="4480" w:type="dxa"/>
            <w:vAlign w:val="bottom"/>
            <w:tcBorders>
              <w:bottom w:val="single" w:sz="8" w:color="5A5C5F"/>
            </w:tcBorders>
          </w:tcPr>
          <w:p>
            <w:pPr>
              <w:spacing w:after="0"/>
              <w:rPr>
                <w:sz w:val="24"/>
                <w:szCs w:val="24"/>
                <w:color w:val="auto"/>
              </w:rPr>
            </w:pPr>
          </w:p>
        </w:tc>
        <w:tc>
          <w:tcPr>
            <w:tcW w:w="900" w:type="dxa"/>
            <w:vAlign w:val="bottom"/>
            <w:tcBorders>
              <w:bottom w:val="single" w:sz="8" w:color="5A5C5F"/>
            </w:tcBorders>
          </w:tcPr>
          <w:p>
            <w:pPr>
              <w:jc w:val="right"/>
              <w:spacing w:after="0"/>
              <w:rPr>
                <w:sz w:val="20"/>
                <w:szCs w:val="20"/>
                <w:color w:val="auto"/>
              </w:rPr>
            </w:pPr>
            <w:r>
              <w:rPr>
                <w:rFonts w:ascii="Arial" w:cs="Arial" w:eastAsia="Arial" w:hAnsi="Arial"/>
                <w:sz w:val="22"/>
                <w:szCs w:val="22"/>
                <w:b w:val="1"/>
                <w:bCs w:val="1"/>
                <w:color w:val="0233A1"/>
              </w:rPr>
              <w:t>19</w:t>
            </w:r>
          </w:p>
        </w:tc>
        <w:tc>
          <w:tcPr>
            <w:tcW w:w="0" w:type="dxa"/>
            <w:vAlign w:val="bottom"/>
          </w:tcPr>
          <w:p>
            <w:pPr>
              <w:spacing w:after="0"/>
              <w:rPr>
                <w:sz w:val="1"/>
                <w:szCs w:val="1"/>
                <w:color w:val="auto"/>
              </w:rPr>
            </w:pPr>
          </w:p>
        </w:tc>
      </w:tr>
      <w:tr>
        <w:trPr>
          <w:trHeight w:val="168"/>
        </w:trPr>
        <w:tc>
          <w:tcPr>
            <w:tcW w:w="5400" w:type="dxa"/>
            <w:vAlign w:val="bottom"/>
            <w:gridSpan w:val="2"/>
          </w:tcPr>
          <w:p>
            <w:pPr>
              <w:spacing w:after="0" w:line="168" w:lineRule="exact"/>
              <w:rPr>
                <w:sz w:val="20"/>
                <w:szCs w:val="20"/>
                <w:color w:val="auto"/>
              </w:rPr>
            </w:pPr>
            <w:r>
              <w:rPr>
                <w:rFonts w:ascii="Arial" w:cs="Arial" w:eastAsia="Arial" w:hAnsi="Arial"/>
                <w:sz w:val="16"/>
                <w:szCs w:val="16"/>
                <w:color w:val="auto"/>
              </w:rPr>
              <w:t>New Independent Chair</w:t>
            </w:r>
          </w:p>
        </w:tc>
        <w:tc>
          <w:tcPr>
            <w:tcW w:w="4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89"/>
        </w:trPr>
        <w:tc>
          <w:tcPr>
            <w:tcW w:w="5400" w:type="dxa"/>
            <w:vAlign w:val="bottom"/>
            <w:gridSpan w:val="2"/>
          </w:tcPr>
          <w:p>
            <w:pPr>
              <w:spacing w:after="0"/>
              <w:rPr>
                <w:sz w:val="20"/>
                <w:szCs w:val="20"/>
                <w:color w:val="auto"/>
              </w:rPr>
            </w:pPr>
            <w:r>
              <w:rPr>
                <w:rFonts w:ascii="Arial" w:cs="Arial" w:eastAsia="Arial" w:hAnsi="Arial"/>
                <w:sz w:val="16"/>
                <w:szCs w:val="16"/>
                <w:color w:val="auto"/>
              </w:rPr>
              <w:t>Leadership Structure</w:t>
            </w:r>
          </w:p>
        </w:tc>
        <w:tc>
          <w:tcPr>
            <w:tcW w:w="4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89"/>
        </w:trPr>
        <w:tc>
          <w:tcPr>
            <w:tcW w:w="5400" w:type="dxa"/>
            <w:vAlign w:val="bottom"/>
            <w:gridSpan w:val="2"/>
          </w:tcPr>
          <w:p>
            <w:pPr>
              <w:spacing w:after="0"/>
              <w:rPr>
                <w:sz w:val="20"/>
                <w:szCs w:val="20"/>
                <w:color w:val="auto"/>
              </w:rPr>
            </w:pPr>
            <w:r>
              <w:rPr>
                <w:rFonts w:ascii="Arial" w:cs="Arial" w:eastAsia="Arial" w:hAnsi="Arial"/>
                <w:sz w:val="16"/>
                <w:szCs w:val="16"/>
                <w:color w:val="auto"/>
              </w:rPr>
              <w:t>New SLB Code of Conduct Launched in 2023</w:t>
            </w:r>
          </w:p>
        </w:tc>
        <w:tc>
          <w:tcPr>
            <w:tcW w:w="4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89"/>
        </w:trPr>
        <w:tc>
          <w:tcPr>
            <w:tcW w:w="5400" w:type="dxa"/>
            <w:vAlign w:val="bottom"/>
            <w:gridSpan w:val="2"/>
          </w:tcPr>
          <w:p>
            <w:pPr>
              <w:spacing w:after="0"/>
              <w:rPr>
                <w:sz w:val="20"/>
                <w:szCs w:val="20"/>
                <w:color w:val="auto"/>
              </w:rPr>
            </w:pPr>
            <w:r>
              <w:rPr>
                <w:rFonts w:ascii="Arial" w:cs="Arial" w:eastAsia="Arial" w:hAnsi="Arial"/>
                <w:sz w:val="16"/>
                <w:szCs w:val="16"/>
                <w:color w:val="auto"/>
              </w:rPr>
              <w:t>Effective Board Oversight of Risk Management</w:t>
            </w:r>
          </w:p>
        </w:tc>
        <w:tc>
          <w:tcPr>
            <w:tcW w:w="4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89"/>
        </w:trPr>
        <w:tc>
          <w:tcPr>
            <w:tcW w:w="5400" w:type="dxa"/>
            <w:vAlign w:val="bottom"/>
            <w:gridSpan w:val="2"/>
          </w:tcPr>
          <w:p>
            <w:pPr>
              <w:spacing w:after="0"/>
              <w:rPr>
                <w:sz w:val="20"/>
                <w:szCs w:val="20"/>
                <w:color w:val="auto"/>
              </w:rPr>
            </w:pPr>
            <w:r>
              <w:rPr>
                <w:rFonts w:ascii="Arial" w:cs="Arial" w:eastAsia="Arial" w:hAnsi="Arial"/>
                <w:sz w:val="16"/>
                <w:szCs w:val="16"/>
                <w:color w:val="auto"/>
              </w:rPr>
              <w:t>Proactive Shareholder Engagement</w:t>
            </w:r>
          </w:p>
        </w:tc>
        <w:tc>
          <w:tcPr>
            <w:tcW w:w="4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89"/>
        </w:trPr>
        <w:tc>
          <w:tcPr>
            <w:tcW w:w="5400" w:type="dxa"/>
            <w:vAlign w:val="bottom"/>
            <w:gridSpan w:val="2"/>
          </w:tcPr>
          <w:p>
            <w:pPr>
              <w:spacing w:after="0"/>
              <w:rPr>
                <w:sz w:val="20"/>
                <w:szCs w:val="20"/>
                <w:color w:val="auto"/>
              </w:rPr>
            </w:pPr>
            <w:r>
              <w:rPr>
                <w:rFonts w:ascii="Arial" w:cs="Arial" w:eastAsia="Arial" w:hAnsi="Arial"/>
                <w:sz w:val="16"/>
                <w:szCs w:val="16"/>
                <w:color w:val="auto"/>
              </w:rPr>
              <w:t>Director Selection and Qualifications</w:t>
            </w:r>
          </w:p>
        </w:tc>
        <w:tc>
          <w:tcPr>
            <w:tcW w:w="4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89"/>
        </w:trPr>
        <w:tc>
          <w:tcPr>
            <w:tcW w:w="5400" w:type="dxa"/>
            <w:vAlign w:val="bottom"/>
            <w:gridSpan w:val="2"/>
          </w:tcPr>
          <w:p>
            <w:pPr>
              <w:spacing w:after="0"/>
              <w:rPr>
                <w:sz w:val="20"/>
                <w:szCs w:val="20"/>
                <w:color w:val="auto"/>
              </w:rPr>
            </w:pPr>
            <w:r>
              <w:rPr>
                <w:rFonts w:ascii="Arial" w:cs="Arial" w:eastAsia="Arial" w:hAnsi="Arial"/>
                <w:sz w:val="16"/>
                <w:szCs w:val="16"/>
                <w:color w:val="auto"/>
              </w:rPr>
              <w:t>Comprehensive Director Orientation and Education</w:t>
            </w:r>
          </w:p>
        </w:tc>
        <w:tc>
          <w:tcPr>
            <w:tcW w:w="4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89"/>
        </w:trPr>
        <w:tc>
          <w:tcPr>
            <w:tcW w:w="5400" w:type="dxa"/>
            <w:vAlign w:val="bottom"/>
            <w:gridSpan w:val="2"/>
          </w:tcPr>
          <w:p>
            <w:pPr>
              <w:spacing w:after="0"/>
              <w:rPr>
                <w:sz w:val="20"/>
                <w:szCs w:val="20"/>
                <w:color w:val="auto"/>
              </w:rPr>
            </w:pPr>
            <w:r>
              <w:rPr>
                <w:rFonts w:ascii="Arial" w:cs="Arial" w:eastAsia="Arial" w:hAnsi="Arial"/>
                <w:sz w:val="16"/>
                <w:szCs w:val="16"/>
                <w:color w:val="auto"/>
              </w:rPr>
              <w:t>Rigorous Evaluation Processes</w:t>
            </w:r>
          </w:p>
        </w:tc>
        <w:tc>
          <w:tcPr>
            <w:tcW w:w="4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189"/>
        </w:trPr>
        <w:tc>
          <w:tcPr>
            <w:tcW w:w="5400" w:type="dxa"/>
            <w:vAlign w:val="bottom"/>
            <w:gridSpan w:val="2"/>
          </w:tcPr>
          <w:p>
            <w:pPr>
              <w:spacing w:after="0"/>
              <w:rPr>
                <w:sz w:val="20"/>
                <w:szCs w:val="20"/>
                <w:color w:val="auto"/>
              </w:rPr>
            </w:pPr>
            <w:r>
              <w:rPr>
                <w:rFonts w:ascii="Arial" w:cs="Arial" w:eastAsia="Arial" w:hAnsi="Arial"/>
                <w:sz w:val="16"/>
                <w:szCs w:val="16"/>
                <w:color w:val="auto"/>
              </w:rPr>
              <w:t>Board Committees</w:t>
            </w:r>
          </w:p>
        </w:tc>
        <w:tc>
          <w:tcPr>
            <w:tcW w:w="4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189"/>
        </w:trPr>
        <w:tc>
          <w:tcPr>
            <w:tcW w:w="5400" w:type="dxa"/>
            <w:vAlign w:val="bottom"/>
            <w:gridSpan w:val="2"/>
          </w:tcPr>
          <w:p>
            <w:pPr>
              <w:spacing w:after="0"/>
              <w:rPr>
                <w:sz w:val="20"/>
                <w:szCs w:val="20"/>
                <w:color w:val="auto"/>
              </w:rPr>
            </w:pPr>
            <w:r>
              <w:rPr>
                <w:rFonts w:ascii="Arial" w:cs="Arial" w:eastAsia="Arial" w:hAnsi="Arial"/>
                <w:sz w:val="16"/>
                <w:szCs w:val="16"/>
                <w:color w:val="auto"/>
              </w:rPr>
              <w:t>Meeting Attendance</w:t>
            </w:r>
          </w:p>
        </w:tc>
        <w:tc>
          <w:tcPr>
            <w:tcW w:w="4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89"/>
        </w:trPr>
        <w:tc>
          <w:tcPr>
            <w:tcW w:w="5400" w:type="dxa"/>
            <w:vAlign w:val="bottom"/>
            <w:gridSpan w:val="2"/>
          </w:tcPr>
          <w:p>
            <w:pPr>
              <w:spacing w:after="0"/>
              <w:rPr>
                <w:sz w:val="20"/>
                <w:szCs w:val="20"/>
                <w:color w:val="auto"/>
              </w:rPr>
            </w:pPr>
            <w:r>
              <w:rPr>
                <w:rFonts w:ascii="Arial" w:cs="Arial" w:eastAsia="Arial" w:hAnsi="Arial"/>
                <w:sz w:val="16"/>
                <w:szCs w:val="16"/>
                <w:color w:val="auto"/>
              </w:rPr>
              <w:t>Director Independence</w:t>
            </w:r>
          </w:p>
        </w:tc>
        <w:tc>
          <w:tcPr>
            <w:tcW w:w="4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89"/>
        </w:trPr>
        <w:tc>
          <w:tcPr>
            <w:tcW w:w="5400" w:type="dxa"/>
            <w:vAlign w:val="bottom"/>
            <w:gridSpan w:val="2"/>
          </w:tcPr>
          <w:p>
            <w:pPr>
              <w:spacing w:after="0"/>
              <w:rPr>
                <w:sz w:val="20"/>
                <w:szCs w:val="20"/>
                <w:color w:val="auto"/>
              </w:rPr>
            </w:pPr>
            <w:r>
              <w:rPr>
                <w:rFonts w:ascii="Arial" w:cs="Arial" w:eastAsia="Arial" w:hAnsi="Arial"/>
                <w:sz w:val="16"/>
                <w:szCs w:val="16"/>
                <w:color w:val="auto"/>
              </w:rPr>
              <w:t>Corporate Governance Guidelines</w:t>
            </w:r>
          </w:p>
        </w:tc>
        <w:tc>
          <w:tcPr>
            <w:tcW w:w="4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89"/>
        </w:trPr>
        <w:tc>
          <w:tcPr>
            <w:tcW w:w="5400" w:type="dxa"/>
            <w:vAlign w:val="bottom"/>
            <w:gridSpan w:val="2"/>
          </w:tcPr>
          <w:p>
            <w:pPr>
              <w:spacing w:after="0"/>
              <w:rPr>
                <w:sz w:val="20"/>
                <w:szCs w:val="20"/>
                <w:color w:val="auto"/>
              </w:rPr>
            </w:pPr>
            <w:r>
              <w:rPr>
                <w:rFonts w:ascii="Arial" w:cs="Arial" w:eastAsia="Arial" w:hAnsi="Arial"/>
                <w:sz w:val="16"/>
                <w:szCs w:val="16"/>
                <w:color w:val="auto"/>
              </w:rPr>
              <w:t>Certain Relationships and Related Person Transactions</w:t>
            </w:r>
          </w:p>
        </w:tc>
        <w:tc>
          <w:tcPr>
            <w:tcW w:w="4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89"/>
        </w:trPr>
        <w:tc>
          <w:tcPr>
            <w:tcW w:w="5400" w:type="dxa"/>
            <w:vAlign w:val="bottom"/>
            <w:gridSpan w:val="2"/>
          </w:tcPr>
          <w:p>
            <w:pPr>
              <w:spacing w:after="0"/>
              <w:rPr>
                <w:sz w:val="20"/>
                <w:szCs w:val="20"/>
                <w:color w:val="auto"/>
              </w:rPr>
            </w:pPr>
            <w:r>
              <w:rPr>
                <w:rFonts w:ascii="Arial" w:cs="Arial" w:eastAsia="Arial" w:hAnsi="Arial"/>
                <w:sz w:val="16"/>
                <w:szCs w:val="16"/>
                <w:color w:val="auto"/>
              </w:rPr>
              <w:t>Compensation Committee Interlocks and Insider Participation</w:t>
            </w:r>
          </w:p>
        </w:tc>
        <w:tc>
          <w:tcPr>
            <w:tcW w:w="4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5"/>
        </w:trPr>
        <w:tc>
          <w:tcPr>
            <w:tcW w:w="5400" w:type="dxa"/>
            <w:vAlign w:val="bottom"/>
            <w:gridSpan w:val="2"/>
          </w:tcPr>
          <w:p>
            <w:pPr>
              <w:spacing w:after="0"/>
              <w:rPr>
                <w:sz w:val="20"/>
                <w:szCs w:val="20"/>
                <w:color w:val="auto"/>
              </w:rPr>
            </w:pPr>
            <w:r>
              <w:rPr>
                <w:rFonts w:ascii="Arial" w:cs="Arial" w:eastAsia="Arial" w:hAnsi="Arial"/>
                <w:sz w:val="16"/>
                <w:szCs w:val="16"/>
                <w:color w:val="auto"/>
              </w:rPr>
              <w:t>How to Communicate with Our Board</w:t>
            </w:r>
          </w:p>
        </w:tc>
        <w:tc>
          <w:tcPr>
            <w:tcW w:w="46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420"/>
        </w:trPr>
        <w:tc>
          <w:tcPr>
            <w:tcW w:w="5400" w:type="dxa"/>
            <w:vAlign w:val="bottom"/>
            <w:tcBorders>
              <w:bottom w:val="single" w:sz="8" w:color="5A5C5F"/>
            </w:tcBorders>
            <w:gridSpan w:val="2"/>
          </w:tcPr>
          <w:p>
            <w:pPr>
              <w:spacing w:after="0"/>
              <w:rPr>
                <w:sz w:val="20"/>
                <w:szCs w:val="20"/>
                <w:color w:val="auto"/>
              </w:rPr>
            </w:pPr>
            <w:r>
              <w:rPr>
                <w:rFonts w:ascii="Arial" w:cs="Arial" w:eastAsia="Arial" w:hAnsi="Arial"/>
                <w:sz w:val="22"/>
                <w:szCs w:val="22"/>
                <w:b w:val="1"/>
                <w:bCs w:val="1"/>
                <w:color w:val="0233A1"/>
              </w:rPr>
              <w:t>Director Compensation</w:t>
            </w:r>
          </w:p>
        </w:tc>
        <w:tc>
          <w:tcPr>
            <w:tcW w:w="460" w:type="dxa"/>
            <w:vAlign w:val="bottom"/>
            <w:tcBorders>
              <w:bottom w:val="single" w:sz="8" w:color="5A5C5F"/>
            </w:tcBorders>
          </w:tcPr>
          <w:p>
            <w:pPr>
              <w:spacing w:after="0"/>
              <w:rPr>
                <w:sz w:val="24"/>
                <w:szCs w:val="24"/>
                <w:color w:val="auto"/>
              </w:rPr>
            </w:pPr>
          </w:p>
        </w:tc>
        <w:tc>
          <w:tcPr>
            <w:tcW w:w="4480" w:type="dxa"/>
            <w:vAlign w:val="bottom"/>
            <w:tcBorders>
              <w:bottom w:val="single" w:sz="8" w:color="5A5C5F"/>
            </w:tcBorders>
          </w:tcPr>
          <w:p>
            <w:pPr>
              <w:spacing w:after="0"/>
              <w:rPr>
                <w:sz w:val="24"/>
                <w:szCs w:val="24"/>
                <w:color w:val="auto"/>
              </w:rPr>
            </w:pPr>
          </w:p>
        </w:tc>
        <w:tc>
          <w:tcPr>
            <w:tcW w:w="900" w:type="dxa"/>
            <w:vAlign w:val="bottom"/>
            <w:tcBorders>
              <w:bottom w:val="single" w:sz="8" w:color="5A5C5F"/>
            </w:tcBorders>
          </w:tcPr>
          <w:p>
            <w:pPr>
              <w:jc w:val="right"/>
              <w:spacing w:after="0"/>
              <w:rPr>
                <w:sz w:val="20"/>
                <w:szCs w:val="20"/>
                <w:color w:val="auto"/>
              </w:rPr>
            </w:pPr>
            <w:r>
              <w:rPr>
                <w:rFonts w:ascii="Arial" w:cs="Arial" w:eastAsia="Arial" w:hAnsi="Arial"/>
                <w:sz w:val="22"/>
                <w:szCs w:val="22"/>
                <w:b w:val="1"/>
                <w:bCs w:val="1"/>
                <w:color w:val="0233A1"/>
              </w:rPr>
              <w:t>27</w:t>
            </w:r>
          </w:p>
        </w:tc>
        <w:tc>
          <w:tcPr>
            <w:tcW w:w="0" w:type="dxa"/>
            <w:vAlign w:val="bottom"/>
          </w:tcPr>
          <w:p>
            <w:pPr>
              <w:spacing w:after="0"/>
              <w:rPr>
                <w:sz w:val="1"/>
                <w:szCs w:val="1"/>
                <w:color w:val="auto"/>
              </w:rPr>
            </w:pPr>
          </w:p>
        </w:tc>
      </w:tr>
      <w:tr>
        <w:trPr>
          <w:trHeight w:val="425"/>
        </w:trPr>
        <w:tc>
          <w:tcPr>
            <w:tcW w:w="5400" w:type="dxa"/>
            <w:vAlign w:val="bottom"/>
            <w:tcBorders>
              <w:bottom w:val="single" w:sz="8" w:color="5A5C5F"/>
            </w:tcBorders>
            <w:gridSpan w:val="2"/>
          </w:tcPr>
          <w:p>
            <w:pPr>
              <w:spacing w:after="0"/>
              <w:rPr>
                <w:sz w:val="20"/>
                <w:szCs w:val="20"/>
                <w:color w:val="auto"/>
              </w:rPr>
            </w:pPr>
            <w:r>
              <w:rPr>
                <w:rFonts w:ascii="Arial" w:cs="Arial" w:eastAsia="Arial" w:hAnsi="Arial"/>
                <w:sz w:val="22"/>
                <w:szCs w:val="22"/>
                <w:b w:val="1"/>
                <w:bCs w:val="1"/>
                <w:color w:val="0233A1"/>
              </w:rPr>
              <w:t>Stock Ownership Information</w:t>
            </w:r>
          </w:p>
        </w:tc>
        <w:tc>
          <w:tcPr>
            <w:tcW w:w="460" w:type="dxa"/>
            <w:vAlign w:val="bottom"/>
            <w:tcBorders>
              <w:bottom w:val="single" w:sz="8" w:color="5A5C5F"/>
            </w:tcBorders>
          </w:tcPr>
          <w:p>
            <w:pPr>
              <w:spacing w:after="0"/>
              <w:rPr>
                <w:sz w:val="24"/>
                <w:szCs w:val="24"/>
                <w:color w:val="auto"/>
              </w:rPr>
            </w:pPr>
          </w:p>
        </w:tc>
        <w:tc>
          <w:tcPr>
            <w:tcW w:w="4480" w:type="dxa"/>
            <w:vAlign w:val="bottom"/>
            <w:tcBorders>
              <w:bottom w:val="single" w:sz="8" w:color="5A5C5F"/>
            </w:tcBorders>
          </w:tcPr>
          <w:p>
            <w:pPr>
              <w:spacing w:after="0"/>
              <w:rPr>
                <w:sz w:val="24"/>
                <w:szCs w:val="24"/>
                <w:color w:val="auto"/>
              </w:rPr>
            </w:pPr>
          </w:p>
        </w:tc>
        <w:tc>
          <w:tcPr>
            <w:tcW w:w="900" w:type="dxa"/>
            <w:vAlign w:val="bottom"/>
            <w:tcBorders>
              <w:bottom w:val="single" w:sz="8" w:color="5A5C5F"/>
            </w:tcBorders>
          </w:tcPr>
          <w:p>
            <w:pPr>
              <w:jc w:val="right"/>
              <w:spacing w:after="0"/>
              <w:rPr>
                <w:sz w:val="20"/>
                <w:szCs w:val="20"/>
                <w:color w:val="auto"/>
              </w:rPr>
            </w:pPr>
            <w:r>
              <w:rPr>
                <w:rFonts w:ascii="Arial" w:cs="Arial" w:eastAsia="Arial" w:hAnsi="Arial"/>
                <w:sz w:val="22"/>
                <w:szCs w:val="22"/>
                <w:b w:val="1"/>
                <w:bCs w:val="1"/>
                <w:color w:val="0233A1"/>
              </w:rPr>
              <w:t>29</w:t>
            </w:r>
          </w:p>
        </w:tc>
        <w:tc>
          <w:tcPr>
            <w:tcW w:w="0" w:type="dxa"/>
            <w:vAlign w:val="bottom"/>
          </w:tcPr>
          <w:p>
            <w:pPr>
              <w:spacing w:after="0"/>
              <w:rPr>
                <w:sz w:val="1"/>
                <w:szCs w:val="1"/>
                <w:color w:val="auto"/>
              </w:rPr>
            </w:pPr>
          </w:p>
        </w:tc>
      </w:tr>
      <w:tr>
        <w:trPr>
          <w:trHeight w:val="425"/>
        </w:trPr>
        <w:tc>
          <w:tcPr>
            <w:tcW w:w="10340" w:type="dxa"/>
            <w:vAlign w:val="bottom"/>
            <w:tcBorders>
              <w:bottom w:val="single" w:sz="8" w:color="5A5C5F"/>
            </w:tcBorders>
            <w:gridSpan w:val="4"/>
          </w:tcPr>
          <w:p>
            <w:pPr>
              <w:spacing w:after="0"/>
              <w:rPr>
                <w:sz w:val="20"/>
                <w:szCs w:val="20"/>
                <w:color w:val="auto"/>
              </w:rPr>
            </w:pPr>
            <w:r>
              <w:rPr>
                <w:rFonts w:ascii="Arial" w:cs="Arial" w:eastAsia="Arial" w:hAnsi="Arial"/>
                <w:sz w:val="22"/>
                <w:szCs w:val="22"/>
                <w:b w:val="1"/>
                <w:bCs w:val="1"/>
                <w:color w:val="0233A1"/>
              </w:rPr>
              <w:t>ITEM 2. Advisory Approval of Our Executive Compensation</w:t>
            </w:r>
          </w:p>
        </w:tc>
        <w:tc>
          <w:tcPr>
            <w:tcW w:w="900" w:type="dxa"/>
            <w:vAlign w:val="bottom"/>
            <w:tcBorders>
              <w:bottom w:val="single" w:sz="8" w:color="5A5C5F"/>
            </w:tcBorders>
          </w:tcPr>
          <w:p>
            <w:pPr>
              <w:jc w:val="right"/>
              <w:spacing w:after="0"/>
              <w:rPr>
                <w:sz w:val="20"/>
                <w:szCs w:val="20"/>
                <w:color w:val="auto"/>
              </w:rPr>
            </w:pPr>
            <w:r>
              <w:rPr>
                <w:rFonts w:ascii="Arial" w:cs="Arial" w:eastAsia="Arial" w:hAnsi="Arial"/>
                <w:sz w:val="22"/>
                <w:szCs w:val="22"/>
                <w:b w:val="1"/>
                <w:bCs w:val="1"/>
                <w:color w:val="0233A1"/>
              </w:rPr>
              <w:t>31</w:t>
            </w:r>
          </w:p>
        </w:tc>
        <w:tc>
          <w:tcPr>
            <w:tcW w:w="0" w:type="dxa"/>
            <w:vAlign w:val="bottom"/>
          </w:tcPr>
          <w:p>
            <w:pPr>
              <w:spacing w:after="0"/>
              <w:rPr>
                <w:sz w:val="1"/>
                <w:szCs w:val="1"/>
                <w:color w:val="auto"/>
              </w:rPr>
            </w:pPr>
          </w:p>
        </w:tc>
      </w:tr>
      <w:tr>
        <w:trPr>
          <w:trHeight w:val="208"/>
        </w:trPr>
        <w:tc>
          <w:tcPr>
            <w:tcW w:w="5400" w:type="dxa"/>
            <w:vAlign w:val="bottom"/>
            <w:gridSpan w:val="2"/>
          </w:tcPr>
          <w:p>
            <w:pPr>
              <w:spacing w:after="0"/>
              <w:rPr>
                <w:sz w:val="20"/>
                <w:szCs w:val="20"/>
                <w:color w:val="auto"/>
              </w:rPr>
            </w:pPr>
            <w:r>
              <w:rPr>
                <w:rFonts w:ascii="Arial" w:cs="Arial" w:eastAsia="Arial" w:hAnsi="Arial"/>
                <w:sz w:val="16"/>
                <w:szCs w:val="16"/>
                <w:color w:val="auto"/>
              </w:rPr>
              <w:t>Compensation Committee Report</w:t>
            </w:r>
          </w:p>
        </w:tc>
        <w:tc>
          <w:tcPr>
            <w:tcW w:w="46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406"/>
        </w:trPr>
        <w:tc>
          <w:tcPr>
            <w:tcW w:w="5400" w:type="dxa"/>
            <w:vAlign w:val="bottom"/>
            <w:tcBorders>
              <w:bottom w:val="single" w:sz="8" w:color="5A5C5F"/>
            </w:tcBorders>
            <w:gridSpan w:val="2"/>
          </w:tcPr>
          <w:p>
            <w:pPr>
              <w:spacing w:after="0"/>
              <w:rPr>
                <w:sz w:val="20"/>
                <w:szCs w:val="20"/>
                <w:color w:val="auto"/>
              </w:rPr>
            </w:pPr>
            <w:r>
              <w:rPr>
                <w:rFonts w:ascii="Arial" w:cs="Arial" w:eastAsia="Arial" w:hAnsi="Arial"/>
                <w:sz w:val="22"/>
                <w:szCs w:val="22"/>
                <w:b w:val="1"/>
                <w:bCs w:val="1"/>
                <w:color w:val="0233A1"/>
              </w:rPr>
              <w:t>Compensation Discussion and Analysis</w:t>
            </w:r>
          </w:p>
        </w:tc>
        <w:tc>
          <w:tcPr>
            <w:tcW w:w="460" w:type="dxa"/>
            <w:vAlign w:val="bottom"/>
            <w:tcBorders>
              <w:bottom w:val="single" w:sz="8" w:color="5A5C5F"/>
            </w:tcBorders>
          </w:tcPr>
          <w:p>
            <w:pPr>
              <w:spacing w:after="0"/>
              <w:rPr>
                <w:sz w:val="24"/>
                <w:szCs w:val="24"/>
                <w:color w:val="auto"/>
              </w:rPr>
            </w:pPr>
          </w:p>
        </w:tc>
        <w:tc>
          <w:tcPr>
            <w:tcW w:w="4480" w:type="dxa"/>
            <w:vAlign w:val="bottom"/>
            <w:tcBorders>
              <w:bottom w:val="single" w:sz="8" w:color="5A5C5F"/>
            </w:tcBorders>
          </w:tcPr>
          <w:p>
            <w:pPr>
              <w:spacing w:after="0"/>
              <w:rPr>
                <w:sz w:val="24"/>
                <w:szCs w:val="24"/>
                <w:color w:val="auto"/>
              </w:rPr>
            </w:pPr>
          </w:p>
        </w:tc>
        <w:tc>
          <w:tcPr>
            <w:tcW w:w="900" w:type="dxa"/>
            <w:vAlign w:val="bottom"/>
            <w:tcBorders>
              <w:bottom w:val="single" w:sz="8" w:color="5A5C5F"/>
            </w:tcBorders>
          </w:tcPr>
          <w:p>
            <w:pPr>
              <w:jc w:val="right"/>
              <w:spacing w:after="0"/>
              <w:rPr>
                <w:sz w:val="20"/>
                <w:szCs w:val="20"/>
                <w:color w:val="auto"/>
              </w:rPr>
            </w:pPr>
            <w:r>
              <w:rPr>
                <w:rFonts w:ascii="Arial" w:cs="Arial" w:eastAsia="Arial" w:hAnsi="Arial"/>
                <w:sz w:val="22"/>
                <w:szCs w:val="22"/>
                <w:b w:val="1"/>
                <w:bCs w:val="1"/>
                <w:color w:val="0233A1"/>
              </w:rPr>
              <w:t>32</w:t>
            </w:r>
          </w:p>
        </w:tc>
        <w:tc>
          <w:tcPr>
            <w:tcW w:w="0" w:type="dxa"/>
            <w:vAlign w:val="bottom"/>
          </w:tcPr>
          <w:p>
            <w:pPr>
              <w:spacing w:after="0"/>
              <w:rPr>
                <w:sz w:val="1"/>
                <w:szCs w:val="1"/>
                <w:color w:val="auto"/>
              </w:rPr>
            </w:pPr>
          </w:p>
        </w:tc>
      </w:tr>
      <w:tr>
        <w:trPr>
          <w:trHeight w:val="168"/>
        </w:trPr>
        <w:tc>
          <w:tcPr>
            <w:tcW w:w="5400" w:type="dxa"/>
            <w:vAlign w:val="bottom"/>
            <w:gridSpan w:val="2"/>
          </w:tcPr>
          <w:p>
            <w:pPr>
              <w:spacing w:after="0" w:line="168" w:lineRule="exact"/>
              <w:rPr>
                <w:sz w:val="20"/>
                <w:szCs w:val="20"/>
                <w:color w:val="auto"/>
              </w:rPr>
            </w:pPr>
            <w:r>
              <w:rPr>
                <w:rFonts w:ascii="Arial" w:cs="Arial" w:eastAsia="Arial" w:hAnsi="Arial"/>
                <w:sz w:val="16"/>
                <w:szCs w:val="16"/>
                <w:color w:val="auto"/>
              </w:rPr>
              <w:t>2023 Compensation Decisions and Results</w:t>
            </w:r>
          </w:p>
        </w:tc>
        <w:tc>
          <w:tcPr>
            <w:tcW w:w="4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89"/>
        </w:trPr>
        <w:tc>
          <w:tcPr>
            <w:tcW w:w="5400" w:type="dxa"/>
            <w:vAlign w:val="bottom"/>
            <w:gridSpan w:val="2"/>
          </w:tcPr>
          <w:p>
            <w:pPr>
              <w:spacing w:after="0"/>
              <w:rPr>
                <w:sz w:val="20"/>
                <w:szCs w:val="20"/>
                <w:color w:val="auto"/>
              </w:rPr>
            </w:pPr>
            <w:r>
              <w:rPr>
                <w:rFonts w:ascii="Arial" w:cs="Arial" w:eastAsia="Arial" w:hAnsi="Arial"/>
                <w:sz w:val="16"/>
                <w:szCs w:val="16"/>
                <w:color w:val="auto"/>
              </w:rPr>
              <w:t>Framework for Setting 2023 Executive Compensation</w:t>
            </w:r>
          </w:p>
        </w:tc>
        <w:tc>
          <w:tcPr>
            <w:tcW w:w="4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89"/>
        </w:trPr>
        <w:tc>
          <w:tcPr>
            <w:tcW w:w="5400" w:type="dxa"/>
            <w:vAlign w:val="bottom"/>
            <w:gridSpan w:val="2"/>
          </w:tcPr>
          <w:p>
            <w:pPr>
              <w:spacing w:after="0"/>
              <w:rPr>
                <w:sz w:val="20"/>
                <w:szCs w:val="20"/>
                <w:color w:val="auto"/>
              </w:rPr>
            </w:pPr>
            <w:r>
              <w:rPr>
                <w:rFonts w:ascii="Arial" w:cs="Arial" w:eastAsia="Arial" w:hAnsi="Arial"/>
                <w:sz w:val="16"/>
                <w:szCs w:val="16"/>
                <w:color w:val="auto"/>
              </w:rPr>
              <w:t>Elements of 2023 Total Compensation</w:t>
            </w:r>
          </w:p>
        </w:tc>
        <w:tc>
          <w:tcPr>
            <w:tcW w:w="4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89"/>
        </w:trPr>
        <w:tc>
          <w:tcPr>
            <w:tcW w:w="5400" w:type="dxa"/>
            <w:vAlign w:val="bottom"/>
            <w:gridSpan w:val="2"/>
          </w:tcPr>
          <w:p>
            <w:pPr>
              <w:spacing w:after="0"/>
              <w:rPr>
                <w:sz w:val="20"/>
                <w:szCs w:val="20"/>
                <w:color w:val="auto"/>
              </w:rPr>
            </w:pPr>
            <w:r>
              <w:rPr>
                <w:rFonts w:ascii="Arial" w:cs="Arial" w:eastAsia="Arial" w:hAnsi="Arial"/>
                <w:sz w:val="16"/>
                <w:szCs w:val="16"/>
                <w:color w:val="auto"/>
              </w:rPr>
              <w:t>Other Aspects of Our Executive Compensation Program</w:t>
            </w:r>
          </w:p>
        </w:tc>
        <w:tc>
          <w:tcPr>
            <w:tcW w:w="4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5"/>
        </w:trPr>
        <w:tc>
          <w:tcPr>
            <w:tcW w:w="5400" w:type="dxa"/>
            <w:vAlign w:val="bottom"/>
            <w:gridSpan w:val="2"/>
          </w:tcPr>
          <w:p>
            <w:pPr>
              <w:spacing w:after="0"/>
              <w:rPr>
                <w:sz w:val="20"/>
                <w:szCs w:val="20"/>
                <w:color w:val="auto"/>
              </w:rPr>
            </w:pPr>
            <w:r>
              <w:rPr>
                <w:rFonts w:ascii="Arial" w:cs="Arial" w:eastAsia="Arial" w:hAnsi="Arial"/>
                <w:sz w:val="16"/>
                <w:szCs w:val="16"/>
                <w:color w:val="auto"/>
              </w:rPr>
              <w:t>Executive Compensation Governance</w:t>
            </w:r>
          </w:p>
        </w:tc>
        <w:tc>
          <w:tcPr>
            <w:tcW w:w="46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420"/>
        </w:trPr>
        <w:tc>
          <w:tcPr>
            <w:tcW w:w="5400" w:type="dxa"/>
            <w:vAlign w:val="bottom"/>
            <w:tcBorders>
              <w:bottom w:val="single" w:sz="8" w:color="5A5C5F"/>
            </w:tcBorders>
            <w:gridSpan w:val="2"/>
          </w:tcPr>
          <w:p>
            <w:pPr>
              <w:spacing w:after="0"/>
              <w:rPr>
                <w:sz w:val="20"/>
                <w:szCs w:val="20"/>
                <w:color w:val="auto"/>
              </w:rPr>
            </w:pPr>
            <w:r>
              <w:rPr>
                <w:rFonts w:ascii="Arial" w:cs="Arial" w:eastAsia="Arial" w:hAnsi="Arial"/>
                <w:sz w:val="22"/>
                <w:szCs w:val="22"/>
                <w:b w:val="1"/>
                <w:bCs w:val="1"/>
                <w:color w:val="0233A1"/>
              </w:rPr>
              <w:t>Executive Compensation Tables</w:t>
            </w:r>
          </w:p>
        </w:tc>
        <w:tc>
          <w:tcPr>
            <w:tcW w:w="460" w:type="dxa"/>
            <w:vAlign w:val="bottom"/>
            <w:tcBorders>
              <w:bottom w:val="single" w:sz="8" w:color="5A5C5F"/>
            </w:tcBorders>
          </w:tcPr>
          <w:p>
            <w:pPr>
              <w:spacing w:after="0"/>
              <w:rPr>
                <w:sz w:val="24"/>
                <w:szCs w:val="24"/>
                <w:color w:val="auto"/>
              </w:rPr>
            </w:pPr>
          </w:p>
        </w:tc>
        <w:tc>
          <w:tcPr>
            <w:tcW w:w="4480" w:type="dxa"/>
            <w:vAlign w:val="bottom"/>
            <w:tcBorders>
              <w:bottom w:val="single" w:sz="8" w:color="5A5C5F"/>
            </w:tcBorders>
          </w:tcPr>
          <w:p>
            <w:pPr>
              <w:spacing w:after="0"/>
              <w:rPr>
                <w:sz w:val="24"/>
                <w:szCs w:val="24"/>
                <w:color w:val="auto"/>
              </w:rPr>
            </w:pPr>
          </w:p>
        </w:tc>
        <w:tc>
          <w:tcPr>
            <w:tcW w:w="900" w:type="dxa"/>
            <w:vAlign w:val="bottom"/>
            <w:tcBorders>
              <w:bottom w:val="single" w:sz="8" w:color="5A5C5F"/>
            </w:tcBorders>
          </w:tcPr>
          <w:p>
            <w:pPr>
              <w:jc w:val="right"/>
              <w:spacing w:after="0"/>
              <w:rPr>
                <w:sz w:val="20"/>
                <w:szCs w:val="20"/>
                <w:color w:val="auto"/>
              </w:rPr>
            </w:pPr>
            <w:r>
              <w:rPr>
                <w:rFonts w:ascii="Arial" w:cs="Arial" w:eastAsia="Arial" w:hAnsi="Arial"/>
                <w:sz w:val="22"/>
                <w:szCs w:val="22"/>
                <w:b w:val="1"/>
                <w:bCs w:val="1"/>
                <w:color w:val="0233A1"/>
              </w:rPr>
              <w:t>50</w:t>
            </w:r>
          </w:p>
        </w:tc>
        <w:tc>
          <w:tcPr>
            <w:tcW w:w="0" w:type="dxa"/>
            <w:vAlign w:val="bottom"/>
          </w:tcPr>
          <w:p>
            <w:pPr>
              <w:spacing w:after="0"/>
              <w:rPr>
                <w:sz w:val="1"/>
                <w:szCs w:val="1"/>
                <w:color w:val="auto"/>
              </w:rPr>
            </w:pPr>
          </w:p>
        </w:tc>
      </w:tr>
      <w:tr>
        <w:trPr>
          <w:trHeight w:val="168"/>
        </w:trPr>
        <w:tc>
          <w:tcPr>
            <w:tcW w:w="5400" w:type="dxa"/>
            <w:vAlign w:val="bottom"/>
            <w:gridSpan w:val="2"/>
          </w:tcPr>
          <w:p>
            <w:pPr>
              <w:spacing w:after="0" w:line="168" w:lineRule="exact"/>
              <w:rPr>
                <w:sz w:val="20"/>
                <w:szCs w:val="20"/>
                <w:color w:val="auto"/>
              </w:rPr>
            </w:pPr>
            <w:r>
              <w:rPr>
                <w:rFonts w:ascii="Arial" w:cs="Arial" w:eastAsia="Arial" w:hAnsi="Arial"/>
                <w:sz w:val="16"/>
                <w:szCs w:val="16"/>
                <w:color w:val="auto"/>
              </w:rPr>
              <w:t>Summary Compensation Table</w:t>
            </w:r>
          </w:p>
        </w:tc>
        <w:tc>
          <w:tcPr>
            <w:tcW w:w="4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89"/>
        </w:trPr>
        <w:tc>
          <w:tcPr>
            <w:tcW w:w="5400" w:type="dxa"/>
            <w:vAlign w:val="bottom"/>
            <w:gridSpan w:val="2"/>
          </w:tcPr>
          <w:p>
            <w:pPr>
              <w:spacing w:after="0"/>
              <w:rPr>
                <w:sz w:val="20"/>
                <w:szCs w:val="20"/>
                <w:color w:val="auto"/>
              </w:rPr>
            </w:pPr>
            <w:r>
              <w:rPr>
                <w:rFonts w:ascii="Arial" w:cs="Arial" w:eastAsia="Arial" w:hAnsi="Arial"/>
                <w:sz w:val="16"/>
                <w:szCs w:val="16"/>
                <w:color w:val="auto"/>
              </w:rPr>
              <w:t>Grants of Plan-Based Awards in 2023</w:t>
            </w:r>
          </w:p>
        </w:tc>
        <w:tc>
          <w:tcPr>
            <w:tcW w:w="4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189"/>
        </w:trPr>
        <w:tc>
          <w:tcPr>
            <w:tcW w:w="5400" w:type="dxa"/>
            <w:vAlign w:val="bottom"/>
            <w:gridSpan w:val="2"/>
          </w:tcPr>
          <w:p>
            <w:pPr>
              <w:spacing w:after="0"/>
              <w:rPr>
                <w:sz w:val="20"/>
                <w:szCs w:val="20"/>
                <w:color w:val="auto"/>
              </w:rPr>
            </w:pPr>
            <w:r>
              <w:rPr>
                <w:rFonts w:ascii="Arial" w:cs="Arial" w:eastAsia="Arial" w:hAnsi="Arial"/>
                <w:sz w:val="16"/>
                <w:szCs w:val="16"/>
                <w:color w:val="auto"/>
              </w:rPr>
              <w:t>Outstanding Equity Awards at Year-End 2023</w:t>
            </w:r>
          </w:p>
        </w:tc>
        <w:tc>
          <w:tcPr>
            <w:tcW w:w="4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189"/>
        </w:trPr>
        <w:tc>
          <w:tcPr>
            <w:tcW w:w="5400" w:type="dxa"/>
            <w:vAlign w:val="bottom"/>
            <w:gridSpan w:val="2"/>
          </w:tcPr>
          <w:p>
            <w:pPr>
              <w:spacing w:after="0"/>
              <w:rPr>
                <w:sz w:val="20"/>
                <w:szCs w:val="20"/>
                <w:color w:val="auto"/>
              </w:rPr>
            </w:pPr>
            <w:r>
              <w:rPr>
                <w:rFonts w:ascii="Arial" w:cs="Arial" w:eastAsia="Arial" w:hAnsi="Arial"/>
                <w:sz w:val="16"/>
                <w:szCs w:val="16"/>
                <w:color w:val="auto"/>
              </w:rPr>
              <w:t>Option Exercises and Stock Vested in 2023</w:t>
            </w:r>
          </w:p>
        </w:tc>
        <w:tc>
          <w:tcPr>
            <w:tcW w:w="4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189"/>
        </w:trPr>
        <w:tc>
          <w:tcPr>
            <w:tcW w:w="5400" w:type="dxa"/>
            <w:vAlign w:val="bottom"/>
            <w:gridSpan w:val="2"/>
          </w:tcPr>
          <w:p>
            <w:pPr>
              <w:spacing w:after="0"/>
              <w:rPr>
                <w:sz w:val="20"/>
                <w:szCs w:val="20"/>
                <w:color w:val="auto"/>
              </w:rPr>
            </w:pPr>
            <w:r>
              <w:rPr>
                <w:rFonts w:ascii="Arial" w:cs="Arial" w:eastAsia="Arial" w:hAnsi="Arial"/>
                <w:sz w:val="16"/>
                <w:szCs w:val="16"/>
                <w:color w:val="auto"/>
              </w:rPr>
              <w:t>Pension Benefits</w:t>
            </w:r>
          </w:p>
        </w:tc>
        <w:tc>
          <w:tcPr>
            <w:tcW w:w="4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189"/>
        </w:trPr>
        <w:tc>
          <w:tcPr>
            <w:tcW w:w="5400" w:type="dxa"/>
            <w:vAlign w:val="bottom"/>
            <w:gridSpan w:val="2"/>
          </w:tcPr>
          <w:p>
            <w:pPr>
              <w:spacing w:after="0"/>
              <w:rPr>
                <w:sz w:val="20"/>
                <w:szCs w:val="20"/>
                <w:color w:val="auto"/>
              </w:rPr>
            </w:pPr>
            <w:r>
              <w:rPr>
                <w:rFonts w:ascii="Arial" w:cs="Arial" w:eastAsia="Arial" w:hAnsi="Arial"/>
                <w:sz w:val="16"/>
                <w:szCs w:val="16"/>
                <w:color w:val="auto"/>
              </w:rPr>
              <w:t>Nonqualified Deferred Compensation</w:t>
            </w:r>
          </w:p>
        </w:tc>
        <w:tc>
          <w:tcPr>
            <w:tcW w:w="4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189"/>
        </w:trPr>
        <w:tc>
          <w:tcPr>
            <w:tcW w:w="5400" w:type="dxa"/>
            <w:vAlign w:val="bottom"/>
            <w:gridSpan w:val="2"/>
          </w:tcPr>
          <w:p>
            <w:pPr>
              <w:spacing w:after="0"/>
              <w:rPr>
                <w:sz w:val="20"/>
                <w:szCs w:val="20"/>
                <w:color w:val="auto"/>
              </w:rPr>
            </w:pPr>
            <w:r>
              <w:rPr>
                <w:rFonts w:ascii="Arial" w:cs="Arial" w:eastAsia="Arial" w:hAnsi="Arial"/>
                <w:sz w:val="16"/>
                <w:szCs w:val="16"/>
                <w:color w:val="auto"/>
              </w:rPr>
              <w:t>Potential Payments Upon Termination or Change in Control</w:t>
            </w:r>
          </w:p>
        </w:tc>
        <w:tc>
          <w:tcPr>
            <w:tcW w:w="4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189"/>
        </w:trPr>
        <w:tc>
          <w:tcPr>
            <w:tcW w:w="5400" w:type="dxa"/>
            <w:vAlign w:val="bottom"/>
            <w:gridSpan w:val="2"/>
          </w:tcPr>
          <w:p>
            <w:pPr>
              <w:spacing w:after="0"/>
              <w:rPr>
                <w:sz w:val="20"/>
                <w:szCs w:val="20"/>
                <w:color w:val="auto"/>
              </w:rPr>
            </w:pPr>
            <w:r>
              <w:rPr>
                <w:rFonts w:ascii="Arial" w:cs="Arial" w:eastAsia="Arial" w:hAnsi="Arial"/>
                <w:sz w:val="16"/>
                <w:szCs w:val="16"/>
                <w:color w:val="auto"/>
              </w:rPr>
              <w:t>Equity Compensation Plan Information</w:t>
            </w:r>
          </w:p>
        </w:tc>
        <w:tc>
          <w:tcPr>
            <w:tcW w:w="4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5"/>
        </w:trPr>
        <w:tc>
          <w:tcPr>
            <w:tcW w:w="5400" w:type="dxa"/>
            <w:vAlign w:val="bottom"/>
            <w:gridSpan w:val="2"/>
          </w:tcPr>
          <w:p>
            <w:pPr>
              <w:spacing w:after="0"/>
              <w:rPr>
                <w:sz w:val="20"/>
                <w:szCs w:val="20"/>
                <w:color w:val="auto"/>
              </w:rPr>
            </w:pPr>
            <w:r>
              <w:rPr>
                <w:rFonts w:ascii="Arial" w:cs="Arial" w:eastAsia="Arial" w:hAnsi="Arial"/>
                <w:sz w:val="16"/>
                <w:szCs w:val="16"/>
                <w:color w:val="auto"/>
              </w:rPr>
              <w:t>CEO Pay Ratio</w:t>
            </w:r>
          </w:p>
        </w:tc>
        <w:tc>
          <w:tcPr>
            <w:tcW w:w="46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420"/>
        </w:trPr>
        <w:tc>
          <w:tcPr>
            <w:tcW w:w="5400" w:type="dxa"/>
            <w:vAlign w:val="bottom"/>
            <w:tcBorders>
              <w:bottom w:val="single" w:sz="8" w:color="5A5C5F"/>
            </w:tcBorders>
            <w:gridSpan w:val="2"/>
          </w:tcPr>
          <w:p>
            <w:pPr>
              <w:spacing w:after="0"/>
              <w:rPr>
                <w:sz w:val="20"/>
                <w:szCs w:val="20"/>
                <w:color w:val="auto"/>
              </w:rPr>
            </w:pPr>
            <w:r>
              <w:rPr>
                <w:rFonts w:ascii="Arial" w:cs="Arial" w:eastAsia="Arial" w:hAnsi="Arial"/>
                <w:sz w:val="22"/>
                <w:szCs w:val="22"/>
                <w:b w:val="1"/>
                <w:bCs w:val="1"/>
                <w:color w:val="0233A1"/>
              </w:rPr>
              <w:t>Pay vs. Performance Comparison</w:t>
            </w:r>
          </w:p>
        </w:tc>
        <w:tc>
          <w:tcPr>
            <w:tcW w:w="460" w:type="dxa"/>
            <w:vAlign w:val="bottom"/>
            <w:tcBorders>
              <w:bottom w:val="single" w:sz="8" w:color="5A5C5F"/>
            </w:tcBorders>
          </w:tcPr>
          <w:p>
            <w:pPr>
              <w:spacing w:after="0"/>
              <w:rPr>
                <w:sz w:val="24"/>
                <w:szCs w:val="24"/>
                <w:color w:val="auto"/>
              </w:rPr>
            </w:pPr>
          </w:p>
        </w:tc>
        <w:tc>
          <w:tcPr>
            <w:tcW w:w="4480" w:type="dxa"/>
            <w:vAlign w:val="bottom"/>
            <w:tcBorders>
              <w:bottom w:val="single" w:sz="8" w:color="5A5C5F"/>
            </w:tcBorders>
          </w:tcPr>
          <w:p>
            <w:pPr>
              <w:spacing w:after="0"/>
              <w:rPr>
                <w:sz w:val="24"/>
                <w:szCs w:val="24"/>
                <w:color w:val="auto"/>
              </w:rPr>
            </w:pPr>
          </w:p>
        </w:tc>
        <w:tc>
          <w:tcPr>
            <w:tcW w:w="900" w:type="dxa"/>
            <w:vAlign w:val="bottom"/>
            <w:tcBorders>
              <w:bottom w:val="single" w:sz="8" w:color="5A5C5F"/>
            </w:tcBorders>
          </w:tcPr>
          <w:p>
            <w:pPr>
              <w:jc w:val="right"/>
              <w:spacing w:after="0"/>
              <w:rPr>
                <w:sz w:val="20"/>
                <w:szCs w:val="20"/>
                <w:color w:val="auto"/>
              </w:rPr>
            </w:pPr>
            <w:r>
              <w:rPr>
                <w:rFonts w:ascii="Arial" w:cs="Arial" w:eastAsia="Arial" w:hAnsi="Arial"/>
                <w:sz w:val="22"/>
                <w:szCs w:val="22"/>
                <w:b w:val="1"/>
                <w:bCs w:val="1"/>
                <w:color w:val="0233A1"/>
              </w:rPr>
              <w:t>60</w:t>
            </w:r>
          </w:p>
        </w:tc>
        <w:tc>
          <w:tcPr>
            <w:tcW w:w="0" w:type="dxa"/>
            <w:vAlign w:val="bottom"/>
          </w:tcPr>
          <w:p>
            <w:pPr>
              <w:spacing w:after="0"/>
              <w:rPr>
                <w:sz w:val="1"/>
                <w:szCs w:val="1"/>
                <w:color w:val="auto"/>
              </w:rPr>
            </w:pPr>
          </w:p>
        </w:tc>
      </w:tr>
      <w:tr>
        <w:trPr>
          <w:trHeight w:val="425"/>
        </w:trPr>
        <w:tc>
          <w:tcPr>
            <w:tcW w:w="10340" w:type="dxa"/>
            <w:vAlign w:val="bottom"/>
            <w:tcBorders>
              <w:bottom w:val="single" w:sz="8" w:color="5A5C5F"/>
            </w:tcBorders>
            <w:gridSpan w:val="4"/>
          </w:tcPr>
          <w:p>
            <w:pPr>
              <w:spacing w:after="0"/>
              <w:rPr>
                <w:sz w:val="20"/>
                <w:szCs w:val="20"/>
                <w:color w:val="auto"/>
              </w:rPr>
            </w:pPr>
            <w:r>
              <w:rPr>
                <w:rFonts w:ascii="Arial" w:cs="Arial" w:eastAsia="Arial" w:hAnsi="Arial"/>
                <w:sz w:val="22"/>
                <w:szCs w:val="22"/>
                <w:b w:val="1"/>
                <w:bCs w:val="1"/>
                <w:color w:val="0233A1"/>
              </w:rPr>
              <w:t>ITEM 3. Approval of Financial Statements and Dividends</w:t>
            </w:r>
          </w:p>
        </w:tc>
        <w:tc>
          <w:tcPr>
            <w:tcW w:w="900" w:type="dxa"/>
            <w:vAlign w:val="bottom"/>
            <w:tcBorders>
              <w:bottom w:val="single" w:sz="8" w:color="5A5C5F"/>
            </w:tcBorders>
          </w:tcPr>
          <w:p>
            <w:pPr>
              <w:jc w:val="right"/>
              <w:spacing w:after="0"/>
              <w:rPr>
                <w:sz w:val="20"/>
                <w:szCs w:val="20"/>
                <w:color w:val="auto"/>
              </w:rPr>
            </w:pPr>
            <w:r>
              <w:rPr>
                <w:rFonts w:ascii="Arial" w:cs="Arial" w:eastAsia="Arial" w:hAnsi="Arial"/>
                <w:sz w:val="22"/>
                <w:szCs w:val="22"/>
                <w:b w:val="1"/>
                <w:bCs w:val="1"/>
                <w:color w:val="0233A1"/>
              </w:rPr>
              <w:t>63</w:t>
            </w:r>
          </w:p>
        </w:tc>
        <w:tc>
          <w:tcPr>
            <w:tcW w:w="0" w:type="dxa"/>
            <w:vAlign w:val="bottom"/>
          </w:tcPr>
          <w:p>
            <w:pPr>
              <w:spacing w:after="0"/>
              <w:rPr>
                <w:sz w:val="1"/>
                <w:szCs w:val="1"/>
                <w:color w:val="auto"/>
              </w:rPr>
            </w:pPr>
          </w:p>
        </w:tc>
      </w:tr>
      <w:tr>
        <w:trPr>
          <w:trHeight w:val="426"/>
        </w:trPr>
        <w:tc>
          <w:tcPr>
            <w:tcW w:w="10340" w:type="dxa"/>
            <w:vAlign w:val="bottom"/>
            <w:tcBorders>
              <w:bottom w:val="single" w:sz="8" w:color="5A5C5F"/>
            </w:tcBorders>
            <w:gridSpan w:val="4"/>
          </w:tcPr>
          <w:p>
            <w:pPr>
              <w:spacing w:after="0"/>
              <w:rPr>
                <w:sz w:val="20"/>
                <w:szCs w:val="20"/>
                <w:color w:val="auto"/>
              </w:rPr>
            </w:pPr>
            <w:r>
              <w:rPr>
                <w:rFonts w:ascii="Arial" w:cs="Arial" w:eastAsia="Arial" w:hAnsi="Arial"/>
                <w:sz w:val="22"/>
                <w:szCs w:val="22"/>
                <w:b w:val="1"/>
                <w:bCs w:val="1"/>
                <w:color w:val="0233A1"/>
              </w:rPr>
              <w:t>ITEM 4. Ratification of Appointment of Independent Auditors for 2024</w:t>
            </w:r>
          </w:p>
        </w:tc>
        <w:tc>
          <w:tcPr>
            <w:tcW w:w="900" w:type="dxa"/>
            <w:vAlign w:val="bottom"/>
            <w:tcBorders>
              <w:bottom w:val="single" w:sz="8" w:color="5A5C5F"/>
            </w:tcBorders>
          </w:tcPr>
          <w:p>
            <w:pPr>
              <w:jc w:val="right"/>
              <w:spacing w:after="0"/>
              <w:rPr>
                <w:sz w:val="20"/>
                <w:szCs w:val="20"/>
                <w:color w:val="auto"/>
              </w:rPr>
            </w:pPr>
            <w:r>
              <w:rPr>
                <w:rFonts w:ascii="Arial" w:cs="Arial" w:eastAsia="Arial" w:hAnsi="Arial"/>
                <w:sz w:val="22"/>
                <w:szCs w:val="22"/>
                <w:b w:val="1"/>
                <w:bCs w:val="1"/>
                <w:color w:val="0233A1"/>
              </w:rPr>
              <w:t>64</w:t>
            </w:r>
          </w:p>
        </w:tc>
        <w:tc>
          <w:tcPr>
            <w:tcW w:w="0" w:type="dxa"/>
            <w:vAlign w:val="bottom"/>
          </w:tcPr>
          <w:p>
            <w:pPr>
              <w:spacing w:after="0"/>
              <w:rPr>
                <w:sz w:val="1"/>
                <w:szCs w:val="1"/>
                <w:color w:val="auto"/>
              </w:rPr>
            </w:pPr>
          </w:p>
        </w:tc>
      </w:tr>
      <w:tr>
        <w:trPr>
          <w:trHeight w:val="208"/>
        </w:trPr>
        <w:tc>
          <w:tcPr>
            <w:tcW w:w="5400" w:type="dxa"/>
            <w:vAlign w:val="bottom"/>
            <w:gridSpan w:val="2"/>
          </w:tcPr>
          <w:p>
            <w:pPr>
              <w:spacing w:after="0"/>
              <w:rPr>
                <w:sz w:val="20"/>
                <w:szCs w:val="20"/>
                <w:color w:val="auto"/>
              </w:rPr>
            </w:pPr>
            <w:r>
              <w:rPr>
                <w:rFonts w:ascii="Arial" w:cs="Arial" w:eastAsia="Arial" w:hAnsi="Arial"/>
                <w:sz w:val="16"/>
                <w:szCs w:val="16"/>
                <w:color w:val="auto"/>
              </w:rPr>
              <w:t>Audit Committee Report</w:t>
            </w:r>
          </w:p>
        </w:tc>
        <w:tc>
          <w:tcPr>
            <w:tcW w:w="46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406"/>
        </w:trPr>
        <w:tc>
          <w:tcPr>
            <w:tcW w:w="5400" w:type="dxa"/>
            <w:vAlign w:val="bottom"/>
            <w:tcBorders>
              <w:bottom w:val="single" w:sz="8" w:color="5A5C5F"/>
            </w:tcBorders>
            <w:gridSpan w:val="2"/>
          </w:tcPr>
          <w:p>
            <w:pPr>
              <w:spacing w:after="0"/>
              <w:rPr>
                <w:sz w:val="20"/>
                <w:szCs w:val="20"/>
                <w:color w:val="auto"/>
              </w:rPr>
            </w:pPr>
            <w:r>
              <w:rPr>
                <w:rFonts w:ascii="Arial" w:cs="Arial" w:eastAsia="Arial" w:hAnsi="Arial"/>
                <w:sz w:val="22"/>
                <w:szCs w:val="22"/>
                <w:b w:val="1"/>
                <w:bCs w:val="1"/>
                <w:color w:val="0233A1"/>
              </w:rPr>
              <w:t>Information About the Meeting</w:t>
            </w:r>
          </w:p>
        </w:tc>
        <w:tc>
          <w:tcPr>
            <w:tcW w:w="460" w:type="dxa"/>
            <w:vAlign w:val="bottom"/>
            <w:tcBorders>
              <w:bottom w:val="single" w:sz="8" w:color="5A5C5F"/>
            </w:tcBorders>
          </w:tcPr>
          <w:p>
            <w:pPr>
              <w:spacing w:after="0"/>
              <w:rPr>
                <w:sz w:val="24"/>
                <w:szCs w:val="24"/>
                <w:color w:val="auto"/>
              </w:rPr>
            </w:pPr>
          </w:p>
        </w:tc>
        <w:tc>
          <w:tcPr>
            <w:tcW w:w="4480" w:type="dxa"/>
            <w:vAlign w:val="bottom"/>
            <w:tcBorders>
              <w:bottom w:val="single" w:sz="8" w:color="5A5C5F"/>
            </w:tcBorders>
          </w:tcPr>
          <w:p>
            <w:pPr>
              <w:spacing w:after="0"/>
              <w:rPr>
                <w:sz w:val="24"/>
                <w:szCs w:val="24"/>
                <w:color w:val="auto"/>
              </w:rPr>
            </w:pPr>
          </w:p>
        </w:tc>
        <w:tc>
          <w:tcPr>
            <w:tcW w:w="900" w:type="dxa"/>
            <w:vAlign w:val="bottom"/>
            <w:tcBorders>
              <w:bottom w:val="single" w:sz="8" w:color="5A5C5F"/>
            </w:tcBorders>
          </w:tcPr>
          <w:p>
            <w:pPr>
              <w:jc w:val="right"/>
              <w:spacing w:after="0"/>
              <w:rPr>
                <w:sz w:val="20"/>
                <w:szCs w:val="20"/>
                <w:color w:val="auto"/>
              </w:rPr>
            </w:pPr>
            <w:r>
              <w:rPr>
                <w:rFonts w:ascii="Arial" w:cs="Arial" w:eastAsia="Arial" w:hAnsi="Arial"/>
                <w:sz w:val="22"/>
                <w:szCs w:val="22"/>
                <w:b w:val="1"/>
                <w:bCs w:val="1"/>
                <w:color w:val="0233A1"/>
              </w:rPr>
              <w:t>66</w:t>
            </w:r>
          </w:p>
        </w:tc>
        <w:tc>
          <w:tcPr>
            <w:tcW w:w="0" w:type="dxa"/>
            <w:vAlign w:val="bottom"/>
          </w:tcPr>
          <w:p>
            <w:pPr>
              <w:spacing w:after="0"/>
              <w:rPr>
                <w:sz w:val="1"/>
                <w:szCs w:val="1"/>
                <w:color w:val="auto"/>
              </w:rPr>
            </w:pPr>
          </w:p>
        </w:tc>
      </w:tr>
      <w:tr>
        <w:trPr>
          <w:trHeight w:val="425"/>
        </w:trPr>
        <w:tc>
          <w:tcPr>
            <w:tcW w:w="5400" w:type="dxa"/>
            <w:vAlign w:val="bottom"/>
            <w:tcBorders>
              <w:bottom w:val="single" w:sz="8" w:color="5A5C5F"/>
            </w:tcBorders>
            <w:gridSpan w:val="2"/>
          </w:tcPr>
          <w:p>
            <w:pPr>
              <w:spacing w:after="0"/>
              <w:rPr>
                <w:sz w:val="20"/>
                <w:szCs w:val="20"/>
                <w:color w:val="auto"/>
              </w:rPr>
            </w:pPr>
            <w:r>
              <w:rPr>
                <w:rFonts w:ascii="Arial" w:cs="Arial" w:eastAsia="Arial" w:hAnsi="Arial"/>
                <w:sz w:val="22"/>
                <w:szCs w:val="22"/>
                <w:b w:val="1"/>
                <w:bCs w:val="1"/>
                <w:color w:val="0233A1"/>
              </w:rPr>
              <w:t>Appendix A</w:t>
            </w:r>
          </w:p>
        </w:tc>
        <w:tc>
          <w:tcPr>
            <w:tcW w:w="460" w:type="dxa"/>
            <w:vAlign w:val="bottom"/>
            <w:tcBorders>
              <w:bottom w:val="single" w:sz="8" w:color="5A5C5F"/>
            </w:tcBorders>
          </w:tcPr>
          <w:p>
            <w:pPr>
              <w:spacing w:after="0"/>
              <w:rPr>
                <w:sz w:val="24"/>
                <w:szCs w:val="24"/>
                <w:color w:val="auto"/>
              </w:rPr>
            </w:pPr>
          </w:p>
        </w:tc>
        <w:tc>
          <w:tcPr>
            <w:tcW w:w="4480" w:type="dxa"/>
            <w:vAlign w:val="bottom"/>
            <w:tcBorders>
              <w:bottom w:val="single" w:sz="8" w:color="5A5C5F"/>
            </w:tcBorders>
          </w:tcPr>
          <w:p>
            <w:pPr>
              <w:spacing w:after="0"/>
              <w:rPr>
                <w:sz w:val="24"/>
                <w:szCs w:val="24"/>
                <w:color w:val="auto"/>
              </w:rPr>
            </w:pPr>
          </w:p>
        </w:tc>
        <w:tc>
          <w:tcPr>
            <w:tcW w:w="900" w:type="dxa"/>
            <w:vAlign w:val="bottom"/>
            <w:tcBorders>
              <w:bottom w:val="single" w:sz="8" w:color="5A5C5F"/>
            </w:tcBorders>
          </w:tcPr>
          <w:p>
            <w:pPr>
              <w:jc w:val="right"/>
              <w:spacing w:after="0"/>
              <w:rPr>
                <w:sz w:val="20"/>
                <w:szCs w:val="20"/>
                <w:color w:val="auto"/>
              </w:rPr>
            </w:pPr>
            <w:r>
              <w:rPr>
                <w:rFonts w:ascii="Arial" w:cs="Arial" w:eastAsia="Arial" w:hAnsi="Arial"/>
                <w:sz w:val="22"/>
                <w:szCs w:val="22"/>
                <w:b w:val="1"/>
                <w:bCs w:val="1"/>
                <w:color w:val="0233A1"/>
              </w:rPr>
              <w:t>A-1</w:t>
            </w:r>
          </w:p>
        </w:tc>
        <w:tc>
          <w:tcPr>
            <w:tcW w:w="0" w:type="dxa"/>
            <w:vAlign w:val="bottom"/>
          </w:tcPr>
          <w:p>
            <w:pPr>
              <w:spacing w:after="0"/>
              <w:rPr>
                <w:sz w:val="1"/>
                <w:szCs w:val="1"/>
                <w:color w:val="auto"/>
              </w:rPr>
            </w:pPr>
          </w:p>
        </w:tc>
      </w:tr>
      <w:tr>
        <w:trPr>
          <w:trHeight w:val="540"/>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2024 Proxy Statement</w:t>
            </w:r>
          </w:p>
        </w:tc>
        <w:tc>
          <w:tcPr>
            <w:tcW w:w="3600" w:type="dxa"/>
            <w:vAlign w:val="bottom"/>
            <w:tcBorders>
              <w:bottom w:val="single" w:sz="8" w:color="auto"/>
            </w:tcBorders>
          </w:tcPr>
          <w:p>
            <w:pPr>
              <w:spacing w:after="0"/>
              <w:rPr>
                <w:sz w:val="24"/>
                <w:szCs w:val="24"/>
                <w:color w:val="auto"/>
              </w:rPr>
            </w:pPr>
          </w:p>
        </w:tc>
        <w:tc>
          <w:tcPr>
            <w:tcW w:w="46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5</w:t>
            </w:r>
          </w:p>
        </w:tc>
        <w:tc>
          <w:tcPr>
            <w:tcW w:w="448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36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48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-471170</wp:posOffset>
            </wp:positionV>
            <wp:extent cx="471805" cy="2825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ectPr>
          <w:pgSz w:w="11900" w:h="16838" w:orient="portrait"/>
          <w:cols w:equalWidth="0" w:num="1">
            <w:col w:w="11240"/>
          </w:cols>
          <w:pgMar w:left="320" w:top="376" w:right="339" w:bottom="582"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36130" cy="6887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130" cy="6887845"/>
                    </a:xfrm>
                    <a:prstGeom prst="rect">
                      <a:avLst/>
                    </a:prstGeom>
                    <a:noFill/>
                  </pic:spPr>
                </pic:pic>
              </a:graphicData>
            </a:graphic>
          </wp:anchor>
        </w:drawing>
      </w:r>
    </w:p>
    <w:p>
      <w:pPr>
        <w:spacing w:after="0" w:line="335" w:lineRule="exact"/>
        <w:rPr>
          <w:sz w:val="20"/>
          <w:szCs w:val="20"/>
          <w:color w:val="auto"/>
        </w:rPr>
      </w:pPr>
    </w:p>
    <w:p>
      <w:pPr>
        <w:ind w:left="200"/>
        <w:spacing w:after="0"/>
        <w:rPr>
          <w:sz w:val="20"/>
          <w:szCs w:val="20"/>
          <w:color w:val="auto"/>
        </w:rPr>
      </w:pPr>
      <w:r>
        <w:rPr>
          <w:rFonts w:ascii="Arial" w:cs="Arial" w:eastAsia="Arial" w:hAnsi="Arial"/>
          <w:sz w:val="50"/>
          <w:szCs w:val="50"/>
          <w:color w:val="0233A1"/>
        </w:rPr>
        <w:t>Proxy Summary</w:t>
      </w:r>
    </w:p>
    <w:p>
      <w:pPr>
        <w:spacing w:after="0" w:line="200" w:lineRule="exact"/>
        <w:rPr>
          <w:sz w:val="20"/>
          <w:szCs w:val="20"/>
          <w:color w:val="auto"/>
        </w:rPr>
      </w:pPr>
    </w:p>
    <w:p>
      <w:pPr>
        <w:spacing w:after="0" w:line="338" w:lineRule="exact"/>
        <w:rPr>
          <w:sz w:val="20"/>
          <w:szCs w:val="20"/>
          <w:color w:val="auto"/>
        </w:rPr>
      </w:pPr>
    </w:p>
    <w:p>
      <w:pPr>
        <w:jc w:val="both"/>
        <w:ind w:left="200" w:right="200" w:firstLine="324"/>
        <w:spacing w:after="0" w:line="286" w:lineRule="auto"/>
        <w:rPr>
          <w:sz w:val="20"/>
          <w:szCs w:val="20"/>
          <w:color w:val="auto"/>
        </w:rPr>
      </w:pPr>
      <w:r>
        <w:rPr>
          <w:rFonts w:ascii="Arial" w:cs="Arial" w:eastAsia="Arial" w:hAnsi="Arial"/>
          <w:sz w:val="16"/>
          <w:szCs w:val="16"/>
          <w:color w:val="auto"/>
        </w:rPr>
        <w:t>This summary highlights information contained elsewhere in this proxy statement. This summary does not contain all of the information you should consider, and you should carefully review this entire proxy statement and our 2023 Annual Report before voting.</w:t>
      </w:r>
    </w:p>
    <w:p>
      <w:pPr>
        <w:spacing w:after="0" w:line="111" w:lineRule="exact"/>
        <w:rPr>
          <w:sz w:val="20"/>
          <w:szCs w:val="20"/>
          <w:color w:val="auto"/>
        </w:rPr>
      </w:pPr>
    </w:p>
    <w:p>
      <w:pPr>
        <w:ind w:left="200"/>
        <w:spacing w:after="0"/>
        <w:rPr>
          <w:sz w:val="20"/>
          <w:szCs w:val="20"/>
          <w:color w:val="auto"/>
        </w:rPr>
      </w:pPr>
      <w:r>
        <w:rPr>
          <w:rFonts w:ascii="Arial" w:cs="Arial" w:eastAsia="Arial" w:hAnsi="Arial"/>
          <w:sz w:val="29"/>
          <w:szCs w:val="29"/>
          <w:color w:val="16458B"/>
        </w:rPr>
        <w:t>Voting at the 2024 Annual General Meeting</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The 2024 Annual General Meeting of Shareholders (the </w:t>
      </w:r>
      <w:r>
        <w:rPr>
          <w:rFonts w:ascii="Arial" w:cs="Arial" w:eastAsia="Arial" w:hAnsi="Arial"/>
          <w:sz w:val="16"/>
          <w:szCs w:val="16"/>
          <w:b w:val="1"/>
          <w:bCs w:val="1"/>
          <w:color w:val="auto"/>
        </w:rPr>
        <w:t>2024 AGM</w:t>
      </w:r>
      <w:r>
        <w:rPr>
          <w:rFonts w:ascii="Arial" w:cs="Arial" w:eastAsia="Arial" w:hAnsi="Arial"/>
          <w:sz w:val="16"/>
          <w:szCs w:val="16"/>
          <w:color w:val="auto"/>
        </w:rPr>
        <w:t>) will be held at:</w:t>
      </w:r>
    </w:p>
    <w:p>
      <w:pPr>
        <w:spacing w:after="0" w:line="185" w:lineRule="exact"/>
        <w:rPr>
          <w:sz w:val="20"/>
          <w:szCs w:val="20"/>
          <w:color w:val="auto"/>
        </w:rPr>
      </w:pPr>
    </w:p>
    <w:tbl>
      <w:tblPr>
        <w:tblLayout w:type="fixed"/>
        <w:tblInd w:w="2930" w:type="dxa"/>
        <w:tblCellMar>
          <w:top w:w="0" w:type="dxa"/>
          <w:left w:w="0" w:type="dxa"/>
          <w:bottom w:w="0" w:type="dxa"/>
          <w:right w:w="0" w:type="dxa"/>
        </w:tblCellMar>
      </w:tblPr>
      <w:tr>
        <w:trPr>
          <w:trHeight w:val="257"/>
        </w:trPr>
        <w:tc>
          <w:tcPr>
            <w:tcW w:w="150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0233A1"/>
              </w:rPr>
              <w:t>Meeting Date:</w:t>
            </w:r>
          </w:p>
        </w:tc>
        <w:tc>
          <w:tcPr>
            <w:tcW w:w="39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Wednesday, April 3, 2024</w:t>
            </w:r>
          </w:p>
        </w:tc>
      </w:tr>
      <w:tr>
        <w:trPr>
          <w:trHeight w:val="199"/>
        </w:trPr>
        <w:tc>
          <w:tcPr>
            <w:tcW w:w="15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0233A1"/>
              </w:rPr>
              <w:t>Place:</w:t>
            </w: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Curaçao Marriott Beach Resort</w:t>
            </w:r>
          </w:p>
        </w:tc>
      </w:tr>
      <w:tr>
        <w:trPr>
          <w:trHeight w:val="189"/>
        </w:trPr>
        <w:tc>
          <w:tcPr>
            <w:tcW w:w="1500" w:type="dxa"/>
            <w:vAlign w:val="bottom"/>
            <w:tcBorders>
              <w:left w:val="single" w:sz="8" w:color="auto"/>
              <w:right w:val="single" w:sz="8" w:color="auto"/>
            </w:tcBorders>
          </w:tcPr>
          <w:p>
            <w:pPr>
              <w:spacing w:after="0"/>
              <w:rPr>
                <w:sz w:val="16"/>
                <w:szCs w:val="16"/>
                <w:color w:val="auto"/>
              </w:rPr>
            </w:pP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John F Kennedy Boulevard, 3, Piscadera Bay</w:t>
            </w:r>
          </w:p>
        </w:tc>
      </w:tr>
      <w:tr>
        <w:trPr>
          <w:trHeight w:val="224"/>
        </w:trPr>
        <w:tc>
          <w:tcPr>
            <w:tcW w:w="1500" w:type="dxa"/>
            <w:vAlign w:val="bottom"/>
            <w:tcBorders>
              <w:left w:val="single" w:sz="8" w:color="auto"/>
              <w:bottom w:val="single" w:sz="8" w:color="auto"/>
              <w:right w:val="single" w:sz="8" w:color="auto"/>
            </w:tcBorders>
          </w:tcPr>
          <w:p>
            <w:pPr>
              <w:spacing w:after="0"/>
              <w:rPr>
                <w:sz w:val="19"/>
                <w:szCs w:val="19"/>
                <w:color w:val="auto"/>
              </w:rPr>
            </w:pPr>
          </w:p>
        </w:tc>
        <w:tc>
          <w:tcPr>
            <w:tcW w:w="3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Willemstad, Curaçao</w:t>
            </w:r>
          </w:p>
        </w:tc>
      </w:tr>
      <w:tr>
        <w:trPr>
          <w:trHeight w:val="239"/>
        </w:trPr>
        <w:tc>
          <w:tcPr>
            <w:tcW w:w="15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0233A1"/>
              </w:rPr>
              <w:t>Time:</w:t>
            </w:r>
          </w:p>
        </w:tc>
        <w:tc>
          <w:tcPr>
            <w:tcW w:w="3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9:00 a.m. Curaçao time</w:t>
            </w:r>
          </w:p>
        </w:tc>
      </w:tr>
      <w:tr>
        <w:trPr>
          <w:trHeight w:val="237"/>
        </w:trPr>
        <w:tc>
          <w:tcPr>
            <w:tcW w:w="15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0233A1"/>
              </w:rPr>
              <w:t>Record Date:</w:t>
            </w:r>
          </w:p>
        </w:tc>
        <w:tc>
          <w:tcPr>
            <w:tcW w:w="3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February 7, 2024</w:t>
            </w:r>
          </w:p>
        </w:tc>
      </w:tr>
    </w:tbl>
    <w:p>
      <w:pPr>
        <w:spacing w:after="0" w:line="188" w:lineRule="exact"/>
        <w:rPr>
          <w:sz w:val="20"/>
          <w:szCs w:val="20"/>
          <w:color w:val="auto"/>
        </w:rPr>
      </w:pPr>
    </w:p>
    <w:p>
      <w:pPr>
        <w:jc w:val="both"/>
        <w:ind w:left="200" w:right="200" w:firstLine="324"/>
        <w:spacing w:after="0" w:line="266" w:lineRule="auto"/>
        <w:rPr>
          <w:sz w:val="20"/>
          <w:szCs w:val="20"/>
          <w:color w:val="auto"/>
        </w:rPr>
      </w:pPr>
      <w:r>
        <w:rPr>
          <w:rFonts w:ascii="Arial" w:cs="Arial" w:eastAsia="Arial" w:hAnsi="Arial"/>
          <w:sz w:val="16"/>
          <w:szCs w:val="16"/>
          <w:color w:val="auto"/>
        </w:rPr>
        <w:t xml:space="preserve">Each shareholder of record at the close of business on February 7, 2024 (the </w:t>
      </w:r>
      <w:r>
        <w:rPr>
          <w:rFonts w:ascii="Arial" w:cs="Arial" w:eastAsia="Arial" w:hAnsi="Arial"/>
          <w:sz w:val="16"/>
          <w:szCs w:val="16"/>
          <w:b w:val="1"/>
          <w:bCs w:val="1"/>
          <w:color w:val="auto"/>
        </w:rPr>
        <w:t>record date</w:t>
      </w:r>
      <w:r>
        <w:rPr>
          <w:rFonts w:ascii="Arial" w:cs="Arial" w:eastAsia="Arial" w:hAnsi="Arial"/>
          <w:sz w:val="16"/>
          <w:szCs w:val="16"/>
          <w:color w:val="auto"/>
        </w:rPr>
        <w:t>) is entitled to one vote for each share registered in that shareholder’s name. If your shares are registered in your name with SLB’s transfer agent, you may vote in person at the 2024 AGM, or you may authorize a proxy to vote your shares by one of the following methods:</w:t>
      </w:r>
    </w:p>
    <w:p>
      <w:pPr>
        <w:spacing w:after="0" w:line="158" w:lineRule="exact"/>
        <w:rPr>
          <w:sz w:val="20"/>
          <w:szCs w:val="20"/>
          <w:color w:val="auto"/>
        </w:rPr>
      </w:pPr>
    </w:p>
    <w:p>
      <w:pPr>
        <w:ind w:left="840"/>
        <w:spacing w:after="0"/>
        <w:tabs>
          <w:tab w:leader="none" w:pos="4540" w:val="left"/>
          <w:tab w:leader="none" w:pos="8080" w:val="left"/>
        </w:tabs>
        <w:rPr>
          <w:sz w:val="20"/>
          <w:szCs w:val="20"/>
          <w:color w:val="auto"/>
        </w:rPr>
      </w:pPr>
      <w:r>
        <w:rPr>
          <w:rFonts w:ascii="Arial" w:cs="Arial" w:eastAsia="Arial" w:hAnsi="Arial"/>
          <w:sz w:val="16"/>
          <w:szCs w:val="16"/>
          <w:b w:val="1"/>
          <w:bCs w:val="1"/>
          <w:color w:val="0233A1"/>
        </w:rPr>
        <w:t>By Internet</w:t>
      </w:r>
      <w:r>
        <w:rPr>
          <w:sz w:val="20"/>
          <w:szCs w:val="20"/>
          <w:color w:val="auto"/>
        </w:rPr>
        <w:tab/>
      </w:r>
      <w:r>
        <w:rPr>
          <w:rFonts w:ascii="Arial" w:cs="Arial" w:eastAsia="Arial" w:hAnsi="Arial"/>
          <w:sz w:val="16"/>
          <w:szCs w:val="16"/>
          <w:b w:val="1"/>
          <w:bCs w:val="1"/>
          <w:color w:val="0233A1"/>
        </w:rPr>
        <w:t>By Telephone</w:t>
      </w:r>
      <w:r>
        <w:rPr>
          <w:sz w:val="20"/>
          <w:szCs w:val="20"/>
          <w:color w:val="auto"/>
        </w:rPr>
        <w:tab/>
      </w:r>
      <w:r>
        <w:rPr>
          <w:rFonts w:ascii="Arial" w:cs="Arial" w:eastAsia="Arial" w:hAnsi="Arial"/>
          <w:sz w:val="16"/>
          <w:szCs w:val="16"/>
          <w:b w:val="1"/>
          <w:bCs w:val="1"/>
          <w:color w:val="0233A1"/>
        </w:rPr>
        <w:t>By Mail</w:t>
      </w:r>
    </w:p>
    <w:p>
      <w:pPr>
        <w:spacing w:after="0" w:line="21" w:lineRule="exact"/>
        <w:rPr>
          <w:sz w:val="20"/>
          <w:szCs w:val="20"/>
          <w:color w:val="auto"/>
        </w:rPr>
      </w:pPr>
    </w:p>
    <w:p>
      <w:pPr>
        <w:ind w:left="840"/>
        <w:spacing w:after="0"/>
        <w:tabs>
          <w:tab w:leader="none" w:pos="4540" w:val="left"/>
          <w:tab w:leader="none" w:pos="8080" w:val="left"/>
        </w:tabs>
        <w:rPr>
          <w:sz w:val="20"/>
          <w:szCs w:val="20"/>
          <w:color w:val="auto"/>
        </w:rPr>
      </w:pPr>
      <w:r>
        <w:rPr>
          <w:rFonts w:ascii="Arial" w:cs="Arial" w:eastAsia="Arial" w:hAnsi="Arial"/>
          <w:sz w:val="16"/>
          <w:szCs w:val="16"/>
          <w:i w:val="1"/>
          <w:iCs w:val="1"/>
          <w:color w:val="auto"/>
        </w:rPr>
        <w:t>www.proxypush.com/SLB</w:t>
      </w:r>
      <w:r>
        <w:rPr>
          <w:sz w:val="20"/>
          <w:szCs w:val="20"/>
          <w:color w:val="auto"/>
        </w:rPr>
        <w:tab/>
      </w:r>
      <w:r>
        <w:rPr>
          <w:rFonts w:ascii="Arial" w:cs="Arial" w:eastAsia="Arial" w:hAnsi="Arial"/>
          <w:sz w:val="16"/>
          <w:szCs w:val="16"/>
          <w:color w:val="auto"/>
        </w:rPr>
        <w:t>(866) 240-5191</w:t>
      </w:r>
      <w:r>
        <w:rPr>
          <w:sz w:val="20"/>
          <w:szCs w:val="20"/>
          <w:color w:val="auto"/>
        </w:rPr>
        <w:tab/>
      </w:r>
      <w:r>
        <w:rPr>
          <w:rFonts w:ascii="Arial" w:cs="Arial" w:eastAsia="Arial" w:hAnsi="Arial"/>
          <w:sz w:val="16"/>
          <w:szCs w:val="16"/>
          <w:color w:val="auto"/>
        </w:rPr>
        <w:t>Sign, date, and mail your proxy card</w:t>
      </w:r>
    </w:p>
    <w:p>
      <w:pPr>
        <w:spacing w:after="0" w:line="205" w:lineRule="exact"/>
        <w:rPr>
          <w:sz w:val="20"/>
          <w:szCs w:val="20"/>
          <w:color w:val="auto"/>
        </w:rPr>
      </w:pPr>
    </w:p>
    <w:p>
      <w:pPr>
        <w:jc w:val="both"/>
        <w:ind w:left="200" w:right="200" w:firstLine="324"/>
        <w:spacing w:after="0" w:line="286" w:lineRule="auto"/>
        <w:rPr>
          <w:sz w:val="20"/>
          <w:szCs w:val="20"/>
          <w:color w:val="auto"/>
        </w:rPr>
      </w:pPr>
      <w:r>
        <w:rPr>
          <w:rFonts w:ascii="Arial" w:cs="Arial" w:eastAsia="Arial" w:hAnsi="Arial"/>
          <w:sz w:val="16"/>
          <w:szCs w:val="16"/>
          <w:color w:val="auto"/>
        </w:rPr>
        <w:t>If you are a “beneficial” owner of SLB common stock—which means you held your shares on the record date through a broker, bank, or other nominee—you should follow the voting instructions provided by your bank, broker, or nominee.</w:t>
      </w:r>
    </w:p>
    <w:p>
      <w:pPr>
        <w:spacing w:after="0" w:line="129" w:lineRule="exact"/>
        <w:rPr>
          <w:sz w:val="20"/>
          <w:szCs w:val="20"/>
          <w:color w:val="auto"/>
        </w:rPr>
      </w:pPr>
    </w:p>
    <w:p>
      <w:pPr>
        <w:jc w:val="both"/>
        <w:ind w:left="200" w:right="200" w:firstLine="324"/>
        <w:spacing w:after="0" w:line="266" w:lineRule="auto"/>
        <w:rPr>
          <w:sz w:val="20"/>
          <w:szCs w:val="20"/>
          <w:color w:val="auto"/>
        </w:rPr>
      </w:pPr>
      <w:r>
        <w:rPr>
          <w:rFonts w:ascii="Arial" w:cs="Arial" w:eastAsia="Arial" w:hAnsi="Arial"/>
          <w:sz w:val="16"/>
          <w:szCs w:val="16"/>
          <w:color w:val="auto"/>
        </w:rPr>
        <w:t>If you plan to attend the 2024 AGM in person, see “Information About the Meeting” beginning on page 66 for the requirements for admission to the meeting. Whether or not you plan to attend the 2024 AGM in person, please sign, date, and promptly return your proxy card by mail, or alternatively please grant a proxy and give voting instructions by telephone or internet, so that you may be represented at the meeting.</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29"/>
          <w:szCs w:val="29"/>
          <w:color w:val="16458B"/>
        </w:rPr>
        <w:t>Voting Matters</w:t>
      </w:r>
    </w:p>
    <w:p>
      <w:pPr>
        <w:spacing w:after="0" w:line="225" w:lineRule="exact"/>
        <w:rPr>
          <w:sz w:val="20"/>
          <w:szCs w:val="20"/>
          <w:color w:val="auto"/>
        </w:rPr>
      </w:pPr>
    </w:p>
    <w:tbl>
      <w:tblPr>
        <w:tblLayout w:type="fixed"/>
        <w:tblInd w:w="200" w:type="dxa"/>
        <w:tblCellMar>
          <w:top w:w="0" w:type="dxa"/>
          <w:left w:w="0" w:type="dxa"/>
          <w:bottom w:w="0" w:type="dxa"/>
          <w:right w:w="0" w:type="dxa"/>
        </w:tblCellMar>
      </w:tblPr>
      <w:tr>
        <w:trPr>
          <w:trHeight w:val="211"/>
        </w:trPr>
        <w:tc>
          <w:tcPr>
            <w:tcW w:w="400" w:type="dxa"/>
            <w:vAlign w:val="bottom"/>
            <w:shd w:val="clear" w:color="auto" w:fill="0233A1"/>
          </w:tcPr>
          <w:p>
            <w:pPr>
              <w:spacing w:after="0"/>
              <w:rPr>
                <w:sz w:val="18"/>
                <w:szCs w:val="18"/>
                <w:color w:val="auto"/>
              </w:rPr>
            </w:pPr>
          </w:p>
        </w:tc>
        <w:tc>
          <w:tcPr>
            <w:tcW w:w="5580" w:type="dxa"/>
            <w:vAlign w:val="bottom"/>
            <w:shd w:val="clear" w:color="auto" w:fill="0233A1"/>
          </w:tcPr>
          <w:p>
            <w:pPr>
              <w:spacing w:after="0"/>
              <w:rPr>
                <w:sz w:val="18"/>
                <w:szCs w:val="18"/>
                <w:color w:val="auto"/>
              </w:rPr>
            </w:pPr>
          </w:p>
        </w:tc>
        <w:tc>
          <w:tcPr>
            <w:tcW w:w="2100" w:type="dxa"/>
            <w:vAlign w:val="bottom"/>
            <w:shd w:val="clear" w:color="auto" w:fill="0233A1"/>
          </w:tcPr>
          <w:p>
            <w:pPr>
              <w:jc w:val="center"/>
              <w:ind w:left="375"/>
              <w:spacing w:after="0"/>
              <w:rPr>
                <w:sz w:val="20"/>
                <w:szCs w:val="20"/>
                <w:color w:val="auto"/>
              </w:rPr>
            </w:pPr>
            <w:r>
              <w:rPr>
                <w:rFonts w:ascii="Arial" w:cs="Arial" w:eastAsia="Arial" w:hAnsi="Arial"/>
                <w:sz w:val="18"/>
                <w:szCs w:val="18"/>
                <w:b w:val="1"/>
                <w:bCs w:val="1"/>
                <w:color w:val="FFFFFF"/>
                <w:w w:val="99"/>
              </w:rPr>
              <w:t>Our Board’s</w:t>
            </w:r>
          </w:p>
        </w:tc>
        <w:tc>
          <w:tcPr>
            <w:tcW w:w="1800" w:type="dxa"/>
            <w:vAlign w:val="bottom"/>
            <w:shd w:val="clear" w:color="auto" w:fill="0233A1"/>
          </w:tcPr>
          <w:p>
            <w:pPr>
              <w:jc w:val="center"/>
              <w:spacing w:after="0"/>
              <w:rPr>
                <w:sz w:val="20"/>
                <w:szCs w:val="20"/>
                <w:color w:val="auto"/>
              </w:rPr>
            </w:pPr>
            <w:r>
              <w:rPr>
                <w:rFonts w:ascii="Arial" w:cs="Arial" w:eastAsia="Arial" w:hAnsi="Arial"/>
                <w:sz w:val="18"/>
                <w:szCs w:val="18"/>
                <w:b w:val="1"/>
                <w:bCs w:val="1"/>
                <w:color w:val="FFFFFF"/>
                <w:w w:val="99"/>
              </w:rPr>
              <w:t>Vote Required for</w:t>
            </w:r>
          </w:p>
        </w:tc>
        <w:tc>
          <w:tcPr>
            <w:tcW w:w="960" w:type="dxa"/>
            <w:vAlign w:val="bottom"/>
            <w:shd w:val="clear" w:color="auto" w:fill="0233A1"/>
          </w:tcPr>
          <w:p>
            <w:pPr>
              <w:jc w:val="center"/>
              <w:spacing w:after="0"/>
              <w:rPr>
                <w:sz w:val="20"/>
                <w:szCs w:val="20"/>
                <w:color w:val="auto"/>
              </w:rPr>
            </w:pPr>
            <w:r>
              <w:rPr>
                <w:rFonts w:ascii="Arial" w:cs="Arial" w:eastAsia="Arial" w:hAnsi="Arial"/>
                <w:sz w:val="18"/>
                <w:szCs w:val="18"/>
                <w:b w:val="1"/>
                <w:bCs w:val="1"/>
                <w:color w:val="FFFFFF"/>
                <w:w w:val="99"/>
              </w:rPr>
              <w:t>Refer</w:t>
            </w:r>
          </w:p>
        </w:tc>
        <w:tc>
          <w:tcPr>
            <w:tcW w:w="0" w:type="dxa"/>
            <w:vAlign w:val="bottom"/>
          </w:tcPr>
          <w:p>
            <w:pPr>
              <w:spacing w:after="0"/>
              <w:rPr>
                <w:sz w:val="1"/>
                <w:szCs w:val="1"/>
                <w:color w:val="auto"/>
              </w:rPr>
            </w:pPr>
          </w:p>
        </w:tc>
      </w:tr>
      <w:tr>
        <w:trPr>
          <w:trHeight w:val="248"/>
        </w:trPr>
        <w:tc>
          <w:tcPr>
            <w:tcW w:w="400" w:type="dxa"/>
            <w:vAlign w:val="bottom"/>
            <w:shd w:val="clear" w:color="auto" w:fill="0233A1"/>
          </w:tcPr>
          <w:p>
            <w:pPr>
              <w:ind w:left="60"/>
              <w:spacing w:after="0"/>
              <w:rPr>
                <w:sz w:val="20"/>
                <w:szCs w:val="20"/>
                <w:color w:val="auto"/>
              </w:rPr>
            </w:pPr>
            <w:r>
              <w:rPr>
                <w:rFonts w:ascii="Arial" w:cs="Arial" w:eastAsia="Arial" w:hAnsi="Arial"/>
                <w:sz w:val="16"/>
                <w:szCs w:val="16"/>
                <w:b w:val="1"/>
                <w:bCs w:val="1"/>
                <w:color w:val="FFFFFF"/>
                <w:w w:val="97"/>
              </w:rPr>
              <w:t>Item</w:t>
            </w:r>
          </w:p>
        </w:tc>
        <w:tc>
          <w:tcPr>
            <w:tcW w:w="5580" w:type="dxa"/>
            <w:vAlign w:val="bottom"/>
            <w:shd w:val="clear" w:color="auto" w:fill="0233A1"/>
          </w:tcPr>
          <w:p>
            <w:pPr>
              <w:spacing w:after="0"/>
              <w:rPr>
                <w:sz w:val="21"/>
                <w:szCs w:val="21"/>
                <w:color w:val="auto"/>
              </w:rPr>
            </w:pPr>
          </w:p>
        </w:tc>
        <w:tc>
          <w:tcPr>
            <w:tcW w:w="2100" w:type="dxa"/>
            <w:vAlign w:val="bottom"/>
            <w:shd w:val="clear" w:color="auto" w:fill="0233A1"/>
          </w:tcPr>
          <w:p>
            <w:pPr>
              <w:jc w:val="center"/>
              <w:ind w:left="375"/>
              <w:spacing w:after="0"/>
              <w:rPr>
                <w:sz w:val="20"/>
                <w:szCs w:val="20"/>
                <w:color w:val="auto"/>
              </w:rPr>
            </w:pPr>
            <w:r>
              <w:rPr>
                <w:rFonts w:ascii="Arial" w:cs="Arial" w:eastAsia="Arial" w:hAnsi="Arial"/>
                <w:sz w:val="18"/>
                <w:szCs w:val="18"/>
                <w:b w:val="1"/>
                <w:bCs w:val="1"/>
                <w:color w:val="FFFFFF"/>
              </w:rPr>
              <w:t>Recommendation</w:t>
            </w:r>
          </w:p>
        </w:tc>
        <w:tc>
          <w:tcPr>
            <w:tcW w:w="1800" w:type="dxa"/>
            <w:vAlign w:val="bottom"/>
            <w:shd w:val="clear" w:color="auto" w:fill="0233A1"/>
          </w:tcPr>
          <w:p>
            <w:pPr>
              <w:jc w:val="center"/>
              <w:spacing w:after="0"/>
              <w:rPr>
                <w:sz w:val="20"/>
                <w:szCs w:val="20"/>
                <w:color w:val="auto"/>
              </w:rPr>
            </w:pPr>
            <w:r>
              <w:rPr>
                <w:rFonts w:ascii="Arial" w:cs="Arial" w:eastAsia="Arial" w:hAnsi="Arial"/>
                <w:sz w:val="18"/>
                <w:szCs w:val="18"/>
                <w:b w:val="1"/>
                <w:bCs w:val="1"/>
                <w:color w:val="FFFFFF"/>
                <w:w w:val="99"/>
              </w:rPr>
              <w:t>Election / Approval</w:t>
            </w:r>
          </w:p>
        </w:tc>
        <w:tc>
          <w:tcPr>
            <w:tcW w:w="960" w:type="dxa"/>
            <w:vAlign w:val="bottom"/>
            <w:shd w:val="clear" w:color="auto" w:fill="0233A1"/>
          </w:tcPr>
          <w:p>
            <w:pPr>
              <w:jc w:val="center"/>
              <w:spacing w:after="0"/>
              <w:rPr>
                <w:sz w:val="20"/>
                <w:szCs w:val="20"/>
                <w:color w:val="auto"/>
              </w:rPr>
            </w:pPr>
            <w:r>
              <w:rPr>
                <w:rFonts w:ascii="Arial" w:cs="Arial" w:eastAsia="Arial" w:hAnsi="Arial"/>
                <w:sz w:val="18"/>
                <w:szCs w:val="18"/>
                <w:b w:val="1"/>
                <w:bCs w:val="1"/>
                <w:color w:val="FFFFFF"/>
              </w:rPr>
              <w:t>to Page</w:t>
            </w:r>
          </w:p>
        </w:tc>
        <w:tc>
          <w:tcPr>
            <w:tcW w:w="0" w:type="dxa"/>
            <w:vAlign w:val="bottom"/>
          </w:tcPr>
          <w:p>
            <w:pPr>
              <w:spacing w:after="0"/>
              <w:rPr>
                <w:sz w:val="1"/>
                <w:szCs w:val="1"/>
                <w:color w:val="auto"/>
              </w:rPr>
            </w:pPr>
          </w:p>
        </w:tc>
      </w:tr>
      <w:tr>
        <w:trPr>
          <w:trHeight w:val="215"/>
        </w:trPr>
        <w:tc>
          <w:tcPr>
            <w:tcW w:w="400" w:type="dxa"/>
            <w:vAlign w:val="bottom"/>
          </w:tcPr>
          <w:p>
            <w:pPr>
              <w:ind w:left="60"/>
              <w:spacing w:after="0"/>
              <w:rPr>
                <w:sz w:val="20"/>
                <w:szCs w:val="20"/>
                <w:color w:val="auto"/>
              </w:rPr>
            </w:pPr>
            <w:r>
              <w:rPr>
                <w:rFonts w:ascii="Arial" w:cs="Arial" w:eastAsia="Arial" w:hAnsi="Arial"/>
                <w:sz w:val="16"/>
                <w:szCs w:val="16"/>
                <w:b w:val="1"/>
                <w:bCs w:val="1"/>
                <w:color w:val="auto"/>
              </w:rPr>
              <w:t>1</w:t>
            </w:r>
          </w:p>
        </w:tc>
        <w:tc>
          <w:tcPr>
            <w:tcW w:w="5580" w:type="dxa"/>
            <w:vAlign w:val="bottom"/>
          </w:tcPr>
          <w:p>
            <w:pPr>
              <w:spacing w:after="0"/>
              <w:rPr>
                <w:sz w:val="20"/>
                <w:szCs w:val="20"/>
                <w:color w:val="auto"/>
              </w:rPr>
            </w:pPr>
            <w:r>
              <w:rPr>
                <w:rFonts w:ascii="Arial" w:cs="Arial" w:eastAsia="Arial" w:hAnsi="Arial"/>
                <w:sz w:val="16"/>
                <w:szCs w:val="16"/>
                <w:color w:val="auto"/>
              </w:rPr>
              <w:t xml:space="preserve">Election of 11 director nominees to our Board of Directors (the </w:t>
            </w:r>
            <w:r>
              <w:rPr>
                <w:rFonts w:ascii="Arial" w:cs="Arial" w:eastAsia="Arial" w:hAnsi="Arial"/>
                <w:sz w:val="16"/>
                <w:szCs w:val="16"/>
                <w:b w:val="1"/>
                <w:bCs w:val="1"/>
                <w:color w:val="auto"/>
              </w:rPr>
              <w:t>Board</w:t>
            </w:r>
            <w:r>
              <w:rPr>
                <w:rFonts w:ascii="Arial" w:cs="Arial" w:eastAsia="Arial" w:hAnsi="Arial"/>
                <w:sz w:val="16"/>
                <w:szCs w:val="16"/>
                <w:color w:val="auto"/>
              </w:rPr>
              <w:t>).</w:t>
            </w:r>
          </w:p>
        </w:tc>
        <w:tc>
          <w:tcPr>
            <w:tcW w:w="2100" w:type="dxa"/>
            <w:vAlign w:val="bottom"/>
          </w:tcPr>
          <w:p>
            <w:pPr>
              <w:jc w:val="center"/>
              <w:ind w:left="355"/>
              <w:spacing w:after="0"/>
              <w:rPr>
                <w:sz w:val="20"/>
                <w:szCs w:val="20"/>
                <w:color w:val="auto"/>
              </w:rPr>
            </w:pPr>
            <w:r>
              <w:rPr>
                <w:rFonts w:ascii="Arial" w:cs="Arial" w:eastAsia="Arial" w:hAnsi="Arial"/>
                <w:sz w:val="16"/>
                <w:szCs w:val="16"/>
                <w:b w:val="1"/>
                <w:bCs w:val="1"/>
                <w:color w:val="0233A1"/>
              </w:rPr>
              <w:t>FOR</w:t>
            </w:r>
          </w:p>
        </w:tc>
        <w:tc>
          <w:tcPr>
            <w:tcW w:w="1800" w:type="dxa"/>
            <w:vAlign w:val="bottom"/>
          </w:tcPr>
          <w:p>
            <w:pPr>
              <w:jc w:val="center"/>
              <w:ind w:right="16"/>
              <w:spacing w:after="0"/>
              <w:rPr>
                <w:sz w:val="20"/>
                <w:szCs w:val="20"/>
                <w:color w:val="auto"/>
              </w:rPr>
            </w:pPr>
            <w:r>
              <w:rPr>
                <w:rFonts w:ascii="Arial" w:cs="Arial" w:eastAsia="Arial" w:hAnsi="Arial"/>
                <w:sz w:val="16"/>
                <w:szCs w:val="16"/>
                <w:color w:val="auto"/>
              </w:rPr>
              <w:t>Majority of</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2100" w:type="dxa"/>
            <w:vAlign w:val="bottom"/>
          </w:tcPr>
          <w:p>
            <w:pPr>
              <w:jc w:val="center"/>
              <w:ind w:left="375"/>
              <w:spacing w:after="0"/>
              <w:rPr>
                <w:sz w:val="20"/>
                <w:szCs w:val="20"/>
                <w:color w:val="auto"/>
              </w:rPr>
            </w:pPr>
            <w:r>
              <w:rPr>
                <w:rFonts w:ascii="Arial" w:cs="Arial" w:eastAsia="Arial" w:hAnsi="Arial"/>
                <w:sz w:val="16"/>
                <w:szCs w:val="16"/>
                <w:b w:val="1"/>
                <w:bCs w:val="1"/>
                <w:color w:val="0233A1"/>
              </w:rPr>
              <w:t>each nominee</w:t>
            </w:r>
          </w:p>
        </w:tc>
        <w:tc>
          <w:tcPr>
            <w:tcW w:w="1800" w:type="dxa"/>
            <w:vAlign w:val="bottom"/>
          </w:tcPr>
          <w:p>
            <w:pPr>
              <w:jc w:val="center"/>
              <w:ind w:right="36"/>
              <w:spacing w:after="0"/>
              <w:rPr>
                <w:sz w:val="20"/>
                <w:szCs w:val="20"/>
                <w:color w:val="auto"/>
              </w:rPr>
            </w:pPr>
            <w:r>
              <w:rPr>
                <w:rFonts w:ascii="Arial" w:cs="Arial" w:eastAsia="Arial" w:hAnsi="Arial"/>
                <w:sz w:val="16"/>
                <w:szCs w:val="16"/>
                <w:color w:val="auto"/>
              </w:rPr>
              <w:t>votes cast for</w:t>
            </w:r>
          </w:p>
        </w:tc>
        <w:tc>
          <w:tcPr>
            <w:tcW w:w="960" w:type="dxa"/>
            <w:vAlign w:val="bottom"/>
          </w:tcPr>
          <w:p>
            <w:pPr>
              <w:jc w:val="center"/>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5"/>
        </w:trPr>
        <w:tc>
          <w:tcPr>
            <w:tcW w:w="40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auto"/>
              </w:rPr>
              <w:t>nominee</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00" w:type="dxa"/>
            <w:vAlign w:val="bottom"/>
          </w:tcPr>
          <w:p>
            <w:pPr>
              <w:ind w:left="60"/>
              <w:spacing w:after="0"/>
              <w:rPr>
                <w:sz w:val="20"/>
                <w:szCs w:val="20"/>
                <w:color w:val="auto"/>
              </w:rPr>
            </w:pPr>
            <w:r>
              <w:rPr>
                <w:rFonts w:ascii="Arial" w:cs="Arial" w:eastAsia="Arial" w:hAnsi="Arial"/>
                <w:sz w:val="16"/>
                <w:szCs w:val="16"/>
                <w:b w:val="1"/>
                <w:bCs w:val="1"/>
                <w:color w:val="auto"/>
              </w:rPr>
              <w:t>2</w:t>
            </w:r>
          </w:p>
        </w:tc>
        <w:tc>
          <w:tcPr>
            <w:tcW w:w="5580" w:type="dxa"/>
            <w:vAlign w:val="bottom"/>
          </w:tcPr>
          <w:p>
            <w:pPr>
              <w:spacing w:after="0"/>
              <w:rPr>
                <w:sz w:val="20"/>
                <w:szCs w:val="20"/>
                <w:color w:val="auto"/>
              </w:rPr>
            </w:pPr>
            <w:r>
              <w:rPr>
                <w:rFonts w:ascii="Arial" w:cs="Arial" w:eastAsia="Arial" w:hAnsi="Arial"/>
                <w:sz w:val="16"/>
                <w:szCs w:val="16"/>
                <w:color w:val="auto"/>
              </w:rPr>
              <w:t>Advisory “say-on-pay” approval of our executive compensation.</w:t>
            </w:r>
          </w:p>
        </w:tc>
        <w:tc>
          <w:tcPr>
            <w:tcW w:w="2100" w:type="dxa"/>
            <w:vAlign w:val="bottom"/>
            <w:vMerge w:val="restart"/>
          </w:tcPr>
          <w:p>
            <w:pPr>
              <w:jc w:val="center"/>
              <w:ind w:left="395"/>
              <w:spacing w:after="0"/>
              <w:rPr>
                <w:sz w:val="20"/>
                <w:szCs w:val="20"/>
                <w:color w:val="auto"/>
              </w:rPr>
            </w:pPr>
            <w:r>
              <w:rPr>
                <w:rFonts w:ascii="Arial" w:cs="Arial" w:eastAsia="Arial" w:hAnsi="Arial"/>
                <w:sz w:val="16"/>
                <w:szCs w:val="16"/>
                <w:b w:val="1"/>
                <w:bCs w:val="1"/>
                <w:color w:val="0233A1"/>
              </w:rPr>
              <w:t>FOR</w:t>
            </w:r>
          </w:p>
        </w:tc>
        <w:tc>
          <w:tcPr>
            <w:tcW w:w="1800" w:type="dxa"/>
            <w:vAlign w:val="bottom"/>
          </w:tcPr>
          <w:p>
            <w:pPr>
              <w:jc w:val="center"/>
              <w:ind w:right="16"/>
              <w:spacing w:after="0"/>
              <w:rPr>
                <w:sz w:val="20"/>
                <w:szCs w:val="20"/>
                <w:color w:val="auto"/>
              </w:rPr>
            </w:pPr>
            <w:r>
              <w:rPr>
                <w:rFonts w:ascii="Arial" w:cs="Arial" w:eastAsia="Arial" w:hAnsi="Arial"/>
                <w:sz w:val="16"/>
                <w:szCs w:val="16"/>
                <w:color w:val="auto"/>
              </w:rPr>
              <w:t>Majority of</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15"/>
        </w:trPr>
        <w:tc>
          <w:tcPr>
            <w:tcW w:w="400" w:type="dxa"/>
            <w:vAlign w:val="bottom"/>
          </w:tcPr>
          <w:p>
            <w:pPr>
              <w:spacing w:after="0"/>
              <w:rPr>
                <w:sz w:val="9"/>
                <w:szCs w:val="9"/>
                <w:color w:val="auto"/>
              </w:rPr>
            </w:pPr>
          </w:p>
        </w:tc>
        <w:tc>
          <w:tcPr>
            <w:tcW w:w="5580" w:type="dxa"/>
            <w:vAlign w:val="bottom"/>
          </w:tcPr>
          <w:p>
            <w:pPr>
              <w:spacing w:after="0"/>
              <w:rPr>
                <w:sz w:val="9"/>
                <w:szCs w:val="9"/>
                <w:color w:val="auto"/>
              </w:rPr>
            </w:pPr>
          </w:p>
        </w:tc>
        <w:tc>
          <w:tcPr>
            <w:tcW w:w="2100" w:type="dxa"/>
            <w:vAlign w:val="bottom"/>
            <w:vMerge w:val="continue"/>
          </w:tcPr>
          <w:p>
            <w:pPr>
              <w:spacing w:after="0"/>
              <w:rPr>
                <w:sz w:val="9"/>
                <w:szCs w:val="9"/>
                <w:color w:val="auto"/>
              </w:rPr>
            </w:pPr>
          </w:p>
        </w:tc>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9"/>
              </w:rPr>
              <w:t>votes cast</w:t>
            </w: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40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80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8" w:lineRule="exact"/>
        <w:rPr>
          <w:sz w:val="20"/>
          <w:szCs w:val="20"/>
          <w:color w:val="auto"/>
        </w:rPr>
      </w:pPr>
    </w:p>
    <w:p>
      <w:pPr>
        <w:sectPr>
          <w:pgSz w:w="11900" w:h="16838" w:orient="portrait"/>
          <w:cols w:equalWidth="0" w:num="1">
            <w:col w:w="11240"/>
          </w:cols>
          <w:pgMar w:left="320" w:top="238" w:right="339" w:bottom="1440" w:gutter="0" w:footer="0" w:header="0"/>
        </w:sectPr>
      </w:pPr>
    </w:p>
    <w:p>
      <w:pPr>
        <w:jc w:val="both"/>
        <w:ind w:left="600" w:hanging="345"/>
        <w:spacing w:after="0" w:line="266" w:lineRule="auto"/>
        <w:tabs>
          <w:tab w:leader="none" w:pos="60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Approval of our consolidated balance sheet at December 31, 2023, our consolidated statement of income for the year ended December 31, 2023, and the declarations of dividends by our Board in 2023.</w:t>
      </w:r>
    </w:p>
    <w:p>
      <w:pPr>
        <w:spacing w:after="0" w:line="9" w:lineRule="exact"/>
        <w:rPr>
          <w:sz w:val="20"/>
          <w:szCs w:val="20"/>
          <w:color w:val="auto"/>
        </w:rPr>
      </w:pPr>
    </w:p>
    <w:p>
      <w:pPr>
        <w:ind w:left="600" w:right="460" w:hanging="345"/>
        <w:spacing w:after="0" w:line="286" w:lineRule="auto"/>
        <w:tabs>
          <w:tab w:leader="none" w:pos="60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Ratification of the appointment of PricewaterhouseCoopers LLP (</w:t>
      </w:r>
      <w:r>
        <w:rPr>
          <w:rFonts w:ascii="Arial" w:cs="Arial" w:eastAsia="Arial" w:hAnsi="Arial"/>
          <w:sz w:val="16"/>
          <w:szCs w:val="16"/>
          <w:b w:val="1"/>
          <w:bCs w:val="1"/>
          <w:color w:val="auto"/>
        </w:rPr>
        <w:t>PwC</w:t>
      </w:r>
      <w:r>
        <w:rPr>
          <w:rFonts w:ascii="Arial" w:cs="Arial" w:eastAsia="Arial" w:hAnsi="Arial"/>
          <w:sz w:val="16"/>
          <w:szCs w:val="16"/>
          <w:color w:val="auto"/>
        </w:rPr>
        <w:t>) as our independent auditor for 2024.</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900" w:type="dxa"/>
            <w:vAlign w:val="bottom"/>
            <w:vMerge w:val="restart"/>
          </w:tcPr>
          <w:p>
            <w:pPr>
              <w:spacing w:after="0"/>
              <w:rPr>
                <w:sz w:val="20"/>
                <w:szCs w:val="20"/>
                <w:color w:val="auto"/>
              </w:rPr>
            </w:pPr>
            <w:r>
              <w:rPr>
                <w:rFonts w:ascii="Arial" w:cs="Arial" w:eastAsia="Arial" w:hAnsi="Arial"/>
                <w:sz w:val="16"/>
                <w:szCs w:val="16"/>
                <w:b w:val="1"/>
                <w:bCs w:val="1"/>
                <w:color w:val="0233A1"/>
              </w:rPr>
              <w:t>FOR</w:t>
            </w:r>
          </w:p>
        </w:tc>
        <w:tc>
          <w:tcPr>
            <w:tcW w:w="1780" w:type="dxa"/>
            <w:vAlign w:val="bottom"/>
          </w:tcPr>
          <w:p>
            <w:pPr>
              <w:jc w:val="center"/>
              <w:spacing w:after="0"/>
              <w:rPr>
                <w:sz w:val="20"/>
                <w:szCs w:val="20"/>
                <w:color w:val="auto"/>
              </w:rPr>
            </w:pPr>
            <w:r>
              <w:rPr>
                <w:rFonts w:ascii="Arial" w:cs="Arial" w:eastAsia="Arial" w:hAnsi="Arial"/>
                <w:sz w:val="16"/>
                <w:szCs w:val="16"/>
                <w:color w:val="auto"/>
              </w:rPr>
              <w:t>Majority of</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128"/>
        </w:trPr>
        <w:tc>
          <w:tcPr>
            <w:tcW w:w="900" w:type="dxa"/>
            <w:vAlign w:val="bottom"/>
            <w:vMerge w:val="continue"/>
          </w:tcPr>
          <w:p>
            <w:pPr>
              <w:spacing w:after="0"/>
              <w:rPr>
                <w:sz w:val="11"/>
                <w:szCs w:val="11"/>
                <w:color w:val="auto"/>
              </w:rPr>
            </w:pPr>
          </w:p>
        </w:tc>
        <w:tc>
          <w:tcPr>
            <w:tcW w:w="1780" w:type="dxa"/>
            <w:vAlign w:val="bottom"/>
            <w:vMerge w:val="restart"/>
          </w:tcPr>
          <w:p>
            <w:pPr>
              <w:jc w:val="center"/>
              <w:ind w:left="19"/>
              <w:spacing w:after="0"/>
              <w:rPr>
                <w:sz w:val="20"/>
                <w:szCs w:val="20"/>
                <w:color w:val="auto"/>
              </w:rPr>
            </w:pPr>
            <w:r>
              <w:rPr>
                <w:rFonts w:ascii="Arial" w:cs="Arial" w:eastAsia="Arial" w:hAnsi="Arial"/>
                <w:sz w:val="16"/>
                <w:szCs w:val="16"/>
                <w:color w:val="auto"/>
                <w:w w:val="99"/>
              </w:rPr>
              <w:t>votes cast</w:t>
            </w: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900" w:type="dxa"/>
            <w:vAlign w:val="bottom"/>
          </w:tcPr>
          <w:p>
            <w:pPr>
              <w:spacing w:after="0"/>
              <w:rPr>
                <w:sz w:val="7"/>
                <w:szCs w:val="7"/>
                <w:color w:val="auto"/>
              </w:rPr>
            </w:pPr>
          </w:p>
        </w:tc>
        <w:tc>
          <w:tcPr>
            <w:tcW w:w="178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5"/>
        </w:trPr>
        <w:tc>
          <w:tcPr>
            <w:tcW w:w="900" w:type="dxa"/>
            <w:vAlign w:val="bottom"/>
            <w:vMerge w:val="restart"/>
          </w:tcPr>
          <w:p>
            <w:pPr>
              <w:spacing w:after="0"/>
              <w:rPr>
                <w:sz w:val="20"/>
                <w:szCs w:val="20"/>
                <w:color w:val="auto"/>
              </w:rPr>
            </w:pPr>
            <w:r>
              <w:rPr>
                <w:rFonts w:ascii="Arial" w:cs="Arial" w:eastAsia="Arial" w:hAnsi="Arial"/>
                <w:sz w:val="16"/>
                <w:szCs w:val="16"/>
                <w:b w:val="1"/>
                <w:bCs w:val="1"/>
                <w:color w:val="0233A1"/>
              </w:rPr>
              <w:t>FOR</w:t>
            </w:r>
          </w:p>
        </w:tc>
        <w:tc>
          <w:tcPr>
            <w:tcW w:w="1780" w:type="dxa"/>
            <w:vAlign w:val="bottom"/>
          </w:tcPr>
          <w:p>
            <w:pPr>
              <w:jc w:val="center"/>
              <w:spacing w:after="0"/>
              <w:rPr>
                <w:sz w:val="20"/>
                <w:szCs w:val="20"/>
                <w:color w:val="auto"/>
              </w:rPr>
            </w:pPr>
            <w:r>
              <w:rPr>
                <w:rFonts w:ascii="Arial" w:cs="Arial" w:eastAsia="Arial" w:hAnsi="Arial"/>
                <w:sz w:val="16"/>
                <w:szCs w:val="16"/>
                <w:color w:val="auto"/>
              </w:rPr>
              <w:t>Majority of</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115"/>
        </w:trPr>
        <w:tc>
          <w:tcPr>
            <w:tcW w:w="900" w:type="dxa"/>
            <w:vAlign w:val="bottom"/>
            <w:vMerge w:val="continue"/>
          </w:tcPr>
          <w:p>
            <w:pPr>
              <w:spacing w:after="0"/>
              <w:rPr>
                <w:sz w:val="9"/>
                <w:szCs w:val="9"/>
                <w:color w:val="auto"/>
              </w:rPr>
            </w:pPr>
          </w:p>
        </w:tc>
        <w:tc>
          <w:tcPr>
            <w:tcW w:w="1780" w:type="dxa"/>
            <w:vAlign w:val="bottom"/>
            <w:vMerge w:val="restart"/>
          </w:tcPr>
          <w:p>
            <w:pPr>
              <w:jc w:val="center"/>
              <w:ind w:left="19"/>
              <w:spacing w:after="0"/>
              <w:rPr>
                <w:sz w:val="20"/>
                <w:szCs w:val="20"/>
                <w:color w:val="auto"/>
              </w:rPr>
            </w:pPr>
            <w:r>
              <w:rPr>
                <w:rFonts w:ascii="Arial" w:cs="Arial" w:eastAsia="Arial" w:hAnsi="Arial"/>
                <w:sz w:val="16"/>
                <w:szCs w:val="16"/>
                <w:color w:val="auto"/>
                <w:w w:val="99"/>
              </w:rPr>
              <w:t>votes cast</w:t>
            </w:r>
          </w:p>
        </w:tc>
        <w:tc>
          <w:tcPr>
            <w:tcW w:w="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900" w:type="dxa"/>
            <w:vAlign w:val="bottom"/>
          </w:tcPr>
          <w:p>
            <w:pPr>
              <w:spacing w:after="0"/>
              <w:rPr>
                <w:sz w:val="8"/>
                <w:szCs w:val="8"/>
                <w:color w:val="auto"/>
              </w:rPr>
            </w:pPr>
          </w:p>
        </w:tc>
        <w:tc>
          <w:tcPr>
            <w:tcW w:w="178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ectPr>
          <w:pgSz w:w="11900" w:h="16838" w:orient="portrait"/>
          <w:cols w:equalWidth="0" w:num="2">
            <w:col w:w="6620" w:space="680"/>
            <w:col w:w="3940"/>
          </w:cols>
          <w:pgMar w:left="320" w:top="238" w:right="339" w:bottom="1440" w:gutter="0" w:footer="0" w:header="0"/>
          <w:type w:val="continuous"/>
        </w:sectPr>
      </w:pPr>
    </w:p>
    <w:p>
      <w:pPr>
        <w:spacing w:after="0" w:line="12"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This proxy statement is first being made available to our shareholders on or about February 22,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471170" cy="2825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7117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left="5580"/>
        <w:spacing w:after="0"/>
        <w:tabs>
          <w:tab w:leader="none" w:pos="9540" w:val="left"/>
        </w:tabs>
        <w:rPr>
          <w:sz w:val="20"/>
          <w:szCs w:val="20"/>
          <w:color w:val="auto"/>
        </w:rPr>
      </w:pPr>
      <w:r>
        <w:rPr>
          <w:rFonts w:ascii="Arial" w:cs="Arial" w:eastAsia="Arial" w:hAnsi="Arial"/>
          <w:sz w:val="16"/>
          <w:szCs w:val="16"/>
          <w:b w:val="1"/>
          <w:bCs w:val="1"/>
          <w:color w:val="auto"/>
        </w:rPr>
        <w:t>6</w:t>
      </w:r>
      <w:r>
        <w:rPr>
          <w:sz w:val="20"/>
          <w:szCs w:val="20"/>
          <w:color w:val="auto"/>
        </w:rPr>
        <w:tab/>
      </w:r>
      <w:r>
        <w:rPr>
          <w:rFonts w:ascii="Arial" w:cs="Arial" w:eastAsia="Arial" w:hAnsi="Arial"/>
          <w:sz w:val="16"/>
          <w:szCs w:val="16"/>
          <w:b w:val="1"/>
          <w:bCs w:val="1"/>
          <w:color w:val="636466"/>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-38735</wp:posOffset>
            </wp:positionV>
            <wp:extent cx="54178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36130" cy="8790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6130" cy="8790940"/>
                    </a:xfrm>
                    <a:prstGeom prst="rect">
                      <a:avLst/>
                    </a:prstGeom>
                    <a:noFill/>
                  </pic:spPr>
                </pic:pic>
              </a:graphicData>
            </a:graphic>
          </wp:anchor>
        </w:drawing>
      </w:r>
    </w:p>
    <w:p>
      <w:pPr>
        <w:spacing w:after="0" w:line="350" w:lineRule="exact"/>
        <w:rPr>
          <w:sz w:val="20"/>
          <w:szCs w:val="20"/>
          <w:color w:val="auto"/>
        </w:rPr>
      </w:pPr>
    </w:p>
    <w:p>
      <w:pPr>
        <w:ind w:left="200"/>
        <w:spacing w:after="0"/>
        <w:rPr>
          <w:sz w:val="20"/>
          <w:szCs w:val="20"/>
          <w:color w:val="auto"/>
        </w:rPr>
      </w:pPr>
      <w:r>
        <w:rPr>
          <w:rFonts w:ascii="Arial" w:cs="Arial" w:eastAsia="Arial" w:hAnsi="Arial"/>
          <w:sz w:val="29"/>
          <w:szCs w:val="29"/>
          <w:color w:val="16458B"/>
        </w:rPr>
        <w:t>2023 Performance Highlights</w:t>
      </w:r>
    </w:p>
    <w:p>
      <w:pPr>
        <w:spacing w:after="0" w:line="328" w:lineRule="exact"/>
        <w:rPr>
          <w:sz w:val="20"/>
          <w:szCs w:val="20"/>
          <w:color w:val="auto"/>
        </w:rPr>
      </w:pPr>
    </w:p>
    <w:p>
      <w:pPr>
        <w:jc w:val="right"/>
        <w:ind w:right="240"/>
        <w:spacing w:after="0"/>
        <w:rPr>
          <w:sz w:val="20"/>
          <w:szCs w:val="20"/>
          <w:color w:val="auto"/>
        </w:rPr>
      </w:pPr>
      <w:r>
        <w:rPr>
          <w:rFonts w:ascii="Arial" w:cs="Arial" w:eastAsia="Arial" w:hAnsi="Arial"/>
          <w:sz w:val="18"/>
          <w:szCs w:val="18"/>
          <w:b w:val="1"/>
          <w:bCs w:val="1"/>
          <w:color w:val="auto"/>
        </w:rPr>
        <w:t>“A remarkable year of broad, resilient, and durable growth.</w:t>
      </w:r>
    </w:p>
    <w:p>
      <w:pPr>
        <w:spacing w:after="0" w:line="9" w:lineRule="exact"/>
        <w:rPr>
          <w:sz w:val="20"/>
          <w:szCs w:val="20"/>
          <w:color w:val="auto"/>
        </w:rPr>
      </w:pPr>
    </w:p>
    <w:p>
      <w:pPr>
        <w:jc w:val="right"/>
        <w:ind w:right="240"/>
        <w:spacing w:after="0"/>
        <w:rPr>
          <w:sz w:val="20"/>
          <w:szCs w:val="20"/>
          <w:color w:val="auto"/>
        </w:rPr>
      </w:pPr>
      <w:r>
        <w:rPr>
          <w:rFonts w:ascii="Arial" w:cs="Arial" w:eastAsia="Arial" w:hAnsi="Arial"/>
          <w:sz w:val="18"/>
          <w:szCs w:val="18"/>
          <w:b w:val="1"/>
          <w:bCs w:val="1"/>
          <w:color w:val="auto"/>
        </w:rPr>
        <w:t>Our performance and returns-focused strategy, combined with</w:t>
      </w:r>
    </w:p>
    <w:p>
      <w:pPr>
        <w:jc w:val="right"/>
        <w:ind w:right="240"/>
        <w:spacing w:after="0" w:line="234" w:lineRule="auto"/>
        <w:rPr>
          <w:sz w:val="20"/>
          <w:szCs w:val="20"/>
          <w:color w:val="auto"/>
        </w:rPr>
      </w:pPr>
      <w:r>
        <w:rPr>
          <w:rFonts w:ascii="Arial" w:cs="Arial" w:eastAsia="Arial" w:hAnsi="Arial"/>
          <w:sz w:val="18"/>
          <w:szCs w:val="18"/>
          <w:b w:val="1"/>
          <w:bCs w:val="1"/>
          <w:color w:val="auto"/>
        </w:rPr>
        <w:t>our differentiated market positioning and digital capabilities,</w:t>
      </w:r>
    </w:p>
    <w:p>
      <w:pPr>
        <w:jc w:val="right"/>
        <w:ind w:right="200"/>
        <w:spacing w:after="0" w:line="235" w:lineRule="auto"/>
        <w:rPr>
          <w:sz w:val="20"/>
          <w:szCs w:val="20"/>
          <w:color w:val="auto"/>
        </w:rPr>
      </w:pPr>
      <w:r>
        <w:rPr>
          <w:rFonts w:ascii="Arial" w:cs="Arial" w:eastAsia="Arial" w:hAnsi="Arial"/>
          <w:sz w:val="18"/>
          <w:szCs w:val="18"/>
          <w:b w:val="1"/>
          <w:bCs w:val="1"/>
          <w:color w:val="auto"/>
        </w:rPr>
        <w:t>will drive profitable growth and further margin expansion,</w:t>
      </w:r>
    </w:p>
    <w:p>
      <w:pPr>
        <w:spacing w:after="0" w:line="1" w:lineRule="exact"/>
        <w:rPr>
          <w:sz w:val="20"/>
          <w:szCs w:val="20"/>
          <w:color w:val="auto"/>
        </w:rPr>
      </w:pPr>
    </w:p>
    <w:p>
      <w:pPr>
        <w:jc w:val="right"/>
        <w:ind w:right="200"/>
        <w:spacing w:after="0"/>
        <w:rPr>
          <w:sz w:val="20"/>
          <w:szCs w:val="20"/>
          <w:color w:val="auto"/>
        </w:rPr>
      </w:pPr>
      <w:r>
        <w:rPr>
          <w:rFonts w:ascii="Arial" w:cs="Arial" w:eastAsia="Arial" w:hAnsi="Arial"/>
          <w:sz w:val="18"/>
          <w:szCs w:val="18"/>
          <w:b w:val="1"/>
          <w:bCs w:val="1"/>
          <w:color w:val="auto"/>
        </w:rPr>
        <w:t>building on our strong foundation for long-term growth.”</w:t>
      </w:r>
    </w:p>
    <w:p>
      <w:pPr>
        <w:spacing w:after="0" w:line="170" w:lineRule="exact"/>
        <w:rPr>
          <w:sz w:val="20"/>
          <w:szCs w:val="20"/>
          <w:color w:val="auto"/>
        </w:rPr>
      </w:pPr>
    </w:p>
    <w:p>
      <w:pPr>
        <w:ind w:left="8280"/>
        <w:spacing w:after="0"/>
        <w:rPr>
          <w:sz w:val="20"/>
          <w:szCs w:val="20"/>
          <w:color w:val="auto"/>
        </w:rPr>
      </w:pPr>
      <w:r>
        <w:rPr>
          <w:rFonts w:ascii="Arial" w:cs="Arial" w:eastAsia="Arial" w:hAnsi="Arial"/>
          <w:sz w:val="21"/>
          <w:szCs w:val="21"/>
          <w:b w:val="1"/>
          <w:bCs w:val="1"/>
          <w:color w:val="0233A1"/>
        </w:rPr>
        <w:t>Olivier Le Peuch, SLB CEO</w:t>
      </w:r>
    </w:p>
    <w:p>
      <w:pPr>
        <w:spacing w:after="0" w:line="21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2023, SLB fulfilled the Company’s full-year financial targets, surpassing our revenue target and generating exceptional cash flows.</w:t>
      </w:r>
    </w:p>
    <w:p>
      <w:pPr>
        <w:spacing w:after="0" w:line="261" w:lineRule="exact"/>
        <w:rPr>
          <w:sz w:val="20"/>
          <w:szCs w:val="20"/>
          <w:color w:val="auto"/>
        </w:rPr>
      </w:pPr>
    </w:p>
    <w:p>
      <w:pPr>
        <w:ind w:left="380"/>
        <w:spacing w:after="0"/>
        <w:rPr>
          <w:sz w:val="20"/>
          <w:szCs w:val="20"/>
          <w:color w:val="auto"/>
        </w:rPr>
      </w:pPr>
      <w:r>
        <w:rPr>
          <w:rFonts w:ascii="Arial" w:cs="Arial" w:eastAsia="Arial" w:hAnsi="Arial"/>
          <w:sz w:val="43"/>
          <w:szCs w:val="43"/>
          <w:color w:val="FFFFFF"/>
        </w:rPr>
        <w:t>2023 Financial Performance Highlights</w:t>
      </w:r>
    </w:p>
    <w:p>
      <w:pPr>
        <w:sectPr>
          <w:pgSz w:w="11900" w:h="16838" w:orient="portrait"/>
          <w:cols w:equalWidth="0" w:num="1">
            <w:col w:w="11240"/>
          </w:cols>
          <w:pgMar w:left="320" w:top="238" w:right="339" w:bottom="798" w:gutter="0" w:footer="0" w:header="0"/>
        </w:sectPr>
      </w:pPr>
    </w:p>
    <w:p>
      <w:pPr>
        <w:spacing w:after="0" w:line="279" w:lineRule="exact"/>
        <w:rPr>
          <w:sz w:val="20"/>
          <w:szCs w:val="20"/>
          <w:color w:val="auto"/>
        </w:rPr>
      </w:pPr>
    </w:p>
    <w:p>
      <w:pPr>
        <w:ind w:left="380"/>
        <w:spacing w:after="0"/>
        <w:rPr>
          <w:sz w:val="20"/>
          <w:szCs w:val="20"/>
          <w:color w:val="auto"/>
        </w:rPr>
      </w:pPr>
      <w:r>
        <w:rPr>
          <w:rFonts w:ascii="Arial" w:cs="Arial" w:eastAsia="Arial" w:hAnsi="Arial"/>
          <w:sz w:val="47"/>
          <w:szCs w:val="47"/>
          <w:color w:val="0233A1"/>
          <w:vertAlign w:val="superscript"/>
        </w:rPr>
        <w:t>$</w:t>
      </w:r>
      <w:r>
        <w:rPr>
          <w:rFonts w:ascii="Arial" w:cs="Arial" w:eastAsia="Arial" w:hAnsi="Arial"/>
          <w:sz w:val="47"/>
          <w:szCs w:val="47"/>
          <w:color w:val="0233A1"/>
        </w:rPr>
        <w:t xml:space="preserve">33.14 </w:t>
      </w:r>
      <w:r>
        <w:rPr>
          <w:rFonts w:ascii="Arial" w:cs="Arial" w:eastAsia="Arial" w:hAnsi="Arial"/>
          <w:sz w:val="25"/>
          <w:szCs w:val="25"/>
          <w:color w:val="0233A1"/>
        </w:rPr>
        <w:t>billion</w:t>
      </w:r>
    </w:p>
    <w:p>
      <w:pPr>
        <w:spacing w:after="0" w:line="3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revenue</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0233A1"/>
        </w:rPr>
        <w:t>+18% year on year</w:t>
      </w:r>
    </w:p>
    <w:p>
      <w:pPr>
        <w:spacing w:after="0" w:line="101" w:lineRule="exact"/>
        <w:rPr>
          <w:sz w:val="20"/>
          <w:szCs w:val="20"/>
          <w:color w:val="auto"/>
        </w:rPr>
      </w:pPr>
    </w:p>
    <w:p>
      <w:pPr>
        <w:ind w:left="380"/>
        <w:spacing w:after="0"/>
        <w:rPr>
          <w:sz w:val="20"/>
          <w:szCs w:val="20"/>
          <w:color w:val="auto"/>
        </w:rPr>
      </w:pPr>
      <w:r>
        <w:rPr>
          <w:rFonts w:ascii="Arial" w:cs="Arial" w:eastAsia="Arial" w:hAnsi="Arial"/>
          <w:sz w:val="47"/>
          <w:szCs w:val="47"/>
          <w:color w:val="0233A1"/>
          <w:vertAlign w:val="superscript"/>
        </w:rPr>
        <w:t>$</w:t>
      </w:r>
      <w:r>
        <w:rPr>
          <w:rFonts w:ascii="Arial" w:cs="Arial" w:eastAsia="Arial" w:hAnsi="Arial"/>
          <w:sz w:val="47"/>
          <w:szCs w:val="47"/>
          <w:color w:val="0233A1"/>
        </w:rPr>
        <w:t xml:space="preserve">4.20 </w:t>
      </w:r>
      <w:r>
        <w:rPr>
          <w:rFonts w:ascii="Arial" w:cs="Arial" w:eastAsia="Arial" w:hAnsi="Arial"/>
          <w:sz w:val="25"/>
          <w:szCs w:val="25"/>
          <w:color w:val="0233A1"/>
        </w:rPr>
        <w:t>billion</w:t>
      </w:r>
    </w:p>
    <w:p>
      <w:pPr>
        <w:spacing w:after="0" w:line="3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net income attributable to SLB</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0233A1"/>
        </w:rPr>
        <w:t>+22% year on year</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47"/>
          <w:szCs w:val="47"/>
          <w:color w:val="0233A1"/>
          <w:vertAlign w:val="superscript"/>
        </w:rPr>
        <w:t>$</w:t>
      </w:r>
      <w:r>
        <w:rPr>
          <w:rFonts w:ascii="Arial" w:cs="Arial" w:eastAsia="Arial" w:hAnsi="Arial"/>
          <w:sz w:val="47"/>
          <w:szCs w:val="47"/>
          <w:color w:val="0233A1"/>
        </w:rPr>
        <w:t xml:space="preserve">2.0 </w:t>
      </w:r>
      <w:r>
        <w:rPr>
          <w:rFonts w:ascii="Arial" w:cs="Arial" w:eastAsia="Arial" w:hAnsi="Arial"/>
          <w:sz w:val="25"/>
          <w:szCs w:val="25"/>
          <w:color w:val="0233A1"/>
        </w:rPr>
        <w:t>billion</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returned to shareholders through</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dividends and share repurchases</w:t>
      </w:r>
    </w:p>
    <w:p>
      <w:pPr>
        <w:spacing w:after="0" w:line="101" w:lineRule="exact"/>
        <w:rPr>
          <w:sz w:val="20"/>
          <w:szCs w:val="20"/>
          <w:color w:val="auto"/>
        </w:rPr>
      </w:pPr>
    </w:p>
    <w:p>
      <w:pPr>
        <w:jc w:val="center"/>
        <w:ind w:right="3280"/>
        <w:spacing w:after="0"/>
        <w:rPr>
          <w:sz w:val="20"/>
          <w:szCs w:val="20"/>
          <w:color w:val="auto"/>
        </w:rPr>
      </w:pPr>
      <w:r>
        <w:rPr>
          <w:rFonts w:ascii="Arial" w:cs="Arial" w:eastAsia="Arial" w:hAnsi="Arial"/>
          <w:sz w:val="45"/>
          <w:szCs w:val="45"/>
          <w:color w:val="0233A1"/>
          <w:vertAlign w:val="superscript"/>
        </w:rPr>
        <w:t>$</w:t>
      </w:r>
      <w:r>
        <w:rPr>
          <w:rFonts w:ascii="Arial" w:cs="Arial" w:eastAsia="Arial" w:hAnsi="Arial"/>
          <w:sz w:val="45"/>
          <w:szCs w:val="45"/>
          <w:color w:val="0233A1"/>
        </w:rPr>
        <w:t xml:space="preserve">6.64 </w:t>
      </w:r>
      <w:r>
        <w:rPr>
          <w:rFonts w:ascii="Arial" w:cs="Arial" w:eastAsia="Arial" w:hAnsi="Arial"/>
          <w:sz w:val="24"/>
          <w:szCs w:val="24"/>
          <w:color w:val="0233A1"/>
        </w:rPr>
        <w:t>billion</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cash flow from operations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233A1"/>
        </w:rPr>
        <w:t>+78% year on year</w:t>
      </w:r>
    </w:p>
    <w:p>
      <w:pPr>
        <w:spacing w:after="0" w:line="101" w:lineRule="exact"/>
        <w:rPr>
          <w:sz w:val="20"/>
          <w:szCs w:val="20"/>
          <w:color w:val="auto"/>
        </w:rPr>
      </w:pPr>
    </w:p>
    <w:p>
      <w:pPr>
        <w:sectPr>
          <w:pgSz w:w="11900" w:h="16838" w:orient="portrait"/>
          <w:cols w:equalWidth="0" w:num="2">
            <w:col w:w="5420" w:space="720"/>
            <w:col w:w="5100"/>
          </w:cols>
          <w:pgMar w:left="320" w:top="238" w:right="339" w:bottom="798" w:gutter="0" w:footer="0" w:header="0"/>
          <w:type w:val="continuous"/>
        </w:sectPr>
      </w:pPr>
    </w:p>
    <w:p>
      <w:pPr>
        <w:ind w:left="380"/>
        <w:spacing w:after="0"/>
        <w:rPr>
          <w:sz w:val="20"/>
          <w:szCs w:val="20"/>
          <w:color w:val="auto"/>
        </w:rPr>
      </w:pPr>
      <w:r>
        <w:rPr>
          <w:rFonts w:ascii="Arial" w:cs="Arial" w:eastAsia="Arial" w:hAnsi="Arial"/>
          <w:sz w:val="47"/>
          <w:szCs w:val="47"/>
          <w:color w:val="0233A1"/>
          <w:vertAlign w:val="superscript"/>
        </w:rPr>
        <w:t>$</w:t>
      </w:r>
      <w:r>
        <w:rPr>
          <w:rFonts w:ascii="Arial" w:cs="Arial" w:eastAsia="Arial" w:hAnsi="Arial"/>
          <w:sz w:val="47"/>
          <w:szCs w:val="47"/>
          <w:color w:val="0233A1"/>
        </w:rPr>
        <w:t xml:space="preserve">8.11 </w:t>
      </w:r>
      <w:r>
        <w:rPr>
          <w:rFonts w:ascii="Arial" w:cs="Arial" w:eastAsia="Arial" w:hAnsi="Arial"/>
          <w:sz w:val="25"/>
          <w:szCs w:val="25"/>
          <w:color w:val="0233A1"/>
        </w:rPr>
        <w:t>billion</w:t>
      </w:r>
    </w:p>
    <w:p>
      <w:pPr>
        <w:ind w:left="380"/>
        <w:spacing w:after="0" w:line="215" w:lineRule="auto"/>
        <w:rPr>
          <w:sz w:val="20"/>
          <w:szCs w:val="20"/>
          <w:color w:val="auto"/>
        </w:rPr>
      </w:pPr>
      <w:r>
        <w:rPr>
          <w:rFonts w:ascii="Arial" w:cs="Arial" w:eastAsia="Arial" w:hAnsi="Arial"/>
          <w:sz w:val="16"/>
          <w:szCs w:val="16"/>
          <w:color w:val="auto"/>
        </w:rPr>
        <w:t>adjusted EBITDA</w:t>
      </w:r>
      <w:r>
        <w:rPr>
          <w:rFonts w:ascii="Arial" w:cs="Arial" w:eastAsia="Arial" w:hAnsi="Arial"/>
          <w:sz w:val="26"/>
          <w:szCs w:val="26"/>
          <w:color w:val="auto"/>
          <w:vertAlign w:val="superscript"/>
        </w:rPr>
        <w:t>+</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6"/>
          <w:szCs w:val="16"/>
          <w:color w:val="0233A1"/>
        </w:rPr>
        <w:t>+25% year on year</w:t>
      </w:r>
    </w:p>
    <w:p>
      <w:pPr>
        <w:spacing w:after="0" w:line="101" w:lineRule="exact"/>
        <w:rPr>
          <w:sz w:val="20"/>
          <w:szCs w:val="20"/>
          <w:color w:val="auto"/>
        </w:rPr>
      </w:pPr>
    </w:p>
    <w:p>
      <w:pPr>
        <w:ind w:left="380"/>
        <w:spacing w:after="0"/>
        <w:rPr>
          <w:sz w:val="20"/>
          <w:szCs w:val="20"/>
          <w:color w:val="auto"/>
        </w:rPr>
      </w:pPr>
      <w:r>
        <w:rPr>
          <w:rFonts w:ascii="Arial" w:cs="Arial" w:eastAsia="Arial" w:hAnsi="Arial"/>
          <w:sz w:val="47"/>
          <w:szCs w:val="47"/>
          <w:color w:val="0233A1"/>
        </w:rPr>
        <w:t>16</w:t>
      </w:r>
      <w:r>
        <w:rPr>
          <w:rFonts w:ascii="Arial" w:cs="Arial" w:eastAsia="Arial" w:hAnsi="Arial"/>
          <w:sz w:val="25"/>
          <w:szCs w:val="25"/>
          <w:color w:val="0233A1"/>
        </w:rPr>
        <w:t>%</w:t>
      </w:r>
    </w:p>
    <w:p>
      <w:pPr>
        <w:spacing w:after="0" w:line="7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return on capital employed</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0233A1"/>
        </w:rPr>
        <w:t>highest level since 2014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7"/>
          <w:szCs w:val="47"/>
          <w:color w:val="0233A1"/>
          <w:vertAlign w:val="superscript"/>
        </w:rPr>
        <w:t>$</w:t>
      </w:r>
      <w:r>
        <w:rPr>
          <w:rFonts w:ascii="Arial" w:cs="Arial" w:eastAsia="Arial" w:hAnsi="Arial"/>
          <w:sz w:val="47"/>
          <w:szCs w:val="47"/>
          <w:color w:val="0233A1"/>
        </w:rPr>
        <w:t xml:space="preserve">4.04 </w:t>
      </w:r>
      <w:r>
        <w:rPr>
          <w:rFonts w:ascii="Arial" w:cs="Arial" w:eastAsia="Arial" w:hAnsi="Arial"/>
          <w:sz w:val="25"/>
          <w:szCs w:val="25"/>
          <w:color w:val="0233A1"/>
        </w:rPr>
        <w:t>billion</w:t>
      </w:r>
    </w:p>
    <w:p>
      <w:pPr>
        <w:spacing w:after="0" w:line="215" w:lineRule="auto"/>
        <w:rPr>
          <w:sz w:val="20"/>
          <w:szCs w:val="20"/>
          <w:color w:val="auto"/>
        </w:rPr>
      </w:pPr>
      <w:r>
        <w:rPr>
          <w:rFonts w:ascii="Arial" w:cs="Arial" w:eastAsia="Arial" w:hAnsi="Arial"/>
          <w:sz w:val="16"/>
          <w:szCs w:val="16"/>
          <w:color w:val="auto"/>
        </w:rPr>
        <w:t>free cash flow</w:t>
      </w:r>
      <w:r>
        <w:rPr>
          <w:rFonts w:ascii="Arial" w:cs="Arial" w:eastAsia="Arial" w:hAnsi="Arial"/>
          <w:sz w:val="26"/>
          <w:szCs w:val="26"/>
          <w:color w:val="auto"/>
          <w:vertAlign w:val="superscript"/>
        </w:rPr>
        <w: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233A1"/>
        </w:rPr>
        <w:t>+185% year on year</w:t>
      </w:r>
    </w:p>
    <w:p>
      <w:pPr>
        <w:spacing w:after="0" w:line="101" w:lineRule="exact"/>
        <w:rPr>
          <w:sz w:val="20"/>
          <w:szCs w:val="20"/>
          <w:color w:val="auto"/>
        </w:rPr>
      </w:pPr>
    </w:p>
    <w:p>
      <w:pPr>
        <w:spacing w:after="0"/>
        <w:rPr>
          <w:sz w:val="20"/>
          <w:szCs w:val="20"/>
          <w:color w:val="auto"/>
        </w:rPr>
      </w:pPr>
      <w:r>
        <w:rPr>
          <w:rFonts w:ascii="Arial" w:cs="Arial" w:eastAsia="Arial" w:hAnsi="Arial"/>
          <w:sz w:val="47"/>
          <w:szCs w:val="47"/>
          <w:color w:val="0233A1"/>
        </w:rPr>
        <w:t>1.0</w:t>
      </w:r>
      <w:r>
        <w:rPr>
          <w:rFonts w:ascii="Arial" w:cs="Arial" w:eastAsia="Arial" w:hAnsi="Arial"/>
          <w:sz w:val="25"/>
          <w:szCs w:val="25"/>
          <w:color w:val="0233A1"/>
        </w:rPr>
        <w:t>X</w:t>
      </w:r>
    </w:p>
    <w:p>
      <w:pPr>
        <w:spacing w:after="0" w:line="224" w:lineRule="auto"/>
        <w:rPr>
          <w:sz w:val="20"/>
          <w:szCs w:val="20"/>
          <w:color w:val="auto"/>
        </w:rPr>
      </w:pPr>
      <w:r>
        <w:rPr>
          <w:rFonts w:ascii="Arial" w:cs="Arial" w:eastAsia="Arial" w:hAnsi="Arial"/>
          <w:sz w:val="16"/>
          <w:szCs w:val="16"/>
          <w:color w:val="auto"/>
        </w:rPr>
        <w:t>net-debt-to-adjusted-EBITDA</w:t>
      </w:r>
      <w:r>
        <w:rPr>
          <w:rFonts w:ascii="Arial" w:cs="Arial" w:eastAsia="Arial" w:hAnsi="Arial"/>
          <w:sz w:val="25"/>
          <w:szCs w:val="25"/>
          <w:color w:val="auto"/>
          <w:vertAlign w:val="superscript"/>
        </w:rPr>
        <w:t>+</w:t>
      </w:r>
      <w:r>
        <w:rPr>
          <w:rFonts w:ascii="Arial" w:cs="Arial" w:eastAsia="Arial" w:hAnsi="Arial"/>
          <w:sz w:val="16"/>
          <w:szCs w:val="16"/>
          <w:color w:val="auto"/>
        </w:rPr>
        <w:t xml:space="preserve"> ratio</w:t>
      </w:r>
    </w:p>
    <w:p>
      <w:pPr>
        <w:spacing w:after="0"/>
        <w:rPr>
          <w:sz w:val="20"/>
          <w:szCs w:val="20"/>
          <w:color w:val="auto"/>
        </w:rPr>
      </w:pPr>
      <w:r>
        <w:rPr>
          <w:rFonts w:ascii="Arial" w:cs="Arial" w:eastAsia="Arial" w:hAnsi="Arial"/>
          <w:sz w:val="16"/>
          <w:szCs w:val="16"/>
          <w:color w:val="0233A1"/>
        </w:rPr>
        <w:t>lowest level since 2016</w:t>
      </w:r>
    </w:p>
    <w:p>
      <w:pPr>
        <w:spacing w:after="0" w:line="200" w:lineRule="exact"/>
        <w:rPr>
          <w:sz w:val="20"/>
          <w:szCs w:val="20"/>
          <w:color w:val="auto"/>
        </w:rPr>
      </w:pPr>
    </w:p>
    <w:p>
      <w:pPr>
        <w:sectPr>
          <w:pgSz w:w="11900" w:h="16838" w:orient="portrait"/>
          <w:cols w:equalWidth="0" w:num="2">
            <w:col w:w="5420" w:space="720"/>
            <w:col w:w="5100"/>
          </w:cols>
          <w:pgMar w:left="320" w:top="238" w:right="339" w:bottom="798" w:gutter="0" w:footer="0" w:header="0"/>
          <w:type w:val="continuous"/>
        </w:sectPr>
      </w:pPr>
    </w:p>
    <w:p>
      <w:pPr>
        <w:spacing w:after="0" w:line="46" w:lineRule="exact"/>
        <w:rPr>
          <w:sz w:val="20"/>
          <w:szCs w:val="20"/>
          <w:color w:val="auto"/>
        </w:rPr>
      </w:pPr>
    </w:p>
    <w:p>
      <w:pPr>
        <w:jc w:val="both"/>
        <w:ind w:left="200" w:right="200" w:firstLine="324"/>
        <w:spacing w:after="0" w:line="259" w:lineRule="auto"/>
        <w:rPr>
          <w:sz w:val="20"/>
          <w:szCs w:val="20"/>
          <w:color w:val="auto"/>
        </w:rPr>
      </w:pPr>
      <w:r>
        <w:rPr>
          <w:rFonts w:ascii="Arial" w:cs="Arial" w:eastAsia="Arial" w:hAnsi="Arial"/>
          <w:sz w:val="16"/>
          <w:szCs w:val="16"/>
          <w:color w:val="auto"/>
        </w:rPr>
        <w:t xml:space="preserve">2023 financial performance across our </w:t>
      </w:r>
      <w:r>
        <w:rPr>
          <w:rFonts w:ascii="Arial" w:cs="Arial" w:eastAsia="Arial" w:hAnsi="Arial"/>
          <w:sz w:val="16"/>
          <w:szCs w:val="16"/>
          <w:b w:val="1"/>
          <w:bCs w:val="1"/>
          <w:color w:val="0233A1"/>
        </w:rPr>
        <w:t>Core</w:t>
      </w:r>
      <w:r>
        <w:rPr>
          <w:rFonts w:ascii="Arial" w:cs="Arial" w:eastAsia="Arial" w:hAnsi="Arial"/>
          <w:sz w:val="16"/>
          <w:szCs w:val="16"/>
          <w:color w:val="auto"/>
        </w:rPr>
        <w:t xml:space="preserve"> business, comprising Reservoir Performance, Well Construction, and Production Systems, was fueled by strong growth in the international and offshore markets. SLB continued to benefit from long-cycle developments, capacity expansions, and exploration and appraisal activities, particularly in the Middle East, where revenue reached a record high, and across offshore basins in Brazil, Angola, US Gulf of Mexico, Guyana, and Norway.</w:t>
      </w:r>
    </w:p>
    <w:p>
      <w:pPr>
        <w:spacing w:after="0" w:line="151" w:lineRule="exact"/>
        <w:rPr>
          <w:sz w:val="20"/>
          <w:szCs w:val="20"/>
          <w:color w:val="auto"/>
        </w:rPr>
      </w:pPr>
    </w:p>
    <w:p>
      <w:pPr>
        <w:jc w:val="both"/>
        <w:ind w:left="200" w:right="200" w:firstLine="324"/>
        <w:spacing w:after="0" w:line="266" w:lineRule="auto"/>
        <w:rPr>
          <w:sz w:val="20"/>
          <w:szCs w:val="20"/>
          <w:color w:val="auto"/>
        </w:rPr>
      </w:pPr>
      <w:r>
        <w:rPr>
          <w:rFonts w:ascii="Arial" w:cs="Arial" w:eastAsia="Arial" w:hAnsi="Arial"/>
          <w:sz w:val="16"/>
          <w:szCs w:val="16"/>
          <w:b w:val="1"/>
          <w:bCs w:val="1"/>
          <w:color w:val="0233A1"/>
        </w:rPr>
        <w:t xml:space="preserve">Digital </w:t>
      </w:r>
      <w:r>
        <w:rPr>
          <w:rFonts w:ascii="Arial" w:cs="Arial" w:eastAsia="Arial" w:hAnsi="Arial"/>
          <w:sz w:val="16"/>
          <w:szCs w:val="16"/>
          <w:color w:val="000000"/>
        </w:rPr>
        <w:t>continued its strong growth momentum, delivering more than $2 billion in revenue in 2023. Our success in Digital was driven by further</w:t>
      </w:r>
      <w:r>
        <w:rPr>
          <w:rFonts w:ascii="Arial" w:cs="Arial" w:eastAsia="Arial" w:hAnsi="Arial"/>
          <w:sz w:val="16"/>
          <w:szCs w:val="16"/>
          <w:b w:val="1"/>
          <w:bCs w:val="1"/>
          <w:color w:val="0233A1"/>
        </w:rPr>
        <w:t xml:space="preserve"> </w:t>
      </w:r>
      <w:r>
        <w:rPr>
          <w:rFonts w:ascii="Arial" w:cs="Arial" w:eastAsia="Arial" w:hAnsi="Arial"/>
          <w:sz w:val="16"/>
          <w:szCs w:val="16"/>
          <w:color w:val="000000"/>
        </w:rPr>
        <w:t>adoption of our new digital technology platforms—comprised of cloud, edge, and AI—as more customers embrace the integration of connected and autonomous, data, and AI solutions.</w:t>
      </w:r>
    </w:p>
    <w:p>
      <w:pPr>
        <w:spacing w:after="0" w:line="144" w:lineRule="exact"/>
        <w:rPr>
          <w:sz w:val="20"/>
          <w:szCs w:val="20"/>
          <w:color w:val="auto"/>
        </w:rPr>
      </w:pPr>
    </w:p>
    <w:p>
      <w:pPr>
        <w:jc w:val="both"/>
        <w:ind w:left="200" w:right="200" w:firstLine="324"/>
        <w:spacing w:after="0" w:line="266" w:lineRule="auto"/>
        <w:rPr>
          <w:sz w:val="20"/>
          <w:szCs w:val="20"/>
          <w:color w:val="auto"/>
        </w:rPr>
      </w:pPr>
      <w:r>
        <w:rPr>
          <w:rFonts w:ascii="Arial" w:cs="Arial" w:eastAsia="Arial" w:hAnsi="Arial"/>
          <w:sz w:val="16"/>
          <w:szCs w:val="16"/>
          <w:color w:val="auto"/>
        </w:rPr>
        <w:t xml:space="preserve">And in </w:t>
      </w:r>
      <w:r>
        <w:rPr>
          <w:rFonts w:ascii="Arial" w:cs="Arial" w:eastAsia="Arial" w:hAnsi="Arial"/>
          <w:sz w:val="16"/>
          <w:szCs w:val="16"/>
          <w:b w:val="1"/>
          <w:bCs w:val="1"/>
          <w:color w:val="0233A1"/>
        </w:rPr>
        <w:t>New Energy</w:t>
      </w:r>
      <w:r>
        <w:rPr>
          <w:rFonts w:ascii="Arial" w:cs="Arial" w:eastAsia="Arial" w:hAnsi="Arial"/>
          <w:sz w:val="16"/>
          <w:szCs w:val="16"/>
          <w:color w:val="auto"/>
        </w:rPr>
        <w:t>—which offers a significant opportunity to use SLB’s experience and scale to drive innovation for a low-carbon economy beyond oil and gas—we continued building businesses and forging partnerships across industries to focus on five key areas: carbon capture and storage, geothermal and geoenergy, critical minerals, energy storage, and hydrogen.</w:t>
      </w:r>
    </w:p>
    <w:p>
      <w:pPr>
        <w:spacing w:after="0" w:line="144" w:lineRule="exact"/>
        <w:rPr>
          <w:sz w:val="20"/>
          <w:szCs w:val="20"/>
          <w:color w:val="auto"/>
        </w:rPr>
      </w:pPr>
    </w:p>
    <w:p>
      <w:pPr>
        <w:jc w:val="both"/>
        <w:ind w:left="200" w:right="200" w:firstLine="324"/>
        <w:spacing w:after="0" w:line="266" w:lineRule="auto"/>
        <w:rPr>
          <w:sz w:val="20"/>
          <w:szCs w:val="20"/>
          <w:color w:val="auto"/>
        </w:rPr>
      </w:pPr>
      <w:r>
        <w:rPr>
          <w:rFonts w:ascii="Arial" w:cs="Arial" w:eastAsia="Arial" w:hAnsi="Arial"/>
          <w:sz w:val="16"/>
          <w:szCs w:val="16"/>
          <w:color w:val="auto"/>
        </w:rPr>
        <w:t>As we advanced these three engines of growth, we also continued to deliver for our customers and stakeholders by achieving our lowest recordable injury rate and highest level of operational reliability on record. This is also reflected in industry surveys, where we are growing customer satisfaction through performance and value creation.</w:t>
      </w:r>
    </w:p>
    <w:p>
      <w:pPr>
        <w:spacing w:after="0" w:line="144" w:lineRule="exact"/>
        <w:rPr>
          <w:sz w:val="20"/>
          <w:szCs w:val="20"/>
          <w:color w:val="auto"/>
        </w:rPr>
      </w:pPr>
    </w:p>
    <w:p>
      <w:pPr>
        <w:jc w:val="both"/>
        <w:ind w:left="200" w:right="200" w:firstLine="324"/>
        <w:spacing w:after="0" w:line="266" w:lineRule="auto"/>
        <w:rPr>
          <w:sz w:val="20"/>
          <w:szCs w:val="20"/>
          <w:color w:val="auto"/>
        </w:rPr>
      </w:pPr>
      <w:r>
        <w:rPr>
          <w:rFonts w:ascii="Arial" w:cs="Arial" w:eastAsia="Arial" w:hAnsi="Arial"/>
          <w:sz w:val="16"/>
          <w:szCs w:val="16"/>
          <w:color w:val="auto"/>
        </w:rPr>
        <w:t xml:space="preserve">On our </w:t>
      </w:r>
      <w:r>
        <w:rPr>
          <w:rFonts w:ascii="Arial" w:cs="Arial" w:eastAsia="Arial" w:hAnsi="Arial"/>
          <w:sz w:val="16"/>
          <w:szCs w:val="16"/>
          <w:b w:val="1"/>
          <w:bCs w:val="1"/>
          <w:color w:val="0233A1"/>
        </w:rPr>
        <w:t>road map to net zero</w:t>
      </w:r>
      <w:r>
        <w:rPr>
          <w:rFonts w:ascii="Arial" w:cs="Arial" w:eastAsia="Arial" w:hAnsi="Arial"/>
          <w:sz w:val="16"/>
          <w:szCs w:val="16"/>
          <w:color w:val="auto"/>
        </w:rPr>
        <w:t>, we reduced emissions intensity—the amount of carbon emissions produced per dollar of revenue—across Scope 1, 2, and 3, in support of SLB’s 2025 emission reduction commitment. And we saw continued adoption by our customers of our Transition Technologies portfolio, which generated more than $1 billion of revenue in 2023.</w:t>
      </w:r>
    </w:p>
    <w:p>
      <w:pPr>
        <w:spacing w:after="0" w:line="144" w:lineRule="exact"/>
        <w:rPr>
          <w:sz w:val="20"/>
          <w:szCs w:val="20"/>
          <w:color w:val="auto"/>
        </w:rPr>
      </w:pPr>
    </w:p>
    <w:p>
      <w:pPr>
        <w:jc w:val="both"/>
        <w:ind w:left="200" w:right="200" w:firstLine="324"/>
        <w:spacing w:after="0" w:line="266" w:lineRule="auto"/>
        <w:rPr>
          <w:sz w:val="20"/>
          <w:szCs w:val="20"/>
          <w:color w:val="auto"/>
        </w:rPr>
      </w:pPr>
      <w:r>
        <w:rPr>
          <w:rFonts w:ascii="Arial" w:cs="Arial" w:eastAsia="Arial" w:hAnsi="Arial"/>
          <w:sz w:val="16"/>
          <w:szCs w:val="16"/>
          <w:color w:val="auto"/>
        </w:rPr>
        <w:t xml:space="preserve">Finally, we continued to demonstrate our commitment to </w:t>
      </w:r>
      <w:r>
        <w:rPr>
          <w:rFonts w:ascii="Arial" w:cs="Arial" w:eastAsia="Arial" w:hAnsi="Arial"/>
          <w:sz w:val="16"/>
          <w:szCs w:val="16"/>
          <w:b w:val="1"/>
          <w:bCs w:val="1"/>
          <w:color w:val="0233A1"/>
        </w:rPr>
        <w:t>superior shareholder returns.</w:t>
      </w:r>
      <w:r>
        <w:rPr>
          <w:rFonts w:ascii="Arial" w:cs="Arial" w:eastAsia="Arial" w:hAnsi="Arial"/>
          <w:sz w:val="16"/>
          <w:szCs w:val="16"/>
          <w:color w:val="auto"/>
        </w:rPr>
        <w:t xml:space="preserve"> We returned $2.0 billion to shareholders in 2023 in the form of dividends and share repurchases, and we announced plans to increase share repurchases in 2024, as we target to return more than $2.5 billion to shareholders in 2024.</w:t>
      </w:r>
    </w:p>
    <w:p>
      <w:pPr>
        <w:spacing w:after="0" w:line="144" w:lineRule="exact"/>
        <w:rPr>
          <w:sz w:val="20"/>
          <w:szCs w:val="20"/>
          <w:color w:val="auto"/>
        </w:rPr>
      </w:pPr>
    </w:p>
    <w:p>
      <w:pPr>
        <w:jc w:val="both"/>
        <w:ind w:left="200" w:right="200" w:firstLine="324"/>
        <w:spacing w:after="0" w:line="286" w:lineRule="auto"/>
        <w:rPr>
          <w:sz w:val="20"/>
          <w:szCs w:val="20"/>
          <w:color w:val="auto"/>
        </w:rPr>
      </w:pPr>
      <w:r>
        <w:rPr>
          <w:rFonts w:ascii="Arial" w:cs="Arial" w:eastAsia="Arial" w:hAnsi="Arial"/>
          <w:sz w:val="16"/>
          <w:szCs w:val="16"/>
          <w:color w:val="auto"/>
        </w:rPr>
        <w:t>With momentum across our three engines of growth and our returns-focused strategy in place, we look forward to building on this success and delivering value for our shareholders in the years ahead.</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See Appendix A for definitions of adjusted EBITDA, free cash flow, and net debt, as well as reconciliations to their most comparable 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332105</wp:posOffset>
            </wp:positionV>
            <wp:extent cx="471805" cy="2832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71805" cy="283210"/>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2024 Proxy Statement</w:t>
            </w:r>
          </w:p>
        </w:tc>
        <w:tc>
          <w:tcPr>
            <w:tcW w:w="3600" w:type="dxa"/>
            <w:vAlign w:val="bottom"/>
            <w:tcBorders>
              <w:bottom w:val="single" w:sz="8" w:color="auto"/>
            </w:tcBorders>
          </w:tcPr>
          <w:p>
            <w:pPr>
              <w:spacing w:after="0"/>
              <w:rPr>
                <w:sz w:val="10"/>
                <w:szCs w:val="10"/>
                <w:color w:val="auto"/>
              </w:rPr>
            </w:pPr>
          </w:p>
        </w:tc>
        <w:tc>
          <w:tcPr>
            <w:tcW w:w="46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7</w:t>
            </w:r>
          </w:p>
        </w:tc>
        <w:tc>
          <w:tcPr>
            <w:tcW w:w="4480" w:type="dxa"/>
            <w:vAlign w:val="bottom"/>
            <w:tcBorders>
              <w:bottom w:val="single" w:sz="8" w:color="auto"/>
            </w:tcBorders>
          </w:tcPr>
          <w:p>
            <w:pPr>
              <w:spacing w:after="0"/>
              <w:rPr>
                <w:sz w:val="10"/>
                <w:szCs w:val="10"/>
                <w:color w:val="auto"/>
              </w:rPr>
            </w:pPr>
          </w:p>
        </w:tc>
        <w:tc>
          <w:tcPr>
            <w:tcW w:w="9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800" w:type="dxa"/>
            <w:vAlign w:val="bottom"/>
            <w:vMerge w:val="continue"/>
          </w:tcPr>
          <w:p>
            <w:pPr>
              <w:spacing w:after="0"/>
              <w:rPr>
                <w:sz w:val="8"/>
                <w:szCs w:val="8"/>
                <w:color w:val="auto"/>
              </w:rPr>
            </w:pPr>
          </w:p>
        </w:tc>
        <w:tc>
          <w:tcPr>
            <w:tcW w:w="360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448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798" w:gutter="0" w:footer="0" w:header="0"/>
          <w:type w:val="continuous"/>
        </w:sectPr>
      </w:pPr>
    </w:p>
    <w:bookmarkStart w:id="9" w:name="page10"/>
    <w:bookmarkEnd w:id="9"/>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36130" cy="7916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6130" cy="7916545"/>
                    </a:xfrm>
                    <a:prstGeom prst="rect">
                      <a:avLst/>
                    </a:prstGeom>
                    <a:noFill/>
                  </pic:spPr>
                </pic:pic>
              </a:graphicData>
            </a:graphic>
          </wp:anchor>
        </w:drawing>
      </w:r>
    </w:p>
    <w:p>
      <w:pPr>
        <w:spacing w:after="0" w:line="336" w:lineRule="exact"/>
        <w:rPr>
          <w:sz w:val="20"/>
          <w:szCs w:val="20"/>
          <w:color w:val="auto"/>
        </w:rPr>
      </w:pPr>
    </w:p>
    <w:p>
      <w:pPr>
        <w:ind w:left="200"/>
        <w:spacing w:after="0"/>
        <w:rPr>
          <w:sz w:val="20"/>
          <w:szCs w:val="20"/>
          <w:color w:val="auto"/>
        </w:rPr>
      </w:pPr>
      <w:r>
        <w:rPr>
          <w:rFonts w:ascii="Arial" w:cs="Arial" w:eastAsia="Arial" w:hAnsi="Arial"/>
          <w:sz w:val="29"/>
          <w:szCs w:val="29"/>
          <w:color w:val="16458B"/>
        </w:rPr>
        <w:t>Our Director Nominees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660" w:type="dxa"/>
        <w:tblCellMar>
          <w:top w:w="0" w:type="dxa"/>
          <w:left w:w="0" w:type="dxa"/>
          <w:bottom w:w="0" w:type="dxa"/>
          <w:right w:w="0" w:type="dxa"/>
        </w:tblCellMar>
      </w:tblPr>
      <w:tr>
        <w:trPr>
          <w:trHeight w:val="189"/>
        </w:trPr>
        <w:tc>
          <w:tcPr>
            <w:tcW w:w="2160" w:type="dxa"/>
            <w:vAlign w:val="bottom"/>
          </w:tcPr>
          <w:p>
            <w:pPr>
              <w:jc w:val="center"/>
              <w:ind w:right="279"/>
              <w:spacing w:after="0"/>
              <w:rPr>
                <w:sz w:val="20"/>
                <w:szCs w:val="20"/>
                <w:color w:val="auto"/>
              </w:rPr>
            </w:pPr>
            <w:r>
              <w:rPr>
                <w:rFonts w:ascii="Arial" w:cs="Arial" w:eastAsia="Arial" w:hAnsi="Arial"/>
                <w:sz w:val="16"/>
                <w:szCs w:val="16"/>
                <w:b w:val="1"/>
                <w:bCs w:val="1"/>
                <w:color w:val="0233A1"/>
                <w:w w:val="99"/>
              </w:rPr>
              <w:t>Peter Coleman</w:t>
            </w:r>
          </w:p>
        </w:tc>
        <w:tc>
          <w:tcPr>
            <w:tcW w:w="3000" w:type="dxa"/>
            <w:vAlign w:val="bottom"/>
          </w:tcPr>
          <w:p>
            <w:pPr>
              <w:jc w:val="center"/>
              <w:ind w:right="19"/>
              <w:spacing w:after="0"/>
              <w:rPr>
                <w:sz w:val="20"/>
                <w:szCs w:val="20"/>
                <w:color w:val="auto"/>
              </w:rPr>
            </w:pPr>
            <w:r>
              <w:rPr>
                <w:rFonts w:ascii="Arial" w:cs="Arial" w:eastAsia="Arial" w:hAnsi="Arial"/>
                <w:sz w:val="16"/>
                <w:szCs w:val="16"/>
                <w:b w:val="1"/>
                <w:bCs w:val="1"/>
                <w:color w:val="0233A1"/>
              </w:rPr>
              <w:t>Patrick de La Chevardière</w:t>
            </w:r>
          </w:p>
        </w:tc>
        <w:tc>
          <w:tcPr>
            <w:tcW w:w="2500" w:type="dxa"/>
            <w:vAlign w:val="bottom"/>
          </w:tcPr>
          <w:p>
            <w:pPr>
              <w:jc w:val="center"/>
              <w:ind w:right="99"/>
              <w:spacing w:after="0"/>
              <w:rPr>
                <w:sz w:val="20"/>
                <w:szCs w:val="20"/>
                <w:color w:val="auto"/>
              </w:rPr>
            </w:pPr>
            <w:r>
              <w:rPr>
                <w:rFonts w:ascii="Arial" w:cs="Arial" w:eastAsia="Arial" w:hAnsi="Arial"/>
                <w:sz w:val="16"/>
                <w:szCs w:val="16"/>
                <w:b w:val="1"/>
                <w:bCs w:val="1"/>
                <w:color w:val="0233A1"/>
              </w:rPr>
              <w:t>Miguel Galuccio</w:t>
            </w:r>
          </w:p>
        </w:tc>
        <w:tc>
          <w:tcPr>
            <w:tcW w:w="2120" w:type="dxa"/>
            <w:vAlign w:val="bottom"/>
          </w:tcPr>
          <w:p>
            <w:pPr>
              <w:jc w:val="center"/>
              <w:ind w:left="539"/>
              <w:spacing w:after="0"/>
              <w:rPr>
                <w:sz w:val="20"/>
                <w:szCs w:val="20"/>
                <w:color w:val="auto"/>
              </w:rPr>
            </w:pPr>
            <w:r>
              <w:rPr>
                <w:rFonts w:ascii="Arial" w:cs="Arial" w:eastAsia="Arial" w:hAnsi="Arial"/>
                <w:sz w:val="16"/>
                <w:szCs w:val="16"/>
                <w:b w:val="1"/>
                <w:bCs w:val="1"/>
                <w:color w:val="0233A1"/>
              </w:rPr>
              <w:t>Jim Hackett</w:t>
            </w:r>
          </w:p>
        </w:tc>
      </w:tr>
      <w:tr>
        <w:trPr>
          <w:trHeight w:val="189"/>
        </w:trPr>
        <w:tc>
          <w:tcPr>
            <w:tcW w:w="2160" w:type="dxa"/>
            <w:vAlign w:val="bottom"/>
          </w:tcPr>
          <w:p>
            <w:pPr>
              <w:jc w:val="center"/>
              <w:ind w:right="279"/>
              <w:spacing w:after="0"/>
              <w:rPr>
                <w:sz w:val="20"/>
                <w:szCs w:val="20"/>
                <w:color w:val="auto"/>
              </w:rPr>
            </w:pPr>
            <w:r>
              <w:rPr>
                <w:rFonts w:ascii="Arial" w:cs="Arial" w:eastAsia="Arial" w:hAnsi="Arial"/>
                <w:sz w:val="16"/>
                <w:szCs w:val="16"/>
                <w:color w:val="auto"/>
              </w:rPr>
              <w:t>Former CEO and</w:t>
            </w:r>
          </w:p>
        </w:tc>
        <w:tc>
          <w:tcPr>
            <w:tcW w:w="3000" w:type="dxa"/>
            <w:vAlign w:val="bottom"/>
          </w:tcPr>
          <w:p>
            <w:pPr>
              <w:jc w:val="center"/>
              <w:spacing w:after="0"/>
              <w:rPr>
                <w:sz w:val="20"/>
                <w:szCs w:val="20"/>
                <w:color w:val="auto"/>
              </w:rPr>
            </w:pPr>
            <w:r>
              <w:rPr>
                <w:rFonts w:ascii="Arial" w:cs="Arial" w:eastAsia="Arial" w:hAnsi="Arial"/>
                <w:sz w:val="16"/>
                <w:szCs w:val="16"/>
                <w:color w:val="auto"/>
              </w:rPr>
              <w:t>Former Chief Financial Officer</w:t>
            </w:r>
          </w:p>
        </w:tc>
        <w:tc>
          <w:tcPr>
            <w:tcW w:w="2500" w:type="dxa"/>
            <w:vAlign w:val="bottom"/>
          </w:tcPr>
          <w:p>
            <w:pPr>
              <w:jc w:val="center"/>
              <w:ind w:right="79"/>
              <w:spacing w:after="0"/>
              <w:rPr>
                <w:sz w:val="20"/>
                <w:szCs w:val="20"/>
                <w:color w:val="auto"/>
              </w:rPr>
            </w:pPr>
            <w:r>
              <w:rPr>
                <w:rFonts w:ascii="Arial" w:cs="Arial" w:eastAsia="Arial" w:hAnsi="Arial"/>
                <w:sz w:val="16"/>
                <w:szCs w:val="16"/>
                <w:color w:val="auto"/>
              </w:rPr>
              <w:t>Chairman and CEO</w:t>
            </w:r>
          </w:p>
        </w:tc>
        <w:tc>
          <w:tcPr>
            <w:tcW w:w="2120" w:type="dxa"/>
            <w:vAlign w:val="bottom"/>
          </w:tcPr>
          <w:p>
            <w:pPr>
              <w:jc w:val="center"/>
              <w:ind w:left="539"/>
              <w:spacing w:after="0"/>
              <w:rPr>
                <w:sz w:val="20"/>
                <w:szCs w:val="20"/>
                <w:color w:val="auto"/>
              </w:rPr>
            </w:pPr>
            <w:r>
              <w:rPr>
                <w:rFonts w:ascii="Arial" w:cs="Arial" w:eastAsia="Arial" w:hAnsi="Arial"/>
                <w:sz w:val="16"/>
                <w:szCs w:val="16"/>
                <w:color w:val="auto"/>
              </w:rPr>
              <w:t>President</w:t>
            </w:r>
          </w:p>
        </w:tc>
      </w:tr>
      <w:tr>
        <w:trPr>
          <w:trHeight w:val="189"/>
        </w:trPr>
        <w:tc>
          <w:tcPr>
            <w:tcW w:w="2160" w:type="dxa"/>
            <w:vAlign w:val="bottom"/>
          </w:tcPr>
          <w:p>
            <w:pPr>
              <w:jc w:val="center"/>
              <w:ind w:right="279"/>
              <w:spacing w:after="0"/>
              <w:rPr>
                <w:sz w:val="20"/>
                <w:szCs w:val="20"/>
                <w:color w:val="auto"/>
              </w:rPr>
            </w:pPr>
            <w:r>
              <w:rPr>
                <w:rFonts w:ascii="Arial" w:cs="Arial" w:eastAsia="Arial" w:hAnsi="Arial"/>
                <w:sz w:val="16"/>
                <w:szCs w:val="16"/>
                <w:color w:val="auto"/>
              </w:rPr>
              <w:t>Managing Director</w:t>
            </w:r>
          </w:p>
        </w:tc>
        <w:tc>
          <w:tcPr>
            <w:tcW w:w="3000" w:type="dxa"/>
            <w:vAlign w:val="bottom"/>
          </w:tcPr>
          <w:p>
            <w:pPr>
              <w:jc w:val="center"/>
              <w:spacing w:after="0"/>
              <w:rPr>
                <w:sz w:val="20"/>
                <w:szCs w:val="20"/>
                <w:color w:val="auto"/>
              </w:rPr>
            </w:pPr>
            <w:r>
              <w:rPr>
                <w:rFonts w:ascii="Arial" w:cs="Arial" w:eastAsia="Arial" w:hAnsi="Arial"/>
                <w:sz w:val="16"/>
                <w:szCs w:val="16"/>
                <w:color w:val="auto"/>
                <w:w w:val="99"/>
              </w:rPr>
              <w:t>TotalEnergies SE</w:t>
            </w:r>
          </w:p>
        </w:tc>
        <w:tc>
          <w:tcPr>
            <w:tcW w:w="2500" w:type="dxa"/>
            <w:vAlign w:val="bottom"/>
          </w:tcPr>
          <w:p>
            <w:pPr>
              <w:jc w:val="center"/>
              <w:ind w:right="99"/>
              <w:spacing w:after="0"/>
              <w:rPr>
                <w:sz w:val="20"/>
                <w:szCs w:val="20"/>
                <w:color w:val="auto"/>
              </w:rPr>
            </w:pPr>
            <w:r>
              <w:rPr>
                <w:rFonts w:ascii="Arial" w:cs="Arial" w:eastAsia="Arial" w:hAnsi="Arial"/>
                <w:sz w:val="16"/>
                <w:szCs w:val="16"/>
                <w:color w:val="auto"/>
              </w:rPr>
              <w:t>Vista</w:t>
            </w:r>
          </w:p>
        </w:tc>
        <w:tc>
          <w:tcPr>
            <w:tcW w:w="2120" w:type="dxa"/>
            <w:vAlign w:val="bottom"/>
          </w:tcPr>
          <w:p>
            <w:pPr>
              <w:jc w:val="center"/>
              <w:ind w:left="539"/>
              <w:spacing w:after="0"/>
              <w:rPr>
                <w:sz w:val="20"/>
                <w:szCs w:val="20"/>
                <w:color w:val="auto"/>
              </w:rPr>
            </w:pPr>
            <w:r>
              <w:rPr>
                <w:rFonts w:ascii="Arial" w:cs="Arial" w:eastAsia="Arial" w:hAnsi="Arial"/>
                <w:sz w:val="16"/>
                <w:szCs w:val="16"/>
                <w:color w:val="auto"/>
                <w:w w:val="99"/>
              </w:rPr>
              <w:t>Tessellation Services</w:t>
            </w:r>
          </w:p>
        </w:tc>
      </w:tr>
      <w:tr>
        <w:trPr>
          <w:trHeight w:val="215"/>
        </w:trPr>
        <w:tc>
          <w:tcPr>
            <w:tcW w:w="2160" w:type="dxa"/>
            <w:vAlign w:val="bottom"/>
          </w:tcPr>
          <w:p>
            <w:pPr>
              <w:jc w:val="center"/>
              <w:ind w:right="279"/>
              <w:spacing w:after="0"/>
              <w:rPr>
                <w:sz w:val="20"/>
                <w:szCs w:val="20"/>
                <w:color w:val="auto"/>
              </w:rPr>
            </w:pPr>
            <w:r>
              <w:rPr>
                <w:rFonts w:ascii="Arial" w:cs="Arial" w:eastAsia="Arial" w:hAnsi="Arial"/>
                <w:sz w:val="16"/>
                <w:szCs w:val="16"/>
                <w:color w:val="auto"/>
              </w:rPr>
              <w:t>Woodside Petroleum Ltd.</w:t>
            </w:r>
          </w:p>
        </w:tc>
        <w:tc>
          <w:tcPr>
            <w:tcW w:w="30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740" w:type="dxa"/>
        <w:tblCellMar>
          <w:top w:w="0" w:type="dxa"/>
          <w:left w:w="0" w:type="dxa"/>
          <w:bottom w:w="0" w:type="dxa"/>
          <w:right w:w="0" w:type="dxa"/>
        </w:tblCellMar>
      </w:tblPr>
      <w:tr>
        <w:trPr>
          <w:trHeight w:val="189"/>
        </w:trPr>
        <w:tc>
          <w:tcPr>
            <w:tcW w:w="2040" w:type="dxa"/>
            <w:vAlign w:val="bottom"/>
          </w:tcPr>
          <w:p>
            <w:pPr>
              <w:jc w:val="center"/>
              <w:ind w:right="319"/>
              <w:spacing w:after="0"/>
              <w:rPr>
                <w:sz w:val="20"/>
                <w:szCs w:val="20"/>
                <w:color w:val="auto"/>
              </w:rPr>
            </w:pPr>
            <w:r>
              <w:rPr>
                <w:rFonts w:ascii="Arial" w:cs="Arial" w:eastAsia="Arial" w:hAnsi="Arial"/>
                <w:sz w:val="16"/>
                <w:szCs w:val="16"/>
                <w:b w:val="1"/>
                <w:bCs w:val="1"/>
                <w:color w:val="0233A1"/>
              </w:rPr>
              <w:t>Olivier Le Peuch</w:t>
            </w:r>
          </w:p>
        </w:tc>
        <w:tc>
          <w:tcPr>
            <w:tcW w:w="3000" w:type="dxa"/>
            <w:vAlign w:val="bottom"/>
          </w:tcPr>
          <w:p>
            <w:pPr>
              <w:jc w:val="center"/>
              <w:spacing w:after="0"/>
              <w:rPr>
                <w:sz w:val="20"/>
                <w:szCs w:val="20"/>
                <w:color w:val="auto"/>
              </w:rPr>
            </w:pPr>
            <w:r>
              <w:rPr>
                <w:rFonts w:ascii="Arial" w:cs="Arial" w:eastAsia="Arial" w:hAnsi="Arial"/>
                <w:sz w:val="16"/>
                <w:szCs w:val="16"/>
                <w:b w:val="1"/>
                <w:bCs w:val="1"/>
                <w:color w:val="0233A1"/>
              </w:rPr>
              <w:t>Samuel Leupold</w:t>
            </w:r>
          </w:p>
        </w:tc>
        <w:tc>
          <w:tcPr>
            <w:tcW w:w="2520" w:type="dxa"/>
            <w:vAlign w:val="bottom"/>
          </w:tcPr>
          <w:p>
            <w:pPr>
              <w:jc w:val="center"/>
              <w:ind w:right="19"/>
              <w:spacing w:after="0"/>
              <w:rPr>
                <w:sz w:val="20"/>
                <w:szCs w:val="20"/>
                <w:color w:val="auto"/>
              </w:rPr>
            </w:pPr>
            <w:r>
              <w:rPr>
                <w:rFonts w:ascii="Arial" w:cs="Arial" w:eastAsia="Arial" w:hAnsi="Arial"/>
                <w:sz w:val="16"/>
                <w:szCs w:val="16"/>
                <w:b w:val="1"/>
                <w:bCs w:val="1"/>
                <w:color w:val="0233A1"/>
              </w:rPr>
              <w:t>Tatiana Mitrova</w:t>
            </w:r>
          </w:p>
        </w:tc>
        <w:tc>
          <w:tcPr>
            <w:tcW w:w="2300" w:type="dxa"/>
            <w:vAlign w:val="bottom"/>
          </w:tcPr>
          <w:p>
            <w:pPr>
              <w:jc w:val="center"/>
              <w:ind w:left="399"/>
              <w:spacing w:after="0"/>
              <w:rPr>
                <w:sz w:val="20"/>
                <w:szCs w:val="20"/>
                <w:color w:val="auto"/>
              </w:rPr>
            </w:pPr>
            <w:r>
              <w:rPr>
                <w:rFonts w:ascii="Arial" w:cs="Arial" w:eastAsia="Arial" w:hAnsi="Arial"/>
                <w:sz w:val="16"/>
                <w:szCs w:val="16"/>
                <w:b w:val="1"/>
                <w:bCs w:val="1"/>
                <w:color w:val="0233A1"/>
              </w:rPr>
              <w:t>Maria Moræus Hanssen</w:t>
            </w:r>
          </w:p>
        </w:tc>
      </w:tr>
      <w:tr>
        <w:trPr>
          <w:trHeight w:val="189"/>
        </w:trPr>
        <w:tc>
          <w:tcPr>
            <w:tcW w:w="2040" w:type="dxa"/>
            <w:vAlign w:val="bottom"/>
          </w:tcPr>
          <w:p>
            <w:pPr>
              <w:jc w:val="center"/>
              <w:ind w:right="319"/>
              <w:spacing w:after="0"/>
              <w:rPr>
                <w:sz w:val="20"/>
                <w:szCs w:val="20"/>
                <w:color w:val="auto"/>
              </w:rPr>
            </w:pPr>
            <w:r>
              <w:rPr>
                <w:rFonts w:ascii="Arial" w:cs="Arial" w:eastAsia="Arial" w:hAnsi="Arial"/>
                <w:sz w:val="16"/>
                <w:szCs w:val="16"/>
                <w:color w:val="auto"/>
              </w:rPr>
              <w:t>Chief Executive Officer</w:t>
            </w:r>
          </w:p>
        </w:tc>
        <w:tc>
          <w:tcPr>
            <w:tcW w:w="3000" w:type="dxa"/>
            <w:vAlign w:val="bottom"/>
          </w:tcPr>
          <w:p>
            <w:pPr>
              <w:jc w:val="center"/>
              <w:spacing w:after="0"/>
              <w:rPr>
                <w:sz w:val="20"/>
                <w:szCs w:val="20"/>
                <w:color w:val="auto"/>
              </w:rPr>
            </w:pPr>
            <w:r>
              <w:rPr>
                <w:rFonts w:ascii="Arial" w:cs="Arial" w:eastAsia="Arial" w:hAnsi="Arial"/>
                <w:sz w:val="16"/>
                <w:szCs w:val="16"/>
                <w:color w:val="auto"/>
              </w:rPr>
              <w:t>Former Chief Executive Officer</w:t>
            </w:r>
          </w:p>
        </w:tc>
        <w:tc>
          <w:tcPr>
            <w:tcW w:w="2520" w:type="dxa"/>
            <w:vAlign w:val="bottom"/>
          </w:tcPr>
          <w:p>
            <w:pPr>
              <w:jc w:val="center"/>
              <w:ind w:right="39"/>
              <w:spacing w:after="0"/>
              <w:rPr>
                <w:sz w:val="20"/>
                <w:szCs w:val="20"/>
                <w:color w:val="auto"/>
              </w:rPr>
            </w:pPr>
            <w:r>
              <w:rPr>
                <w:rFonts w:ascii="Arial" w:cs="Arial" w:eastAsia="Arial" w:hAnsi="Arial"/>
                <w:sz w:val="16"/>
                <w:szCs w:val="16"/>
                <w:color w:val="auto"/>
              </w:rPr>
              <w:t>Research Fellow</w:t>
            </w:r>
          </w:p>
        </w:tc>
        <w:tc>
          <w:tcPr>
            <w:tcW w:w="2300" w:type="dxa"/>
            <w:vAlign w:val="bottom"/>
          </w:tcPr>
          <w:p>
            <w:pPr>
              <w:jc w:val="center"/>
              <w:ind w:left="419"/>
              <w:spacing w:after="0"/>
              <w:rPr>
                <w:sz w:val="20"/>
                <w:szCs w:val="20"/>
                <w:color w:val="auto"/>
              </w:rPr>
            </w:pPr>
            <w:r>
              <w:rPr>
                <w:rFonts w:ascii="Arial" w:cs="Arial" w:eastAsia="Arial" w:hAnsi="Arial"/>
                <w:sz w:val="16"/>
                <w:szCs w:val="16"/>
                <w:color w:val="auto"/>
              </w:rPr>
              <w:t>Former Deputy CEO</w:t>
            </w:r>
          </w:p>
        </w:tc>
      </w:tr>
      <w:tr>
        <w:trPr>
          <w:trHeight w:val="189"/>
        </w:trPr>
        <w:tc>
          <w:tcPr>
            <w:tcW w:w="2040" w:type="dxa"/>
            <w:vAlign w:val="bottom"/>
          </w:tcPr>
          <w:p>
            <w:pPr>
              <w:jc w:val="center"/>
              <w:ind w:right="319"/>
              <w:spacing w:after="0"/>
              <w:rPr>
                <w:sz w:val="20"/>
                <w:szCs w:val="20"/>
                <w:color w:val="auto"/>
              </w:rPr>
            </w:pPr>
            <w:r>
              <w:rPr>
                <w:rFonts w:ascii="Arial" w:cs="Arial" w:eastAsia="Arial" w:hAnsi="Arial"/>
                <w:sz w:val="16"/>
                <w:szCs w:val="16"/>
                <w:color w:val="auto"/>
              </w:rPr>
              <w:t>SLB</w:t>
            </w:r>
          </w:p>
        </w:tc>
        <w:tc>
          <w:tcPr>
            <w:tcW w:w="3000" w:type="dxa"/>
            <w:vAlign w:val="bottom"/>
          </w:tcPr>
          <w:p>
            <w:pPr>
              <w:jc w:val="center"/>
              <w:spacing w:after="0"/>
              <w:rPr>
                <w:sz w:val="20"/>
                <w:szCs w:val="20"/>
                <w:color w:val="auto"/>
              </w:rPr>
            </w:pPr>
            <w:r>
              <w:rPr>
                <w:rFonts w:ascii="Arial" w:cs="Arial" w:eastAsia="Arial" w:hAnsi="Arial"/>
                <w:sz w:val="16"/>
                <w:szCs w:val="16"/>
                <w:color w:val="auto"/>
              </w:rPr>
              <w:t>Ørsted Wind Power A/S</w:t>
            </w:r>
          </w:p>
        </w:tc>
        <w:tc>
          <w:tcPr>
            <w:tcW w:w="2520" w:type="dxa"/>
            <w:vAlign w:val="bottom"/>
          </w:tcPr>
          <w:p>
            <w:pPr>
              <w:jc w:val="center"/>
              <w:ind w:right="19"/>
              <w:spacing w:after="0"/>
              <w:rPr>
                <w:sz w:val="20"/>
                <w:szCs w:val="20"/>
                <w:color w:val="auto"/>
              </w:rPr>
            </w:pPr>
            <w:r>
              <w:rPr>
                <w:rFonts w:ascii="Arial" w:cs="Arial" w:eastAsia="Arial" w:hAnsi="Arial"/>
                <w:sz w:val="16"/>
                <w:szCs w:val="16"/>
                <w:color w:val="auto"/>
              </w:rPr>
              <w:t>SIPA Center on Global</w:t>
            </w:r>
          </w:p>
        </w:tc>
        <w:tc>
          <w:tcPr>
            <w:tcW w:w="2300" w:type="dxa"/>
            <w:vAlign w:val="bottom"/>
          </w:tcPr>
          <w:p>
            <w:pPr>
              <w:jc w:val="center"/>
              <w:ind w:left="399"/>
              <w:spacing w:after="0"/>
              <w:rPr>
                <w:sz w:val="20"/>
                <w:szCs w:val="20"/>
                <w:color w:val="auto"/>
              </w:rPr>
            </w:pPr>
            <w:r>
              <w:rPr>
                <w:rFonts w:ascii="Arial" w:cs="Arial" w:eastAsia="Arial" w:hAnsi="Arial"/>
                <w:sz w:val="16"/>
                <w:szCs w:val="16"/>
                <w:color w:val="auto"/>
              </w:rPr>
              <w:t>and COO</w:t>
            </w:r>
          </w:p>
        </w:tc>
      </w:tr>
      <w:tr>
        <w:trPr>
          <w:trHeight w:val="189"/>
        </w:trPr>
        <w:tc>
          <w:tcPr>
            <w:tcW w:w="204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520" w:type="dxa"/>
            <w:vAlign w:val="bottom"/>
          </w:tcPr>
          <w:p>
            <w:pPr>
              <w:jc w:val="center"/>
              <w:ind w:right="39"/>
              <w:spacing w:after="0"/>
              <w:rPr>
                <w:sz w:val="20"/>
                <w:szCs w:val="20"/>
                <w:color w:val="auto"/>
              </w:rPr>
            </w:pPr>
            <w:r>
              <w:rPr>
                <w:rFonts w:ascii="Arial" w:cs="Arial" w:eastAsia="Arial" w:hAnsi="Arial"/>
                <w:sz w:val="16"/>
                <w:szCs w:val="16"/>
                <w:color w:val="auto"/>
              </w:rPr>
              <w:t>Energy Policy</w:t>
            </w:r>
          </w:p>
        </w:tc>
        <w:tc>
          <w:tcPr>
            <w:tcW w:w="2300" w:type="dxa"/>
            <w:vAlign w:val="bottom"/>
          </w:tcPr>
          <w:p>
            <w:pPr>
              <w:jc w:val="center"/>
              <w:ind w:left="399"/>
              <w:spacing w:after="0"/>
              <w:rPr>
                <w:sz w:val="20"/>
                <w:szCs w:val="20"/>
                <w:color w:val="auto"/>
              </w:rPr>
            </w:pPr>
            <w:r>
              <w:rPr>
                <w:rFonts w:ascii="Arial" w:cs="Arial" w:eastAsia="Arial" w:hAnsi="Arial"/>
                <w:sz w:val="16"/>
                <w:szCs w:val="16"/>
                <w:color w:val="auto"/>
              </w:rPr>
              <w:t>Wintershall Dea GmbH</w:t>
            </w:r>
          </w:p>
        </w:tc>
      </w:tr>
      <w:tr>
        <w:trPr>
          <w:trHeight w:val="215"/>
        </w:trPr>
        <w:tc>
          <w:tcPr>
            <w:tcW w:w="20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520" w:type="dxa"/>
            <w:vAlign w:val="bottom"/>
          </w:tcPr>
          <w:p>
            <w:pPr>
              <w:jc w:val="center"/>
              <w:ind w:right="39"/>
              <w:spacing w:after="0"/>
              <w:rPr>
                <w:sz w:val="20"/>
                <w:szCs w:val="20"/>
                <w:color w:val="auto"/>
              </w:rPr>
            </w:pPr>
            <w:r>
              <w:rPr>
                <w:rFonts w:ascii="Arial" w:cs="Arial" w:eastAsia="Arial" w:hAnsi="Arial"/>
                <w:sz w:val="16"/>
                <w:szCs w:val="16"/>
                <w:color w:val="auto"/>
              </w:rPr>
              <w:t>Columbia University</w:t>
            </w:r>
          </w:p>
        </w:tc>
        <w:tc>
          <w:tcPr>
            <w:tcW w:w="230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760" w:type="dxa"/>
        <w:tblCellMar>
          <w:top w:w="0" w:type="dxa"/>
          <w:left w:w="0" w:type="dxa"/>
          <w:bottom w:w="0" w:type="dxa"/>
          <w:right w:w="0" w:type="dxa"/>
        </w:tblCellMar>
      </w:tblPr>
      <w:tr>
        <w:trPr>
          <w:trHeight w:val="189"/>
        </w:trPr>
        <w:tc>
          <w:tcPr>
            <w:tcW w:w="2160" w:type="dxa"/>
            <w:vAlign w:val="bottom"/>
          </w:tcPr>
          <w:p>
            <w:pPr>
              <w:jc w:val="center"/>
              <w:ind w:right="479"/>
              <w:spacing w:after="0"/>
              <w:rPr>
                <w:sz w:val="20"/>
                <w:szCs w:val="20"/>
                <w:color w:val="auto"/>
              </w:rPr>
            </w:pPr>
            <w:r>
              <w:rPr>
                <w:rFonts w:ascii="Arial" w:cs="Arial" w:eastAsia="Arial" w:hAnsi="Arial"/>
                <w:sz w:val="16"/>
                <w:szCs w:val="16"/>
                <w:b w:val="1"/>
                <w:bCs w:val="1"/>
                <w:color w:val="0233A1"/>
                <w:w w:val="99"/>
              </w:rPr>
              <w:t>Vanitha Narayanan</w:t>
            </w:r>
          </w:p>
        </w:tc>
        <w:tc>
          <w:tcPr>
            <w:tcW w:w="2620" w:type="dxa"/>
            <w:vAlign w:val="bottom"/>
          </w:tcPr>
          <w:p>
            <w:pPr>
              <w:jc w:val="center"/>
              <w:spacing w:after="0"/>
              <w:rPr>
                <w:sz w:val="20"/>
                <w:szCs w:val="20"/>
                <w:color w:val="auto"/>
              </w:rPr>
            </w:pPr>
            <w:r>
              <w:rPr>
                <w:rFonts w:ascii="Arial" w:cs="Arial" w:eastAsia="Arial" w:hAnsi="Arial"/>
                <w:sz w:val="16"/>
                <w:szCs w:val="16"/>
                <w:b w:val="1"/>
                <w:bCs w:val="1"/>
                <w:color w:val="0233A1"/>
              </w:rPr>
              <w:t>Jeff Sheets</w:t>
            </w:r>
          </w:p>
        </w:tc>
        <w:tc>
          <w:tcPr>
            <w:tcW w:w="2420" w:type="dxa"/>
            <w:vAlign w:val="bottom"/>
          </w:tcPr>
          <w:p>
            <w:pPr>
              <w:jc w:val="center"/>
              <w:ind w:left="379"/>
              <w:spacing w:after="0"/>
              <w:rPr>
                <w:sz w:val="20"/>
                <w:szCs w:val="20"/>
                <w:color w:val="auto"/>
              </w:rPr>
            </w:pPr>
            <w:r>
              <w:rPr>
                <w:rFonts w:ascii="Arial" w:cs="Arial" w:eastAsia="Arial" w:hAnsi="Arial"/>
                <w:sz w:val="16"/>
                <w:szCs w:val="16"/>
                <w:b w:val="1"/>
                <w:bCs w:val="1"/>
                <w:color w:val="0233A1"/>
              </w:rPr>
              <w:t>Ulrich Spiesshofer</w:t>
            </w:r>
          </w:p>
        </w:tc>
      </w:tr>
      <w:tr>
        <w:trPr>
          <w:trHeight w:val="189"/>
        </w:trPr>
        <w:tc>
          <w:tcPr>
            <w:tcW w:w="2160" w:type="dxa"/>
            <w:vAlign w:val="bottom"/>
          </w:tcPr>
          <w:p>
            <w:pPr>
              <w:jc w:val="center"/>
              <w:ind w:right="479"/>
              <w:spacing w:after="0"/>
              <w:rPr>
                <w:sz w:val="20"/>
                <w:szCs w:val="20"/>
                <w:color w:val="auto"/>
              </w:rPr>
            </w:pPr>
            <w:r>
              <w:rPr>
                <w:rFonts w:ascii="Arial" w:cs="Arial" w:eastAsia="Arial" w:hAnsi="Arial"/>
                <w:sz w:val="16"/>
                <w:szCs w:val="16"/>
                <w:color w:val="auto"/>
              </w:rPr>
              <w:t>Former Chairman and</w:t>
            </w:r>
          </w:p>
        </w:tc>
        <w:tc>
          <w:tcPr>
            <w:tcW w:w="2620" w:type="dxa"/>
            <w:vAlign w:val="bottom"/>
          </w:tcPr>
          <w:p>
            <w:pPr>
              <w:jc w:val="center"/>
              <w:spacing w:after="0"/>
              <w:rPr>
                <w:sz w:val="20"/>
                <w:szCs w:val="20"/>
                <w:color w:val="auto"/>
              </w:rPr>
            </w:pPr>
            <w:r>
              <w:rPr>
                <w:rFonts w:ascii="Arial" w:cs="Arial" w:eastAsia="Arial" w:hAnsi="Arial"/>
                <w:sz w:val="16"/>
                <w:szCs w:val="16"/>
                <w:color w:val="auto"/>
              </w:rPr>
              <w:t>Former EVP and CFO</w:t>
            </w:r>
          </w:p>
        </w:tc>
        <w:tc>
          <w:tcPr>
            <w:tcW w:w="2420" w:type="dxa"/>
            <w:vAlign w:val="bottom"/>
          </w:tcPr>
          <w:p>
            <w:pPr>
              <w:jc w:val="center"/>
              <w:ind w:left="379"/>
              <w:spacing w:after="0"/>
              <w:rPr>
                <w:sz w:val="20"/>
                <w:szCs w:val="20"/>
                <w:color w:val="auto"/>
              </w:rPr>
            </w:pPr>
            <w:r>
              <w:rPr>
                <w:rFonts w:ascii="Arial" w:cs="Arial" w:eastAsia="Arial" w:hAnsi="Arial"/>
                <w:sz w:val="16"/>
                <w:szCs w:val="16"/>
                <w:color w:val="auto"/>
              </w:rPr>
              <w:t>Former President and CEO</w:t>
            </w:r>
          </w:p>
        </w:tc>
      </w:tr>
      <w:tr>
        <w:trPr>
          <w:trHeight w:val="189"/>
        </w:trPr>
        <w:tc>
          <w:tcPr>
            <w:tcW w:w="2160" w:type="dxa"/>
            <w:vAlign w:val="bottom"/>
          </w:tcPr>
          <w:p>
            <w:pPr>
              <w:jc w:val="center"/>
              <w:ind w:right="479"/>
              <w:spacing w:after="0"/>
              <w:rPr>
                <w:sz w:val="20"/>
                <w:szCs w:val="20"/>
                <w:color w:val="auto"/>
              </w:rPr>
            </w:pPr>
            <w:r>
              <w:rPr>
                <w:rFonts w:ascii="Arial" w:cs="Arial" w:eastAsia="Arial" w:hAnsi="Arial"/>
                <w:sz w:val="16"/>
                <w:szCs w:val="16"/>
                <w:color w:val="auto"/>
              </w:rPr>
              <w:t>Managing Director</w:t>
            </w:r>
          </w:p>
        </w:tc>
        <w:tc>
          <w:tcPr>
            <w:tcW w:w="2620" w:type="dxa"/>
            <w:vAlign w:val="bottom"/>
          </w:tcPr>
          <w:p>
            <w:pPr>
              <w:jc w:val="center"/>
              <w:spacing w:after="0"/>
              <w:rPr>
                <w:sz w:val="20"/>
                <w:szCs w:val="20"/>
                <w:color w:val="auto"/>
              </w:rPr>
            </w:pPr>
            <w:r>
              <w:rPr>
                <w:rFonts w:ascii="Arial" w:cs="Arial" w:eastAsia="Arial" w:hAnsi="Arial"/>
                <w:sz w:val="16"/>
                <w:szCs w:val="16"/>
                <w:color w:val="auto"/>
              </w:rPr>
              <w:t>ConocoPhillips</w:t>
            </w:r>
          </w:p>
        </w:tc>
        <w:tc>
          <w:tcPr>
            <w:tcW w:w="2420" w:type="dxa"/>
            <w:vAlign w:val="bottom"/>
          </w:tcPr>
          <w:p>
            <w:pPr>
              <w:jc w:val="center"/>
              <w:ind w:left="379"/>
              <w:spacing w:after="0"/>
              <w:rPr>
                <w:sz w:val="20"/>
                <w:szCs w:val="20"/>
                <w:color w:val="auto"/>
              </w:rPr>
            </w:pPr>
            <w:r>
              <w:rPr>
                <w:rFonts w:ascii="Arial" w:cs="Arial" w:eastAsia="Arial" w:hAnsi="Arial"/>
                <w:sz w:val="16"/>
                <w:szCs w:val="16"/>
                <w:color w:val="auto"/>
              </w:rPr>
              <w:t>ABB Ltd.</w:t>
            </w:r>
          </w:p>
        </w:tc>
      </w:tr>
      <w:tr>
        <w:trPr>
          <w:trHeight w:val="215"/>
        </w:trPr>
        <w:tc>
          <w:tcPr>
            <w:tcW w:w="2160" w:type="dxa"/>
            <w:vAlign w:val="bottom"/>
          </w:tcPr>
          <w:p>
            <w:pPr>
              <w:jc w:val="center"/>
              <w:ind w:right="479"/>
              <w:spacing w:after="0"/>
              <w:rPr>
                <w:sz w:val="20"/>
                <w:szCs w:val="20"/>
                <w:color w:val="auto"/>
              </w:rPr>
            </w:pPr>
            <w:r>
              <w:rPr>
                <w:rFonts w:ascii="Arial" w:cs="Arial" w:eastAsia="Arial" w:hAnsi="Arial"/>
                <w:sz w:val="16"/>
                <w:szCs w:val="16"/>
                <w:color w:val="auto"/>
              </w:rPr>
              <w:t>IBM India</w:t>
            </w:r>
          </w:p>
        </w:tc>
        <w:tc>
          <w:tcPr>
            <w:tcW w:w="2620" w:type="dxa"/>
            <w:vAlign w:val="bottom"/>
          </w:tcPr>
          <w:p>
            <w:pPr>
              <w:spacing w:after="0"/>
              <w:rPr>
                <w:sz w:val="18"/>
                <w:szCs w:val="18"/>
                <w:color w:val="auto"/>
              </w:rPr>
            </w:pPr>
          </w:p>
        </w:tc>
        <w:tc>
          <w:tcPr>
            <w:tcW w:w="242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240"/>
          </w:cols>
          <w:pgMar w:left="320" w:top="238" w:right="339" w:bottom="1440" w:gutter="0" w:footer="0" w:header="0"/>
        </w:sectPr>
      </w:pPr>
    </w:p>
    <w:p>
      <w:pPr>
        <w:spacing w:after="0" w:line="71" w:lineRule="exact"/>
        <w:rPr>
          <w:sz w:val="20"/>
          <w:szCs w:val="20"/>
          <w:color w:val="auto"/>
        </w:rPr>
      </w:pPr>
    </w:p>
    <w:p>
      <w:pPr>
        <w:ind w:left="200"/>
        <w:spacing w:after="0"/>
        <w:rPr>
          <w:sz w:val="20"/>
          <w:szCs w:val="20"/>
          <w:color w:val="auto"/>
        </w:rPr>
      </w:pPr>
      <w:r>
        <w:rPr>
          <w:rFonts w:ascii="Arial" w:cs="Arial" w:eastAsia="Arial" w:hAnsi="Arial"/>
          <w:sz w:val="32"/>
          <w:szCs w:val="32"/>
          <w:color w:val="16458B"/>
        </w:rPr>
        <w:t>Governance Highlights</w:t>
      </w:r>
    </w:p>
    <w:p>
      <w:pPr>
        <w:spacing w:after="0" w:line="315" w:lineRule="exact"/>
        <w:rPr>
          <w:sz w:val="20"/>
          <w:szCs w:val="20"/>
          <w:color w:val="auto"/>
        </w:rPr>
      </w:pPr>
    </w:p>
    <w:p>
      <w:pPr>
        <w:ind w:left="200"/>
        <w:spacing w:after="0"/>
        <w:rPr>
          <w:sz w:val="20"/>
          <w:szCs w:val="20"/>
          <w:color w:val="auto"/>
        </w:rPr>
      </w:pPr>
      <w:r>
        <w:rPr>
          <w:sz w:val="1"/>
          <w:szCs w:val="1"/>
          <w:color w:val="auto"/>
        </w:rPr>
        <w:drawing>
          <wp:inline distT="0" distB="0" distL="0" distR="0">
            <wp:extent cx="128270"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Arial" w:cs="Arial" w:eastAsia="Arial" w:hAnsi="Arial"/>
          <w:sz w:val="16"/>
          <w:szCs w:val="16"/>
          <w:color w:val="auto"/>
        </w:rPr>
        <w:t xml:space="preserve"> New Independent Board Chair appointed in 2023</w:t>
      </w:r>
    </w:p>
    <w:p>
      <w:pPr>
        <w:spacing w:after="0" w:line="34" w:lineRule="exact"/>
        <w:rPr>
          <w:sz w:val="20"/>
          <w:szCs w:val="20"/>
          <w:color w:val="auto"/>
        </w:rPr>
      </w:pPr>
    </w:p>
    <w:p>
      <w:pPr>
        <w:ind w:left="200"/>
        <w:spacing w:after="0"/>
        <w:rPr>
          <w:sz w:val="20"/>
          <w:szCs w:val="20"/>
          <w:color w:val="auto"/>
        </w:rPr>
      </w:pPr>
      <w:r>
        <w:rPr>
          <w:sz w:val="1"/>
          <w:szCs w:val="1"/>
          <w:color w:val="auto"/>
        </w:rPr>
        <w:drawing>
          <wp:inline distT="0" distB="0" distL="0" distR="0">
            <wp:extent cx="128270" cy="12890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Arial" w:cs="Arial" w:eastAsia="Arial" w:hAnsi="Arial"/>
          <w:sz w:val="16"/>
          <w:szCs w:val="16"/>
          <w:color w:val="auto"/>
        </w:rPr>
        <w:t xml:space="preserve"> No staggered board; all directors are elected annually</w:t>
      </w:r>
    </w:p>
    <w:p>
      <w:pPr>
        <w:spacing w:after="0" w:line="40" w:lineRule="exact"/>
        <w:rPr>
          <w:sz w:val="20"/>
          <w:szCs w:val="20"/>
          <w:color w:val="auto"/>
        </w:rPr>
      </w:pPr>
    </w:p>
    <w:p>
      <w:pPr>
        <w:ind w:left="480" w:right="280"/>
        <w:spacing w:after="0" w:line="286" w:lineRule="auto"/>
        <w:rPr>
          <w:sz w:val="20"/>
          <w:szCs w:val="20"/>
          <w:color w:val="auto"/>
        </w:rPr>
      </w:pPr>
      <w:r>
        <w:rPr>
          <w:rFonts w:ascii="Arial" w:cs="Arial" w:eastAsia="Arial" w:hAnsi="Arial"/>
          <w:sz w:val="16"/>
          <w:szCs w:val="16"/>
          <w:color w:val="auto"/>
        </w:rPr>
        <w:t>Fully independent Audit, Compensation, and Nominating and Governance committees</w:t>
      </w:r>
    </w:p>
    <w:p>
      <w:pPr>
        <w:spacing w:after="0" w:line="21" w:lineRule="exact"/>
        <w:rPr>
          <w:sz w:val="20"/>
          <w:szCs w:val="20"/>
          <w:color w:val="auto"/>
        </w:rPr>
      </w:pPr>
    </w:p>
    <w:p>
      <w:pPr>
        <w:ind w:left="200" w:right="620"/>
        <w:spacing w:after="0" w:line="275" w:lineRule="auto"/>
        <w:rPr>
          <w:sz w:val="20"/>
          <w:szCs w:val="20"/>
          <w:color w:val="auto"/>
        </w:rPr>
      </w:pPr>
      <w:r>
        <w:rPr>
          <w:sz w:val="1"/>
          <w:szCs w:val="1"/>
          <w:color w:val="auto"/>
        </w:rPr>
        <w:drawing>
          <wp:inline distT="0" distB="0" distL="0" distR="0">
            <wp:extent cx="128270" cy="12890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Arial" w:cs="Arial" w:eastAsia="Arial" w:hAnsi="Arial"/>
          <w:sz w:val="16"/>
          <w:szCs w:val="16"/>
          <w:color w:val="auto"/>
        </w:rPr>
        <w:t xml:space="preserve"> Regular executive sessions of non-employee directors </w:t>
      </w:r>
      <w:r>
        <w:rPr>
          <w:sz w:val="1"/>
          <w:szCs w:val="1"/>
          <w:color w:val="auto"/>
        </w:rPr>
        <w:drawing>
          <wp:inline distT="0" distB="0" distL="0" distR="0">
            <wp:extent cx="128270"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Arial" w:cs="Arial" w:eastAsia="Arial" w:hAnsi="Arial"/>
          <w:sz w:val="16"/>
          <w:szCs w:val="16"/>
          <w:color w:val="auto"/>
        </w:rPr>
        <w:t xml:space="preserve"> Majority vote standard for uncontested director elections</w:t>
      </w:r>
    </w:p>
    <w:p>
      <w:pPr>
        <w:spacing w:after="0" w:line="14" w:lineRule="exact"/>
        <w:rPr>
          <w:sz w:val="20"/>
          <w:szCs w:val="20"/>
          <w:color w:val="auto"/>
        </w:rPr>
      </w:pPr>
    </w:p>
    <w:p>
      <w:pPr>
        <w:ind w:left="480" w:right="180"/>
        <w:spacing w:after="0" w:line="286" w:lineRule="auto"/>
        <w:rPr>
          <w:sz w:val="20"/>
          <w:szCs w:val="20"/>
          <w:color w:val="auto"/>
        </w:rPr>
      </w:pPr>
      <w:r>
        <w:rPr>
          <w:rFonts w:ascii="Arial" w:cs="Arial" w:eastAsia="Arial" w:hAnsi="Arial"/>
          <w:sz w:val="16"/>
          <w:szCs w:val="16"/>
          <w:color w:val="auto"/>
        </w:rPr>
        <w:t>Annual performance evaluations of Board, its committees, and individual directors</w:t>
      </w:r>
    </w:p>
    <w:p>
      <w:pPr>
        <w:spacing w:after="0" w:line="14" w:lineRule="exact"/>
        <w:rPr>
          <w:sz w:val="20"/>
          <w:szCs w:val="20"/>
          <w:color w:val="auto"/>
        </w:rPr>
      </w:pPr>
    </w:p>
    <w:p>
      <w:pPr>
        <w:ind w:left="200"/>
        <w:spacing w:after="0"/>
        <w:rPr>
          <w:sz w:val="20"/>
          <w:szCs w:val="20"/>
          <w:color w:val="auto"/>
        </w:rPr>
      </w:pPr>
      <w:r>
        <w:rPr>
          <w:sz w:val="1"/>
          <w:szCs w:val="1"/>
          <w:color w:val="auto"/>
        </w:rPr>
        <w:drawing>
          <wp:inline distT="0" distB="0" distL="0" distR="0">
            <wp:extent cx="128270"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Arial" w:cs="Arial" w:eastAsia="Arial" w:hAnsi="Arial"/>
          <w:sz w:val="16"/>
          <w:szCs w:val="16"/>
          <w:color w:val="auto"/>
        </w:rPr>
        <w:t xml:space="preserve"> 99% average Board attendance in 2023</w:t>
      </w:r>
    </w:p>
    <w:p>
      <w:pPr>
        <w:spacing w:after="0" w:line="34" w:lineRule="exact"/>
        <w:rPr>
          <w:sz w:val="20"/>
          <w:szCs w:val="20"/>
          <w:color w:val="auto"/>
        </w:rPr>
      </w:pPr>
    </w:p>
    <w:p>
      <w:pPr>
        <w:ind w:left="200"/>
        <w:spacing w:after="0"/>
        <w:rPr>
          <w:sz w:val="20"/>
          <w:szCs w:val="20"/>
          <w:color w:val="auto"/>
        </w:rPr>
      </w:pPr>
      <w:r>
        <w:rPr>
          <w:sz w:val="1"/>
          <w:szCs w:val="1"/>
          <w:color w:val="auto"/>
        </w:rPr>
        <w:drawing>
          <wp:inline distT="0" distB="0" distL="0" distR="0">
            <wp:extent cx="128270" cy="12890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Arial" w:cs="Arial" w:eastAsia="Arial" w:hAnsi="Arial"/>
          <w:sz w:val="16"/>
          <w:szCs w:val="16"/>
          <w:color w:val="auto"/>
        </w:rPr>
        <w:t xml:space="preserve"> Launched new Code of Conduct – Together with Integrity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471170" cy="2825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71170" cy="2825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16"/>
          <w:szCs w:val="16"/>
          <w:color w:val="auto"/>
        </w:rPr>
        <w:t xml:space="preserve"> 40% of Board committees are chaired by female directors</w:t>
      </w:r>
    </w:p>
    <w:p>
      <w:pPr>
        <w:spacing w:after="0" w:line="40" w:lineRule="exact"/>
        <w:rPr>
          <w:sz w:val="20"/>
          <w:szCs w:val="20"/>
          <w:color w:val="auto"/>
        </w:rPr>
      </w:pPr>
    </w:p>
    <w:p>
      <w:pPr>
        <w:ind w:left="260" w:right="480"/>
        <w:spacing w:after="0" w:line="286" w:lineRule="auto"/>
        <w:rPr>
          <w:sz w:val="20"/>
          <w:szCs w:val="20"/>
          <w:color w:val="auto"/>
        </w:rPr>
      </w:pPr>
      <w:r>
        <w:rPr>
          <w:rFonts w:ascii="Arial" w:cs="Arial" w:eastAsia="Arial" w:hAnsi="Arial"/>
          <w:sz w:val="16"/>
          <w:szCs w:val="16"/>
          <w:color w:val="auto"/>
        </w:rPr>
        <w:t>Demonstrated commitment to Board refreshment, with half of non-executive director nominees joining since 2021</w:t>
      </w:r>
    </w:p>
    <w:p>
      <w:pPr>
        <w:spacing w:after="0" w:line="21" w:lineRule="exact"/>
        <w:rPr>
          <w:sz w:val="20"/>
          <w:szCs w:val="20"/>
          <w:color w:val="auto"/>
        </w:rPr>
      </w:pPr>
    </w:p>
    <w:p>
      <w:pPr>
        <w:ind w:left="260" w:right="300"/>
        <w:spacing w:after="0" w:line="286" w:lineRule="auto"/>
        <w:rPr>
          <w:sz w:val="20"/>
          <w:szCs w:val="20"/>
          <w:color w:val="auto"/>
        </w:rPr>
      </w:pPr>
      <w:r>
        <w:rPr>
          <w:rFonts w:ascii="Arial" w:cs="Arial" w:eastAsia="Arial" w:hAnsi="Arial"/>
          <w:sz w:val="16"/>
          <w:szCs w:val="16"/>
          <w:color w:val="auto"/>
        </w:rPr>
        <w:t>Non-employee director tenure limits of 75 years of age or 10 years of service—whichever comes first</w:t>
      </w:r>
    </w:p>
    <w:p>
      <w:pPr>
        <w:spacing w:after="0" w:line="21" w:lineRule="exact"/>
        <w:rPr>
          <w:sz w:val="20"/>
          <w:szCs w:val="20"/>
          <w:color w:val="auto"/>
        </w:rPr>
      </w:pPr>
    </w:p>
    <w:p>
      <w:pPr>
        <w:ind w:right="360"/>
        <w:spacing w:after="0" w:line="275" w:lineRule="auto"/>
        <w:rPr>
          <w:sz w:val="20"/>
          <w:szCs w:val="20"/>
          <w:color w:val="auto"/>
        </w:rPr>
      </w:pPr>
      <w:r>
        <w:rPr>
          <w:sz w:val="1"/>
          <w:szCs w:val="1"/>
          <w:color w:val="auto"/>
        </w:rPr>
        <w:drawing>
          <wp:inline distT="0" distB="0" distL="0" distR="0">
            <wp:extent cx="128905" cy="1289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16"/>
          <w:szCs w:val="16"/>
          <w:color w:val="auto"/>
        </w:rPr>
        <w:t xml:space="preserve"> No hedging or pledging of our stock by SLB executives or directors </w:t>
      </w:r>
      <w:r>
        <w:rPr>
          <w:sz w:val="1"/>
          <w:szCs w:val="1"/>
          <w:color w:val="auto"/>
        </w:rPr>
        <w:drawing>
          <wp:inline distT="0" distB="0" distL="0" distR="0">
            <wp:extent cx="128905" cy="12890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16"/>
          <w:szCs w:val="16"/>
          <w:color w:val="auto"/>
        </w:rPr>
        <w:t xml:space="preserve"> Robust stock ownership guidelines for SLB executives and directors</w:t>
      </w:r>
    </w:p>
    <w:p>
      <w:pPr>
        <w:spacing w:after="0" w:line="14" w:lineRule="exact"/>
        <w:rPr>
          <w:sz w:val="20"/>
          <w:szCs w:val="20"/>
          <w:color w:val="auto"/>
        </w:rPr>
      </w:pPr>
    </w:p>
    <w:p>
      <w:pPr>
        <w:ind w:left="260" w:right="540"/>
        <w:spacing w:after="0" w:line="286" w:lineRule="auto"/>
        <w:rPr>
          <w:sz w:val="20"/>
          <w:szCs w:val="20"/>
          <w:color w:val="auto"/>
        </w:rPr>
      </w:pPr>
      <w:r>
        <w:rPr>
          <w:rFonts w:ascii="Arial" w:cs="Arial" w:eastAsia="Arial" w:hAnsi="Arial"/>
          <w:sz w:val="16"/>
          <w:szCs w:val="16"/>
          <w:color w:val="auto"/>
        </w:rPr>
        <w:t>No lobbying or making financial or in-kind contributions to political parties or candidates</w:t>
      </w:r>
    </w:p>
    <w:p>
      <w:pPr>
        <w:spacing w:after="0" w:line="14"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16"/>
          <w:szCs w:val="16"/>
          <w:color w:val="auto"/>
        </w:rPr>
        <w:t xml:space="preserve"> Proactive shareholder engagement</w:t>
      </w:r>
    </w:p>
    <w:p>
      <w:pPr>
        <w:spacing w:after="0" w:line="281" w:lineRule="exact"/>
        <w:rPr>
          <w:sz w:val="20"/>
          <w:szCs w:val="20"/>
          <w:color w:val="auto"/>
        </w:rPr>
      </w:pPr>
    </w:p>
    <w:p>
      <w:pPr>
        <w:sectPr>
          <w:pgSz w:w="11900" w:h="16838" w:orient="portrait"/>
          <w:cols w:equalWidth="0" w:num="2">
            <w:col w:w="5120" w:space="620"/>
            <w:col w:w="5500"/>
          </w:cols>
          <w:pgMar w:left="320" w:top="238" w:right="339" w:bottom="1440" w:gutter="0" w:footer="0" w:header="0"/>
          <w:type w:val="continuous"/>
        </w:sectPr>
      </w:pPr>
    </w:p>
    <w:p>
      <w:pPr>
        <w:spacing w:after="0" w:line="200" w:lineRule="exact"/>
        <w:rPr>
          <w:sz w:val="20"/>
          <w:szCs w:val="20"/>
          <w:color w:val="auto"/>
        </w:rPr>
      </w:pPr>
    </w:p>
    <w:p>
      <w:pPr>
        <w:spacing w:after="0" w:line="247" w:lineRule="exact"/>
        <w:rPr>
          <w:sz w:val="20"/>
          <w:szCs w:val="20"/>
          <w:color w:val="auto"/>
        </w:rPr>
      </w:pPr>
    </w:p>
    <w:p>
      <w:pPr>
        <w:ind w:left="5580"/>
        <w:spacing w:after="0"/>
        <w:tabs>
          <w:tab w:leader="none" w:pos="9540" w:val="left"/>
        </w:tabs>
        <w:rPr>
          <w:sz w:val="20"/>
          <w:szCs w:val="20"/>
          <w:color w:val="auto"/>
        </w:rPr>
      </w:pPr>
      <w:r>
        <w:rPr>
          <w:rFonts w:ascii="Arial" w:cs="Arial" w:eastAsia="Arial" w:hAnsi="Arial"/>
          <w:sz w:val="16"/>
          <w:szCs w:val="16"/>
          <w:b w:val="1"/>
          <w:bCs w:val="1"/>
          <w:color w:val="auto"/>
        </w:rPr>
        <w:t>8</w:t>
      </w:r>
      <w:r>
        <w:rPr>
          <w:sz w:val="20"/>
          <w:szCs w:val="20"/>
          <w:color w:val="auto"/>
        </w:rPr>
        <w:tab/>
      </w:r>
      <w:r>
        <w:rPr>
          <w:rFonts w:ascii="Arial" w:cs="Arial" w:eastAsia="Arial" w:hAnsi="Arial"/>
          <w:sz w:val="16"/>
          <w:szCs w:val="16"/>
          <w:b w:val="1"/>
          <w:bCs w:val="1"/>
          <w:color w:val="636466"/>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-29845</wp:posOffset>
            </wp:positionV>
            <wp:extent cx="54178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4178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36130" cy="101282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6130" cy="10128250"/>
                    </a:xfrm>
                    <a:prstGeom prst="rect">
                      <a:avLst/>
                    </a:prstGeom>
                    <a:noFill/>
                  </pic:spPr>
                </pic:pic>
              </a:graphicData>
            </a:graphic>
          </wp:anchor>
        </w:drawing>
      </w:r>
    </w:p>
    <w:p>
      <w:pPr>
        <w:spacing w:after="0" w:line="336" w:lineRule="exact"/>
        <w:rPr>
          <w:sz w:val="20"/>
          <w:szCs w:val="20"/>
          <w:color w:val="auto"/>
        </w:rPr>
      </w:pPr>
    </w:p>
    <w:p>
      <w:pPr>
        <w:ind w:left="200"/>
        <w:spacing w:after="0"/>
        <w:rPr>
          <w:sz w:val="20"/>
          <w:szCs w:val="20"/>
          <w:color w:val="auto"/>
        </w:rPr>
      </w:pPr>
      <w:r>
        <w:rPr>
          <w:rFonts w:ascii="Arial" w:cs="Arial" w:eastAsia="Arial" w:hAnsi="Arial"/>
          <w:sz w:val="29"/>
          <w:szCs w:val="29"/>
          <w:color w:val="0233A1"/>
        </w:rPr>
        <w:t>2023 Executive Compensation Highlights</w:t>
      </w:r>
    </w:p>
    <w:p>
      <w:pPr>
        <w:spacing w:after="0" w:line="211" w:lineRule="exact"/>
        <w:rPr>
          <w:sz w:val="20"/>
          <w:szCs w:val="20"/>
          <w:color w:val="auto"/>
        </w:rPr>
      </w:pPr>
    </w:p>
    <w:p>
      <w:pPr>
        <w:jc w:val="both"/>
        <w:ind w:left="200"/>
        <w:spacing w:after="0" w:line="296" w:lineRule="auto"/>
        <w:rPr>
          <w:sz w:val="20"/>
          <w:szCs w:val="20"/>
          <w:color w:val="auto"/>
        </w:rPr>
      </w:pPr>
      <w:r>
        <w:rPr>
          <w:rFonts w:ascii="Arial" w:cs="Arial" w:eastAsia="Arial" w:hAnsi="Arial"/>
          <w:sz w:val="16"/>
          <w:szCs w:val="16"/>
          <w:color w:val="auto"/>
        </w:rPr>
        <w:t xml:space="preserve">Below is a summary of key elements of our 2023 executive compensation program, as further detailed under “Compensation Discussion and Analysis” (the </w:t>
      </w:r>
      <w:r>
        <w:rPr>
          <w:rFonts w:ascii="Arial" w:cs="Arial" w:eastAsia="Arial" w:hAnsi="Arial"/>
          <w:sz w:val="16"/>
          <w:szCs w:val="16"/>
          <w:b w:val="1"/>
          <w:bCs w:val="1"/>
          <w:color w:val="auto"/>
        </w:rPr>
        <w:t>CD&amp;A</w:t>
      </w:r>
      <w:r>
        <w:rPr>
          <w:rFonts w:ascii="Arial" w:cs="Arial" w:eastAsia="Arial" w:hAnsi="Arial"/>
          <w:sz w:val="16"/>
          <w:szCs w:val="16"/>
          <w:color w:val="auto"/>
        </w:rPr>
        <w:t>) beginning on page 32 of this proxy statement.</w:t>
      </w:r>
    </w:p>
    <w:p>
      <w:pPr>
        <w:spacing w:after="0" w:line="112" w:lineRule="exact"/>
        <w:rPr>
          <w:sz w:val="20"/>
          <w:szCs w:val="20"/>
          <w:color w:val="auto"/>
        </w:rPr>
      </w:pPr>
    </w:p>
    <w:p>
      <w:pPr>
        <w:ind w:left="1800"/>
        <w:spacing w:after="0"/>
        <w:rPr>
          <w:sz w:val="20"/>
          <w:szCs w:val="20"/>
          <w:color w:val="auto"/>
        </w:rPr>
      </w:pPr>
      <w:r>
        <w:rPr>
          <w:rFonts w:ascii="Arial" w:cs="Arial" w:eastAsia="Arial" w:hAnsi="Arial"/>
          <w:sz w:val="22"/>
          <w:szCs w:val="22"/>
          <w:b w:val="1"/>
          <w:bCs w:val="1"/>
          <w:color w:val="0233A1"/>
        </w:rPr>
        <w:t>Diversified LTI Program Structure with Rigorous PSU Performance Targets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left="200" w:firstLine="324"/>
        <w:spacing w:after="0" w:line="263" w:lineRule="auto"/>
        <w:rPr>
          <w:sz w:val="20"/>
          <w:szCs w:val="20"/>
          <w:color w:val="auto"/>
        </w:rPr>
      </w:pPr>
      <w:r>
        <w:rPr>
          <w:rFonts w:ascii="Arial" w:cs="Arial" w:eastAsia="Arial" w:hAnsi="Arial"/>
          <w:sz w:val="16"/>
          <w:szCs w:val="16"/>
          <w:color w:val="auto"/>
        </w:rPr>
        <w:t>In 2023, our NEOs continued to receive a mix of long-term incentive (</w:t>
      </w:r>
      <w:r>
        <w:rPr>
          <w:rFonts w:ascii="Arial" w:cs="Arial" w:eastAsia="Arial" w:hAnsi="Arial"/>
          <w:sz w:val="16"/>
          <w:szCs w:val="16"/>
          <w:b w:val="1"/>
          <w:bCs w:val="1"/>
          <w:color w:val="auto"/>
        </w:rPr>
        <w:t>LTI</w:t>
      </w:r>
      <w:r>
        <w:rPr>
          <w:rFonts w:ascii="Arial" w:cs="Arial" w:eastAsia="Arial" w:hAnsi="Arial"/>
          <w:sz w:val="16"/>
          <w:szCs w:val="16"/>
          <w:color w:val="auto"/>
        </w:rPr>
        <w:t>) grants, with 75% of their target LTI opportunity awarded in the form of performance share units (</w:t>
      </w:r>
      <w:r>
        <w:rPr>
          <w:rFonts w:ascii="Arial" w:cs="Arial" w:eastAsia="Arial" w:hAnsi="Arial"/>
          <w:sz w:val="16"/>
          <w:szCs w:val="16"/>
          <w:b w:val="1"/>
          <w:bCs w:val="1"/>
          <w:color w:val="auto"/>
        </w:rPr>
        <w:t>PSUs</w:t>
      </w:r>
      <w:r>
        <w:rPr>
          <w:rFonts w:ascii="Arial" w:cs="Arial" w:eastAsia="Arial" w:hAnsi="Arial"/>
          <w:sz w:val="16"/>
          <w:szCs w:val="16"/>
          <w:color w:val="auto"/>
        </w:rPr>
        <w:t>), and 25% awarded in the form of three-year, time-based restricted stock units (</w:t>
      </w:r>
      <w:r>
        <w:rPr>
          <w:rFonts w:ascii="Arial" w:cs="Arial" w:eastAsia="Arial" w:hAnsi="Arial"/>
          <w:sz w:val="16"/>
          <w:szCs w:val="16"/>
          <w:b w:val="1"/>
          <w:bCs w:val="1"/>
          <w:color w:val="auto"/>
        </w:rPr>
        <w:t>RSUs</w:t>
      </w:r>
      <w:r>
        <w:rPr>
          <w:rFonts w:ascii="Arial" w:cs="Arial" w:eastAsia="Arial" w:hAnsi="Arial"/>
          <w:sz w:val="16"/>
          <w:szCs w:val="16"/>
          <w:color w:val="auto"/>
        </w:rPr>
        <w:t>). As in 2022, payout under the 2023 PSUs will be contingent on achieving rigorous absolute free cash flow margin (</w:t>
      </w:r>
      <w:r>
        <w:rPr>
          <w:rFonts w:ascii="Arial" w:cs="Arial" w:eastAsia="Arial" w:hAnsi="Arial"/>
          <w:sz w:val="16"/>
          <w:szCs w:val="16"/>
          <w:b w:val="1"/>
          <w:bCs w:val="1"/>
          <w:color w:val="auto"/>
        </w:rPr>
        <w:t>FCF margin</w:t>
      </w:r>
      <w:r>
        <w:rPr>
          <w:rFonts w:ascii="Arial" w:cs="Arial" w:eastAsia="Arial" w:hAnsi="Arial"/>
          <w:sz w:val="16"/>
          <w:szCs w:val="16"/>
          <w:color w:val="auto"/>
        </w:rPr>
        <w:t>), relative return on capital employed (</w:t>
      </w:r>
      <w:r>
        <w:rPr>
          <w:rFonts w:ascii="Arial" w:cs="Arial" w:eastAsia="Arial" w:hAnsi="Arial"/>
          <w:sz w:val="16"/>
          <w:szCs w:val="16"/>
          <w:b w:val="1"/>
          <w:bCs w:val="1"/>
          <w:color w:val="auto"/>
        </w:rPr>
        <w:t>ROCE</w:t>
      </w:r>
      <w:r>
        <w:rPr>
          <w:rFonts w:ascii="Arial" w:cs="Arial" w:eastAsia="Arial" w:hAnsi="Arial"/>
          <w:sz w:val="16"/>
          <w:szCs w:val="16"/>
          <w:color w:val="auto"/>
        </w:rPr>
        <w:t>), and relative total shareholder return (</w:t>
      </w:r>
      <w:r>
        <w:rPr>
          <w:rFonts w:ascii="Arial" w:cs="Arial" w:eastAsia="Arial" w:hAnsi="Arial"/>
          <w:sz w:val="16"/>
          <w:szCs w:val="16"/>
          <w:b w:val="1"/>
          <w:bCs w:val="1"/>
          <w:color w:val="auto"/>
        </w:rPr>
        <w:t>TSR</w:t>
      </w:r>
      <w:r>
        <w:rPr>
          <w:rFonts w:ascii="Arial" w:cs="Arial" w:eastAsia="Arial" w:hAnsi="Arial"/>
          <w:sz w:val="16"/>
          <w:szCs w:val="16"/>
          <w:color w:val="auto"/>
        </w:rPr>
        <w:t>) performance goals over a three-year period.</w:t>
      </w:r>
    </w:p>
    <w:p>
      <w:pPr>
        <w:spacing w:after="0" w:line="138" w:lineRule="exact"/>
        <w:rPr>
          <w:sz w:val="20"/>
          <w:szCs w:val="20"/>
          <w:color w:val="auto"/>
        </w:rPr>
      </w:pPr>
    </w:p>
    <w:p>
      <w:pPr>
        <w:ind w:left="1420"/>
        <w:spacing w:after="0"/>
        <w:rPr>
          <w:sz w:val="20"/>
          <w:szCs w:val="20"/>
          <w:color w:val="auto"/>
        </w:rPr>
      </w:pPr>
      <w:r>
        <w:rPr>
          <w:rFonts w:ascii="Arial" w:cs="Arial" w:eastAsia="Arial" w:hAnsi="Arial"/>
          <w:sz w:val="22"/>
          <w:szCs w:val="22"/>
          <w:b w:val="1"/>
          <w:bCs w:val="1"/>
          <w:color w:val="0233A1"/>
        </w:rPr>
        <w:t>Strategy-Focused STI Program with Emissions Reduction Objectives for All NEOs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2023, we continued to tie 70% of our NEOs’ target short-term incentive (</w:t>
      </w:r>
      <w:r>
        <w:rPr>
          <w:rFonts w:ascii="Arial" w:cs="Arial" w:eastAsia="Arial" w:hAnsi="Arial"/>
          <w:sz w:val="16"/>
          <w:szCs w:val="16"/>
          <w:b w:val="1"/>
          <w:bCs w:val="1"/>
          <w:color w:val="auto"/>
        </w:rPr>
        <w:t>STI</w:t>
      </w:r>
      <w:r>
        <w:rPr>
          <w:rFonts w:ascii="Arial" w:cs="Arial" w:eastAsia="Arial" w:hAnsi="Arial"/>
          <w:sz w:val="16"/>
          <w:szCs w:val="16"/>
          <w:color w:val="auto"/>
        </w:rPr>
        <w:t>) opportunity to Company financial goals—namely, full-year adjusted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EBITDA and free cash flow—to ensure our executives remained focused on profitable, sustainable growth. In addition, we incorporated into our 2023</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STI plan a new quantitative component focused on reducing our Scope 3 emissions intensity and improving gender diversity.</w:t>
      </w:r>
    </w:p>
    <w:p>
      <w:pPr>
        <w:spacing w:after="0" w:line="164"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0233A1"/>
        </w:rPr>
        <w:t>Performance-Aligned LTI and STI Payouts</w:t>
      </w:r>
    </w:p>
    <w:p>
      <w:pPr>
        <w:spacing w:after="0" w:line="207" w:lineRule="exact"/>
        <w:rPr>
          <w:sz w:val="20"/>
          <w:szCs w:val="20"/>
          <w:color w:val="auto"/>
        </w:rPr>
      </w:pPr>
    </w:p>
    <w:p>
      <w:pPr>
        <w:jc w:val="both"/>
        <w:ind w:left="200" w:firstLine="324"/>
        <w:spacing w:after="0" w:line="266" w:lineRule="auto"/>
        <w:rPr>
          <w:sz w:val="20"/>
          <w:szCs w:val="20"/>
          <w:color w:val="auto"/>
        </w:rPr>
      </w:pPr>
      <w:r>
        <w:rPr>
          <w:rFonts w:ascii="Arial" w:cs="Arial" w:eastAsia="Arial" w:hAnsi="Arial"/>
          <w:sz w:val="16"/>
          <w:szCs w:val="16"/>
          <w:color w:val="auto"/>
        </w:rPr>
        <w:t>Our NEOs’ LTI award payouts in 2023 were based on SLB’s strong multi-year ROCE results, as well as achieving target under our three-year FCF margin PSUs, partially offset by below-target relative TSR performance. Our NEOs also earned performance-aligned 2023 STI payouts based on SLB’s strong adjusted EBITDA and exceptional free cash flow results, together with key sustainability and workforce diversity achievements during the year.</w:t>
      </w:r>
    </w:p>
    <w:p>
      <w:pPr>
        <w:sectPr>
          <w:pgSz w:w="11900" w:h="16838" w:orient="portrait"/>
          <w:cols w:equalWidth="0" w:num="1">
            <w:col w:w="11040"/>
          </w:cols>
          <w:pgMar w:left="320" w:top="238" w:right="539" w:bottom="0" w:gutter="0" w:footer="0" w:header="0"/>
        </w:sectPr>
      </w:pPr>
    </w:p>
    <w:p>
      <w:pPr>
        <w:spacing w:after="0" w:line="198" w:lineRule="exact"/>
        <w:rPr>
          <w:sz w:val="20"/>
          <w:szCs w:val="20"/>
          <w:color w:val="auto"/>
        </w:rPr>
      </w:pPr>
    </w:p>
    <w:p>
      <w:pPr>
        <w:jc w:val="center"/>
        <w:ind w:left="260"/>
        <w:spacing w:after="0"/>
        <w:rPr>
          <w:sz w:val="20"/>
          <w:szCs w:val="20"/>
          <w:color w:val="auto"/>
        </w:rPr>
      </w:pPr>
      <w:r>
        <w:rPr>
          <w:rFonts w:ascii="Arial" w:cs="Arial" w:eastAsia="Arial" w:hAnsi="Arial"/>
          <w:sz w:val="16"/>
          <w:szCs w:val="16"/>
          <w:b w:val="1"/>
          <w:bCs w:val="1"/>
          <w:color w:val="FFFFFF"/>
        </w:rPr>
        <w:t>Long-Term Equity Incentive Results</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 xml:space="preserve">Total LTI Award Payout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25"/>
          <w:szCs w:val="25"/>
          <w:b w:val="1"/>
          <w:bCs w:val="1"/>
          <w:color w:val="0233A1"/>
        </w:rPr>
        <w:t>127%</w:t>
      </w:r>
      <w:r>
        <w:rPr>
          <w:rFonts w:ascii="Arial" w:cs="Arial" w:eastAsia="Arial" w:hAnsi="Arial"/>
          <w:sz w:val="16"/>
          <w:szCs w:val="16"/>
          <w:b w:val="1"/>
          <w:bCs w:val="1"/>
          <w:color w:val="auto"/>
        </w:rPr>
        <w:t xml:space="preserve"> </w:t>
      </w:r>
      <w:r>
        <w:rPr>
          <w:rFonts w:ascii="Arial" w:cs="Arial" w:eastAsia="Arial" w:hAnsi="Arial"/>
          <w:sz w:val="16"/>
          <w:szCs w:val="16"/>
          <w:color w:val="auto"/>
        </w:rPr>
        <w:t>— Our NEOs earned total LTI</w:t>
      </w:r>
    </w:p>
    <w:p>
      <w:pPr>
        <w:spacing w:after="0" w:line="36" w:lineRule="exact"/>
        <w:rPr>
          <w:sz w:val="20"/>
          <w:szCs w:val="20"/>
          <w:color w:val="auto"/>
        </w:rPr>
      </w:pPr>
    </w:p>
    <w:p>
      <w:pPr>
        <w:jc w:val="both"/>
        <w:ind w:left="340"/>
        <w:spacing w:after="0" w:line="256" w:lineRule="auto"/>
        <w:rPr>
          <w:sz w:val="20"/>
          <w:szCs w:val="20"/>
          <w:color w:val="auto"/>
        </w:rPr>
      </w:pPr>
      <w:r>
        <w:rPr>
          <w:rFonts w:ascii="Arial" w:cs="Arial" w:eastAsia="Arial" w:hAnsi="Arial"/>
          <w:sz w:val="16"/>
          <w:szCs w:val="16"/>
          <w:color w:val="auto"/>
        </w:rPr>
        <w:t>payouts of 127% of target with respect to their three-year LTI awards (including RSUs vested at 100%) that were granted in 2021 and vested in January 2024.</w:t>
      </w:r>
    </w:p>
    <w:p>
      <w:pPr>
        <w:spacing w:after="0" w:line="151" w:lineRule="exact"/>
        <w:rPr>
          <w:sz w:val="20"/>
          <w:szCs w:val="20"/>
          <w:color w:val="auto"/>
        </w:rPr>
      </w:pPr>
    </w:p>
    <w:p>
      <w:pPr>
        <w:jc w:val="both"/>
        <w:ind w:left="580"/>
        <w:spacing w:after="0" w:line="252" w:lineRule="auto"/>
        <w:rPr>
          <w:sz w:val="20"/>
          <w:szCs w:val="20"/>
          <w:color w:val="auto"/>
        </w:rPr>
      </w:pPr>
      <w:r>
        <w:rPr>
          <w:rFonts w:ascii="Arial" w:cs="Arial" w:eastAsia="Arial" w:hAnsi="Arial"/>
          <w:sz w:val="16"/>
          <w:szCs w:val="16"/>
          <w:b w:val="1"/>
          <w:bCs w:val="1"/>
          <w:color w:val="auto"/>
        </w:rPr>
        <w:t xml:space="preserve">Target FCF Margin PSU Payout </w:t>
      </w:r>
      <w:r>
        <w:rPr>
          <w:rFonts w:ascii="Arial" w:cs="Arial" w:eastAsia="Arial" w:hAnsi="Arial"/>
          <w:sz w:val="16"/>
          <w:szCs w:val="16"/>
          <w:color w:val="auto"/>
        </w:rPr>
        <w:t>— Our NEOs earned 100% of the</w:t>
      </w:r>
      <w:r>
        <w:rPr>
          <w:rFonts w:ascii="Arial" w:cs="Arial" w:eastAsia="Arial" w:hAnsi="Arial"/>
          <w:sz w:val="16"/>
          <w:szCs w:val="16"/>
          <w:b w:val="1"/>
          <w:bCs w:val="1"/>
          <w:color w:val="auto"/>
        </w:rPr>
        <w:t xml:space="preserve"> </w:t>
      </w:r>
      <w:r>
        <w:rPr>
          <w:rFonts w:ascii="Arial" w:cs="Arial" w:eastAsia="Arial" w:hAnsi="Arial"/>
          <w:sz w:val="16"/>
          <w:szCs w:val="16"/>
          <w:color w:val="auto"/>
        </w:rPr>
        <w:t>target shares of SLB stock under the FCF margin PSUs that they received in 2021, because SLB achieved its target three-year,</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cumulative FCF margin</w:t>
      </w:r>
      <w:r>
        <w:rPr>
          <w:rFonts w:ascii="Arial" w:cs="Arial" w:eastAsia="Arial" w:hAnsi="Arial"/>
          <w:sz w:val="26"/>
          <w:szCs w:val="26"/>
          <w:color w:val="auto"/>
          <w:vertAlign w:val="superscript"/>
        </w:rPr>
        <w:t>+</w:t>
      </w:r>
      <w:r>
        <w:rPr>
          <w:rFonts w:ascii="Arial" w:cs="Arial" w:eastAsia="Arial" w:hAnsi="Arial"/>
          <w:sz w:val="16"/>
          <w:szCs w:val="16"/>
          <w:color w:val="auto"/>
        </w:rPr>
        <w:t xml:space="preserve"> of 10.0%.</w:t>
      </w:r>
    </w:p>
    <w:p>
      <w:pPr>
        <w:spacing w:after="0" w:line="106" w:lineRule="exact"/>
        <w:rPr>
          <w:sz w:val="20"/>
          <w:szCs w:val="20"/>
          <w:color w:val="auto"/>
        </w:rPr>
      </w:pPr>
    </w:p>
    <w:p>
      <w:pPr>
        <w:jc w:val="both"/>
        <w:ind w:left="580"/>
        <w:spacing w:after="0" w:line="254" w:lineRule="auto"/>
        <w:rPr>
          <w:sz w:val="20"/>
          <w:szCs w:val="20"/>
          <w:color w:val="auto"/>
        </w:rPr>
      </w:pPr>
      <w:r>
        <w:rPr>
          <w:rFonts w:ascii="Arial" w:cs="Arial" w:eastAsia="Arial" w:hAnsi="Arial"/>
          <w:sz w:val="16"/>
          <w:szCs w:val="16"/>
          <w:b w:val="1"/>
          <w:bCs w:val="1"/>
          <w:color w:val="auto"/>
        </w:rPr>
        <w:t xml:space="preserve">Strong Relative and Absolute ROCE Results </w:t>
      </w:r>
      <w:r>
        <w:rPr>
          <w:rFonts w:ascii="Arial" w:cs="Arial" w:eastAsia="Arial" w:hAnsi="Arial"/>
          <w:sz w:val="16"/>
          <w:szCs w:val="16"/>
          <w:color w:val="auto"/>
        </w:rPr>
        <w:t>— Our NEOs</w:t>
      </w:r>
      <w:r>
        <w:rPr>
          <w:rFonts w:ascii="Arial" w:cs="Arial" w:eastAsia="Arial" w:hAnsi="Arial"/>
          <w:sz w:val="16"/>
          <w:szCs w:val="16"/>
          <w:b w:val="1"/>
          <w:bCs w:val="1"/>
          <w:color w:val="auto"/>
        </w:rPr>
        <w:t xml:space="preserve"> </w:t>
      </w:r>
      <w:r>
        <w:rPr>
          <w:rFonts w:ascii="Arial" w:cs="Arial" w:eastAsia="Arial" w:hAnsi="Arial"/>
          <w:sz w:val="16"/>
          <w:szCs w:val="16"/>
          <w:color w:val="auto"/>
        </w:rPr>
        <w:t>earned 250% of the target shares of SLB stock under the ROCE PSUs they received in 2021, based on SLB’s average annual ROCE for the three-year performance period, which was 477 bps above the average ROCE of the comparator group, together with SLB’s absolute 2023 ROCE of 16%.</w:t>
      </w:r>
    </w:p>
    <w:p>
      <w:pPr>
        <w:spacing w:after="0" w:line="155" w:lineRule="exact"/>
        <w:rPr>
          <w:sz w:val="20"/>
          <w:szCs w:val="20"/>
          <w:color w:val="auto"/>
        </w:rPr>
      </w:pPr>
    </w:p>
    <w:p>
      <w:pPr>
        <w:jc w:val="both"/>
        <w:ind w:left="580"/>
        <w:spacing w:after="0" w:line="256" w:lineRule="auto"/>
        <w:rPr>
          <w:sz w:val="20"/>
          <w:szCs w:val="20"/>
          <w:color w:val="auto"/>
        </w:rPr>
      </w:pPr>
      <w:r>
        <w:rPr>
          <w:rFonts w:ascii="Arial" w:cs="Arial" w:eastAsia="Arial" w:hAnsi="Arial"/>
          <w:sz w:val="16"/>
          <w:szCs w:val="16"/>
          <w:b w:val="1"/>
          <w:bCs w:val="1"/>
          <w:color w:val="auto"/>
        </w:rPr>
        <w:t xml:space="preserve">Below-Target TSR Payout </w:t>
      </w:r>
      <w:r>
        <w:rPr>
          <w:rFonts w:ascii="Arial" w:cs="Arial" w:eastAsia="Arial" w:hAnsi="Arial"/>
          <w:sz w:val="16"/>
          <w:szCs w:val="16"/>
          <w:color w:val="auto"/>
        </w:rPr>
        <w:t>— Our NEOs earned 59% of the target</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SLB stock under the TSR PSUs they received in 2021. This payout was based on SLB’s relative TSR percentile rank of 41% as compared to the three-year cumulative TSR results achieved by eight comparator companies in our core industry.</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jc w:val="center"/>
        <w:ind w:right="140"/>
        <w:spacing w:after="0"/>
        <w:rPr>
          <w:sz w:val="20"/>
          <w:szCs w:val="20"/>
          <w:color w:val="auto"/>
        </w:rPr>
      </w:pPr>
      <w:r>
        <w:rPr>
          <w:rFonts w:ascii="Arial" w:cs="Arial" w:eastAsia="Arial" w:hAnsi="Arial"/>
          <w:sz w:val="16"/>
          <w:szCs w:val="16"/>
          <w:b w:val="1"/>
          <w:bCs w:val="1"/>
          <w:color w:val="FFFFFF"/>
        </w:rPr>
        <w:t>Short-Term Cash Incentive Results</w:t>
      </w:r>
    </w:p>
    <w:p>
      <w:pPr>
        <w:spacing w:after="0" w:line="238" w:lineRule="exact"/>
        <w:rPr>
          <w:sz w:val="20"/>
          <w:szCs w:val="20"/>
          <w:color w:val="auto"/>
        </w:rPr>
      </w:pPr>
    </w:p>
    <w:p>
      <w:pPr>
        <w:ind w:right="60"/>
        <w:spacing w:after="0" w:line="305" w:lineRule="auto"/>
        <w:rPr>
          <w:sz w:val="20"/>
          <w:szCs w:val="20"/>
          <w:color w:val="auto"/>
        </w:rPr>
      </w:pPr>
      <w:r>
        <w:rPr>
          <w:rFonts w:ascii="Arial" w:cs="Arial" w:eastAsia="Arial" w:hAnsi="Arial"/>
          <w:sz w:val="16"/>
          <w:szCs w:val="16"/>
          <w:b w:val="1"/>
          <w:bCs w:val="1"/>
          <w:color w:val="auto"/>
        </w:rPr>
        <w:t xml:space="preserve">Average STI Payout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25"/>
          <w:szCs w:val="25"/>
          <w:b w:val="1"/>
          <w:bCs w:val="1"/>
          <w:color w:val="0233A1"/>
        </w:rPr>
        <w:t>151%</w:t>
      </w:r>
      <w:r>
        <w:rPr>
          <w:rFonts w:ascii="Arial" w:cs="Arial" w:eastAsia="Arial" w:hAnsi="Arial"/>
          <w:sz w:val="16"/>
          <w:szCs w:val="16"/>
          <w:b w:val="1"/>
          <w:bCs w:val="1"/>
          <w:color w:val="auto"/>
        </w:rPr>
        <w:t xml:space="preserve"> </w:t>
      </w:r>
      <w:r>
        <w:rPr>
          <w:rFonts w:ascii="Arial" w:cs="Arial" w:eastAsia="Arial" w:hAnsi="Arial"/>
          <w:sz w:val="16"/>
          <w:szCs w:val="16"/>
          <w:color w:val="auto"/>
        </w:rPr>
        <w:t>— Our NEOs earned an average</w:t>
      </w:r>
      <w:r>
        <w:rPr>
          <w:rFonts w:ascii="Arial" w:cs="Arial" w:eastAsia="Arial" w:hAnsi="Arial"/>
          <w:sz w:val="16"/>
          <w:szCs w:val="16"/>
          <w:b w:val="1"/>
          <w:bCs w:val="1"/>
          <w:color w:val="auto"/>
        </w:rPr>
        <w:t xml:space="preserve"> </w:t>
      </w:r>
      <w:r>
        <w:rPr>
          <w:rFonts w:ascii="Arial" w:cs="Arial" w:eastAsia="Arial" w:hAnsi="Arial"/>
          <w:sz w:val="16"/>
          <w:szCs w:val="16"/>
          <w:color w:val="auto"/>
        </w:rPr>
        <w:t>2023 cash incentive payout of 151% of target.</w:t>
      </w:r>
    </w:p>
    <w:p>
      <w:pPr>
        <w:spacing w:after="0" w:line="76"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Adjusted EBITDA</w:t>
      </w:r>
      <w:r>
        <w:rPr>
          <w:rFonts w:ascii="Arial" w:cs="Arial" w:eastAsia="Arial" w:hAnsi="Arial"/>
          <w:sz w:val="26"/>
          <w:szCs w:val="26"/>
          <w:b w:val="1"/>
          <w:bCs w:val="1"/>
          <w:color w:val="auto"/>
          <w:vertAlign w:val="superscript"/>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25"/>
          <w:szCs w:val="25"/>
          <w:b w:val="1"/>
          <w:bCs w:val="1"/>
          <w:color w:val="0233A1"/>
        </w:rPr>
        <w:t>$8.107 billion</w:t>
      </w:r>
      <w:r>
        <w:rPr>
          <w:rFonts w:ascii="Arial" w:cs="Arial" w:eastAsia="Arial" w:hAnsi="Arial"/>
          <w:sz w:val="16"/>
          <w:szCs w:val="16"/>
          <w:b w:val="1"/>
          <w:bCs w:val="1"/>
          <w:color w:val="auto"/>
        </w:rPr>
        <w:t xml:space="preserve"> </w:t>
      </w:r>
      <w:r>
        <w:rPr>
          <w:rFonts w:ascii="Arial" w:cs="Arial" w:eastAsia="Arial" w:hAnsi="Arial"/>
          <w:sz w:val="16"/>
          <w:szCs w:val="16"/>
          <w:color w:val="auto"/>
        </w:rPr>
        <w:t>— Our 2023 adjusted</w:t>
      </w:r>
    </w:p>
    <w:p>
      <w:pPr>
        <w:spacing w:after="0" w:line="24" w:lineRule="exact"/>
        <w:rPr>
          <w:sz w:val="20"/>
          <w:szCs w:val="20"/>
          <w:color w:val="auto"/>
        </w:rPr>
      </w:pPr>
    </w:p>
    <w:p>
      <w:pPr>
        <w:jc w:val="both"/>
        <w:ind w:left="240" w:right="60"/>
        <w:spacing w:after="0" w:line="265" w:lineRule="auto"/>
        <w:rPr>
          <w:sz w:val="20"/>
          <w:szCs w:val="20"/>
          <w:color w:val="auto"/>
        </w:rPr>
      </w:pPr>
      <w:r>
        <w:rPr>
          <w:rFonts w:ascii="Arial" w:cs="Arial" w:eastAsia="Arial" w:hAnsi="Arial"/>
          <w:sz w:val="16"/>
          <w:szCs w:val="16"/>
          <w:color w:val="auto"/>
        </w:rPr>
        <w:t>EBITDA of $8.107 billion represented a 25% increase over 2022, resulting in achievement of 119% of the target payout.</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Free Cash Flow</w:t>
      </w:r>
      <w:r>
        <w:rPr>
          <w:rFonts w:ascii="Arial" w:cs="Arial" w:eastAsia="Arial" w:hAnsi="Arial"/>
          <w:sz w:val="26"/>
          <w:szCs w:val="26"/>
          <w:b w:val="1"/>
          <w:bCs w:val="1"/>
          <w:color w:val="auto"/>
          <w:vertAlign w:val="superscript"/>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25"/>
          <w:szCs w:val="25"/>
          <w:b w:val="1"/>
          <w:bCs w:val="1"/>
          <w:color w:val="0233A1"/>
        </w:rPr>
        <w:t>$4.038 billion</w:t>
      </w:r>
      <w:r>
        <w:rPr>
          <w:rFonts w:ascii="Arial" w:cs="Arial" w:eastAsia="Arial" w:hAnsi="Arial"/>
          <w:sz w:val="16"/>
          <w:szCs w:val="16"/>
          <w:b w:val="1"/>
          <w:bCs w:val="1"/>
          <w:color w:val="auto"/>
        </w:rPr>
        <w:t xml:space="preserve"> </w:t>
      </w:r>
      <w:r>
        <w:rPr>
          <w:rFonts w:ascii="Arial" w:cs="Arial" w:eastAsia="Arial" w:hAnsi="Arial"/>
          <w:sz w:val="16"/>
          <w:szCs w:val="16"/>
          <w:color w:val="auto"/>
        </w:rPr>
        <w:t>— Our 2023 free cash</w:t>
      </w:r>
    </w:p>
    <w:p>
      <w:pPr>
        <w:spacing w:after="0" w:line="24" w:lineRule="exact"/>
        <w:rPr>
          <w:sz w:val="20"/>
          <w:szCs w:val="20"/>
          <w:color w:val="auto"/>
        </w:rPr>
      </w:pPr>
    </w:p>
    <w:p>
      <w:pPr>
        <w:jc w:val="both"/>
        <w:ind w:left="240" w:right="60"/>
        <w:spacing w:after="0" w:line="265" w:lineRule="auto"/>
        <w:rPr>
          <w:sz w:val="20"/>
          <w:szCs w:val="20"/>
          <w:color w:val="auto"/>
        </w:rPr>
      </w:pPr>
      <w:r>
        <w:rPr>
          <w:rFonts w:ascii="Arial" w:cs="Arial" w:eastAsia="Arial" w:hAnsi="Arial"/>
          <w:sz w:val="16"/>
          <w:szCs w:val="16"/>
          <w:color w:val="auto"/>
        </w:rPr>
        <w:t>flow of $4.038 billion represented a 185% increase over 2022, resulting in achievement of 243% of the target payout.</w:t>
      </w:r>
    </w:p>
    <w:p>
      <w:pPr>
        <w:spacing w:after="0" w:line="145" w:lineRule="exact"/>
        <w:rPr>
          <w:sz w:val="20"/>
          <w:szCs w:val="20"/>
          <w:color w:val="auto"/>
        </w:rPr>
      </w:pPr>
    </w:p>
    <w:p>
      <w:pPr>
        <w:jc w:val="both"/>
        <w:ind w:left="240" w:right="60"/>
        <w:spacing w:after="0" w:line="256" w:lineRule="auto"/>
        <w:rPr>
          <w:sz w:val="20"/>
          <w:szCs w:val="20"/>
          <w:color w:val="auto"/>
        </w:rPr>
      </w:pPr>
      <w:r>
        <w:rPr>
          <w:rFonts w:ascii="Arial" w:cs="Arial" w:eastAsia="Arial" w:hAnsi="Arial"/>
          <w:sz w:val="16"/>
          <w:szCs w:val="16"/>
          <w:b w:val="1"/>
          <w:bCs w:val="1"/>
          <w:color w:val="auto"/>
        </w:rPr>
        <w:t xml:space="preserve">Achieved Emissions and Gender Diversity Targets </w:t>
      </w:r>
      <w:r>
        <w:rPr>
          <w:rFonts w:ascii="Arial" w:cs="Arial" w:eastAsia="Arial" w:hAnsi="Arial"/>
          <w:sz w:val="16"/>
          <w:szCs w:val="16"/>
          <w:color w:val="auto"/>
        </w:rPr>
        <w:t>— In 2023,</w:t>
      </w:r>
      <w:r>
        <w:rPr>
          <w:rFonts w:ascii="Arial" w:cs="Arial" w:eastAsia="Arial" w:hAnsi="Arial"/>
          <w:sz w:val="16"/>
          <w:szCs w:val="16"/>
          <w:b w:val="1"/>
          <w:bCs w:val="1"/>
          <w:color w:val="auto"/>
        </w:rPr>
        <w:t xml:space="preserve"> </w:t>
      </w:r>
      <w:r>
        <w:rPr>
          <w:rFonts w:ascii="Arial" w:cs="Arial" w:eastAsia="Arial" w:hAnsi="Arial"/>
          <w:sz w:val="16"/>
          <w:szCs w:val="16"/>
          <w:color w:val="auto"/>
        </w:rPr>
        <w:t>we reduced our Scope 3 emissions intensity by 13%* year on year. We also increased our percentage of women in salaried roles from 23.8% at year-end 2022 to 24.6% at year-end 2023. As a result, our NEOs earned 100% of the target payout.</w:t>
      </w:r>
    </w:p>
    <w:p>
      <w:pPr>
        <w:spacing w:after="0" w:line="1158" w:lineRule="exact"/>
        <w:rPr>
          <w:sz w:val="20"/>
          <w:szCs w:val="20"/>
          <w:color w:val="auto"/>
        </w:rPr>
      </w:pPr>
    </w:p>
    <w:p>
      <w:pPr>
        <w:sectPr>
          <w:pgSz w:w="11900" w:h="16838" w:orient="portrait"/>
          <w:cols w:equalWidth="0" w:num="2">
            <w:col w:w="5460" w:space="420"/>
            <w:col w:w="5160"/>
          </w:cols>
          <w:pgMar w:left="320" w:top="238" w:right="539" w:bottom="0" w:gutter="0" w:footer="0" w:header="0"/>
          <w:type w:val="continuous"/>
        </w:sectPr>
      </w:pPr>
    </w:p>
    <w:p>
      <w:pPr>
        <w:spacing w:after="0" w:line="160" w:lineRule="exact"/>
        <w:rPr>
          <w:sz w:val="20"/>
          <w:szCs w:val="20"/>
          <w:color w:val="auto"/>
        </w:rPr>
      </w:pPr>
    </w:p>
    <w:p>
      <w:pPr>
        <w:ind w:left="560" w:hanging="359"/>
        <w:spacing w:after="0"/>
        <w:tabs>
          <w:tab w:leader="none" w:pos="560" w:val="left"/>
        </w:tabs>
        <w:numPr>
          <w:ilvl w:val="0"/>
          <w:numId w:val="6"/>
        </w:numPr>
        <w:rPr>
          <w:rFonts w:ascii="Arial" w:cs="Arial" w:eastAsia="Arial" w:hAnsi="Arial"/>
          <w:sz w:val="14"/>
          <w:szCs w:val="14"/>
          <w:color w:val="auto"/>
        </w:rPr>
      </w:pPr>
      <w:r>
        <w:rPr>
          <w:rFonts w:ascii="Arial" w:cs="Arial" w:eastAsia="Arial" w:hAnsi="Arial"/>
          <w:sz w:val="14"/>
          <w:szCs w:val="14"/>
          <w:color w:val="auto"/>
        </w:rPr>
        <w:t>See Appendix A</w:t>
      </w:r>
    </w:p>
    <w:p>
      <w:pPr>
        <w:spacing w:after="0" w:line="15" w:lineRule="exact"/>
        <w:rPr>
          <w:sz w:val="20"/>
          <w:szCs w:val="20"/>
          <w:color w:val="auto"/>
        </w:rPr>
      </w:pPr>
    </w:p>
    <w:p>
      <w:pPr>
        <w:ind w:left="560" w:hanging="359"/>
        <w:spacing w:after="0"/>
        <w:tabs>
          <w:tab w:leader="none" w:pos="560" w:val="left"/>
        </w:tabs>
        <w:numPr>
          <w:ilvl w:val="0"/>
          <w:numId w:val="7"/>
        </w:numPr>
        <w:rPr>
          <w:rFonts w:ascii="Arial" w:cs="Arial" w:eastAsia="Arial" w:hAnsi="Arial"/>
          <w:sz w:val="14"/>
          <w:szCs w:val="14"/>
          <w:color w:val="auto"/>
        </w:rPr>
      </w:pPr>
      <w:r>
        <w:rPr>
          <w:rFonts w:ascii="Arial" w:cs="Arial" w:eastAsia="Arial" w:hAnsi="Arial"/>
          <w:sz w:val="14"/>
          <w:szCs w:val="14"/>
          <w:color w:val="auto"/>
        </w:rPr>
        <w:t>Excludes acquired Aker Solutions subsea business</w:t>
      </w:r>
    </w:p>
    <w:p>
      <w:pPr>
        <w:sectPr>
          <w:pgSz w:w="11900" w:h="16838" w:orient="portrait"/>
          <w:cols w:equalWidth="0" w:num="1">
            <w:col w:w="11040"/>
          </w:cols>
          <w:pgMar w:left="320" w:top="238" w:right="539" w:bottom="0" w:gutter="0" w:footer="0" w:header="0"/>
          <w:type w:val="continuous"/>
        </w:sectPr>
      </w:pPr>
    </w:p>
    <w:bookmarkStart w:id="11" w:name="page12"/>
    <w:bookmarkEnd w:id="11"/>
    <w:p>
      <w:pPr>
        <w:spacing w:after="0"/>
        <w:rPr>
          <w:sz w:val="20"/>
          <w:szCs w:val="20"/>
          <w:color w:val="auto"/>
        </w:rPr>
      </w:pPr>
      <w:r>
        <w:rPr>
          <w:rFonts w:ascii="Arial" w:cs="Arial" w:eastAsia="Arial" w:hAnsi="Arial"/>
          <w:sz w:val="16"/>
          <w:szCs w:val="16"/>
          <w:b w:val="1"/>
          <w:bCs w:val="1"/>
          <w:color w:val="636466"/>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-46990</wp:posOffset>
            </wp:positionV>
            <wp:extent cx="22885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28854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-107315</wp:posOffset>
            </wp:positionV>
            <wp:extent cx="3420110" cy="2832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0110" cy="283210"/>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p>
      <w:pPr>
        <w:spacing w:after="0" w:line="39" w:lineRule="exact"/>
        <w:rPr>
          <w:sz w:val="20"/>
          <w:szCs w:val="20"/>
          <w:color w:val="auto"/>
        </w:rPr>
      </w:pPr>
    </w:p>
    <w:p>
      <w:pPr>
        <w:ind w:left="5580"/>
        <w:spacing w:after="0"/>
        <w:rPr>
          <w:sz w:val="20"/>
          <w:szCs w:val="20"/>
          <w:color w:val="auto"/>
        </w:rPr>
      </w:pPr>
      <w:r>
        <w:rPr>
          <w:rFonts w:ascii="Arial" w:cs="Arial" w:eastAsia="Arial" w:hAnsi="Arial"/>
          <w:sz w:val="16"/>
          <w:szCs w:val="16"/>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9" w:lineRule="exact"/>
        <w:rPr>
          <w:sz w:val="20"/>
          <w:szCs w:val="20"/>
          <w:color w:val="auto"/>
        </w:rPr>
      </w:pPr>
    </w:p>
    <w:p>
      <w:pPr>
        <w:spacing w:after="0"/>
        <w:rPr>
          <w:sz w:val="20"/>
          <w:szCs w:val="20"/>
          <w:color w:val="auto"/>
        </w:rPr>
      </w:pPr>
      <w:r>
        <w:rPr>
          <w:rFonts w:ascii="Arial" w:cs="Arial" w:eastAsia="Arial" w:hAnsi="Arial"/>
          <w:sz w:val="50"/>
          <w:szCs w:val="50"/>
          <w:color w:val="0233A1"/>
        </w:rPr>
        <w:t>Leader in Global Diversity</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5"/>
          <w:szCs w:val="25"/>
          <w:color w:val="0233A1"/>
        </w:rPr>
        <w:t>Workforce Diversity</w:t>
      </w:r>
    </w:p>
    <w:p>
      <w:pPr>
        <w:spacing w:after="0" w:line="26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As a leading global technology company that operates in more than 100 countries, with a workforce of approximately 111,000 people from diverse backgrounds, cultures, and nationalities, one of SLB’s greatest strengths is the diversity of our people. We believe that our ability to attract, develop, motivate, and retain a highly competent and diverse workforce has been paramount to our success for many decades. We recognize that cultivating diversity and promoting inclusion are essential to attracting the best talent from around the world and enabling creativity and innovation to drive business success.</w:t>
      </w:r>
    </w:p>
    <w:p>
      <w:pPr>
        <w:spacing w:after="0" w:line="15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 xml:space="preserve">Our long-standing commitment to </w:t>
      </w:r>
      <w:r>
        <w:rPr>
          <w:rFonts w:ascii="Arial" w:cs="Arial" w:eastAsia="Arial" w:hAnsi="Arial"/>
          <w:sz w:val="16"/>
          <w:szCs w:val="16"/>
          <w:b w:val="1"/>
          <w:bCs w:val="1"/>
          <w:color w:val="0233A1"/>
        </w:rPr>
        <w:t>national and cultural diversity</w:t>
      </w:r>
      <w:r>
        <w:rPr>
          <w:rFonts w:ascii="Arial" w:cs="Arial" w:eastAsia="Arial" w:hAnsi="Arial"/>
          <w:sz w:val="16"/>
          <w:szCs w:val="16"/>
          <w:color w:val="auto"/>
        </w:rPr>
        <w:t xml:space="preserve"> is reflected in our workforce composition and our philosophy to recruit and develop people from the communities in which we operate. Our workforce nationality mix generally aligns with the revenue derived from the countries in which we work, as reflected in the charts below. This fosters a culture that is global in outlook, yet local in practice. With nearly 200 nationalities represented in SLB, and nine nationalities among our ten-member executive leadership team,our organization is a tapestry of various cultural backgrounds and perspectives.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 xml:space="preserve">SLB also recognizes the importance of </w:t>
      </w:r>
      <w:r>
        <w:rPr>
          <w:rFonts w:ascii="Arial" w:cs="Arial" w:eastAsia="Arial" w:hAnsi="Arial"/>
          <w:sz w:val="16"/>
          <w:szCs w:val="16"/>
          <w:b w:val="1"/>
          <w:bCs w:val="1"/>
          <w:color w:val="0233A1"/>
        </w:rPr>
        <w:t>gender diversity</w:t>
      </w:r>
      <w:r>
        <w:rPr>
          <w:rFonts w:ascii="Arial" w:cs="Arial" w:eastAsia="Arial" w:hAnsi="Arial"/>
          <w:sz w:val="16"/>
          <w:szCs w:val="16"/>
          <w:color w:val="auto"/>
        </w:rPr>
        <w:t xml:space="preserve"> as a source of creativity, innovation, and competitive advantage. We are committed to leading our industry in this area and, in this regard, a number of years ago we established goals of having women represent 25% of our salaried workforce by 2025 and 30% by 2030. Our 2025 and 2030 targets include executive roles and all other salaried positions. Women represented 30% of our executive leadership team and 24.6% of our salaried workforce at year-end 2023.</w:t>
      </w:r>
    </w:p>
    <w:p>
      <w:pPr>
        <w:spacing w:after="0" w:line="15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6"/>
          <w:szCs w:val="16"/>
          <w:color w:val="auto"/>
        </w:rPr>
        <w:t xml:space="preserve">Finally, as SLB is a truly global company with a rich legacy of national and cultural diversity, it is important that we do not limit our definitions of </w:t>
      </w:r>
      <w:r>
        <w:rPr>
          <w:rFonts w:ascii="Arial" w:cs="Arial" w:eastAsia="Arial" w:hAnsi="Arial"/>
          <w:sz w:val="16"/>
          <w:szCs w:val="16"/>
          <w:b w:val="1"/>
          <w:bCs w:val="1"/>
          <w:color w:val="0233A1"/>
        </w:rPr>
        <w:t>racial</w:t>
      </w:r>
      <w:r>
        <w:rPr>
          <w:rFonts w:ascii="Arial" w:cs="Arial" w:eastAsia="Arial" w:hAnsi="Arial"/>
          <w:sz w:val="16"/>
          <w:szCs w:val="16"/>
          <w:color w:val="auto"/>
        </w:rPr>
        <w:t xml:space="preserve"> </w:t>
      </w:r>
      <w:r>
        <w:rPr>
          <w:rFonts w:ascii="Arial" w:cs="Arial" w:eastAsia="Arial" w:hAnsi="Arial"/>
          <w:sz w:val="16"/>
          <w:szCs w:val="16"/>
          <w:b w:val="1"/>
          <w:bCs w:val="1"/>
          <w:color w:val="0233A1"/>
        </w:rPr>
        <w:t xml:space="preserve">and ethnic diversity </w:t>
      </w:r>
      <w:r>
        <w:rPr>
          <w:rFonts w:ascii="Arial" w:cs="Arial" w:eastAsia="Arial" w:hAnsi="Arial"/>
          <w:sz w:val="16"/>
          <w:szCs w:val="16"/>
          <w:color w:val="000000"/>
        </w:rPr>
        <w:t>to the common classifications used in the United States. With respect to our U.S.-based employees and executives, our most recent</w:t>
      </w:r>
      <w:r>
        <w:rPr>
          <w:rFonts w:ascii="Arial" w:cs="Arial" w:eastAsia="Arial" w:hAnsi="Arial"/>
          <w:sz w:val="16"/>
          <w:szCs w:val="16"/>
          <w:b w:val="1"/>
          <w:bCs w:val="1"/>
          <w:color w:val="0233A1"/>
        </w:rPr>
        <w:t xml:space="preserve"> </w:t>
      </w:r>
      <w:r>
        <w:rPr>
          <w:rFonts w:ascii="Arial" w:cs="Arial" w:eastAsia="Arial" w:hAnsi="Arial"/>
          <w:sz w:val="16"/>
          <w:szCs w:val="16"/>
          <w:color w:val="000000"/>
        </w:rPr>
        <w:t xml:space="preserve">EEO-1 Report is available on SLB’s website at </w:t>
      </w:r>
      <w:r>
        <w:rPr>
          <w:rFonts w:ascii="Arial" w:cs="Arial" w:eastAsia="Arial" w:hAnsi="Arial"/>
          <w:sz w:val="16"/>
          <w:szCs w:val="16"/>
          <w:b w:val="1"/>
          <w:bCs w:val="1"/>
          <w:i w:val="1"/>
          <w:iCs w:val="1"/>
          <w:color w:val="000000"/>
        </w:rPr>
        <w:t>https://www.slb.com/about/who-we-are/diversity-and-inclusion</w:t>
      </w:r>
      <w:r>
        <w:rPr>
          <w:rFonts w:ascii="Arial" w:cs="Arial" w:eastAsia="Arial" w:hAnsi="Arial"/>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1830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183005"/>
                    </a:xfrm>
                    <a:prstGeom prst="rect">
                      <a:avLst/>
                    </a:prstGeom>
                    <a:noFill/>
                  </pic:spPr>
                </pic:pic>
              </a:graphicData>
            </a:graphic>
          </wp:anchor>
        </w:drawing>
      </w:r>
    </w:p>
    <w:p>
      <w:pPr>
        <w:spacing w:after="0" w:line="274" w:lineRule="exact"/>
        <w:rPr>
          <w:sz w:val="20"/>
          <w:szCs w:val="20"/>
          <w:color w:val="auto"/>
        </w:rPr>
      </w:pPr>
    </w:p>
    <w:p>
      <w:pPr>
        <w:ind w:left="180"/>
        <w:spacing w:after="0"/>
        <w:rPr>
          <w:sz w:val="20"/>
          <w:szCs w:val="20"/>
          <w:color w:val="auto"/>
        </w:rPr>
      </w:pPr>
      <w:r>
        <w:rPr>
          <w:rFonts w:ascii="Arial" w:cs="Arial" w:eastAsia="Arial" w:hAnsi="Arial"/>
          <w:sz w:val="32"/>
          <w:szCs w:val="32"/>
          <w:color w:val="FFFFFF"/>
        </w:rPr>
        <w:t xml:space="preserve">9 </w:t>
      </w:r>
      <w:r>
        <w:rPr>
          <w:rFonts w:ascii="Arial" w:cs="Arial" w:eastAsia="Arial" w:hAnsi="Arial"/>
          <w:sz w:val="16"/>
          <w:szCs w:val="16"/>
          <w:color w:val="FFFFFF"/>
        </w:rPr>
        <w:t>nationalities among executive leadership</w:t>
      </w:r>
    </w:p>
    <w:p>
      <w:pPr>
        <w:spacing w:after="0" w:line="199" w:lineRule="exact"/>
        <w:rPr>
          <w:sz w:val="20"/>
          <w:szCs w:val="20"/>
          <w:color w:val="auto"/>
        </w:rPr>
      </w:pPr>
    </w:p>
    <w:p>
      <w:pPr>
        <w:ind w:left="180"/>
        <w:spacing w:after="0"/>
        <w:rPr>
          <w:sz w:val="20"/>
          <w:szCs w:val="20"/>
          <w:color w:val="auto"/>
        </w:rPr>
      </w:pPr>
      <w:r>
        <w:rPr>
          <w:rFonts w:ascii="Arial" w:cs="Arial" w:eastAsia="Arial" w:hAnsi="Arial"/>
          <w:sz w:val="32"/>
          <w:szCs w:val="32"/>
          <w:color w:val="FFFFFF"/>
        </w:rPr>
        <w:t xml:space="preserve">30% </w:t>
      </w:r>
      <w:r>
        <w:rPr>
          <w:rFonts w:ascii="Arial" w:cs="Arial" w:eastAsia="Arial" w:hAnsi="Arial"/>
          <w:sz w:val="16"/>
          <w:szCs w:val="16"/>
          <w:color w:val="FFFFFF"/>
        </w:rPr>
        <w:t>women on SLB executive leadership team</w:t>
      </w:r>
    </w:p>
    <w:p>
      <w:pPr>
        <w:spacing w:after="0" w:line="199" w:lineRule="exact"/>
        <w:rPr>
          <w:sz w:val="20"/>
          <w:szCs w:val="20"/>
          <w:color w:val="auto"/>
        </w:rPr>
      </w:pPr>
    </w:p>
    <w:p>
      <w:pPr>
        <w:ind w:left="180"/>
        <w:spacing w:after="0"/>
        <w:rPr>
          <w:sz w:val="20"/>
          <w:szCs w:val="20"/>
          <w:color w:val="auto"/>
        </w:rPr>
      </w:pPr>
      <w:r>
        <w:rPr>
          <w:rFonts w:ascii="Arial" w:cs="Arial" w:eastAsia="Arial" w:hAnsi="Arial"/>
          <w:sz w:val="32"/>
          <w:szCs w:val="32"/>
          <w:color w:val="FFFFFF"/>
        </w:rPr>
        <w:t xml:space="preserve">40% </w:t>
      </w:r>
      <w:r>
        <w:rPr>
          <w:rFonts w:ascii="Arial" w:cs="Arial" w:eastAsia="Arial" w:hAnsi="Arial"/>
          <w:sz w:val="16"/>
          <w:szCs w:val="16"/>
          <w:color w:val="FFFFFF"/>
        </w:rPr>
        <w:t>of Board committees chaired by female directors</w:t>
      </w:r>
    </w:p>
    <w:p>
      <w:pPr>
        <w:spacing w:after="0" w:line="396" w:lineRule="exact"/>
        <w:rPr>
          <w:sz w:val="20"/>
          <w:szCs w:val="20"/>
          <w:color w:val="auto"/>
        </w:rPr>
      </w:pPr>
    </w:p>
    <w:p>
      <w:pPr>
        <w:jc w:val="both"/>
        <w:spacing w:after="0" w:line="261" w:lineRule="auto"/>
        <w:rPr>
          <w:sz w:val="20"/>
          <w:szCs w:val="20"/>
          <w:color w:val="auto"/>
        </w:rPr>
      </w:pPr>
      <w:r>
        <w:rPr>
          <w:rFonts w:ascii="Arial" w:cs="Arial" w:eastAsia="Arial" w:hAnsi="Arial"/>
          <w:sz w:val="14"/>
          <w:szCs w:val="14"/>
          <w:i w:val="1"/>
          <w:iCs w:val="1"/>
          <w:color w:val="auto"/>
        </w:rPr>
        <w:t>SLB does not make employment decisions, including decisions regarding hiring, promotion and compensation, on the basis of any legally protected characteristic, including nationality, race, or gender, but is focused on making opportunities to excel accessible to all. We implement this goal by adhering to employment laws in each of the countries in which we operate.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471170" cy="2825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71170" cy="282575"/>
                    </a:xfrm>
                    <a:prstGeom prst="rect">
                      <a:avLst/>
                    </a:prstGeom>
                    <a:noFill/>
                  </pic:spPr>
                </pic:pic>
              </a:graphicData>
            </a:graphic>
          </wp:anchor>
        </w:drawing>
      </w:r>
    </w:p>
    <w:p>
      <w:pPr>
        <w:spacing w:after="0" w:line="339" w:lineRule="exact"/>
        <w:rPr>
          <w:sz w:val="20"/>
          <w:szCs w:val="20"/>
          <w:color w:val="auto"/>
        </w:rPr>
      </w:pPr>
    </w:p>
    <w:p>
      <w:pPr>
        <w:jc w:val="both"/>
        <w:ind w:left="5540"/>
        <w:spacing w:after="0"/>
        <w:tabs>
          <w:tab w:leader="none" w:pos="9540" w:val="left"/>
        </w:tabs>
        <w:rPr>
          <w:sz w:val="20"/>
          <w:szCs w:val="20"/>
          <w:color w:val="auto"/>
        </w:rPr>
      </w:pPr>
      <w:r>
        <w:rPr>
          <w:rFonts w:ascii="Arial" w:cs="Arial" w:eastAsia="Arial" w:hAnsi="Arial"/>
          <w:sz w:val="16"/>
          <w:szCs w:val="16"/>
          <w:b w:val="1"/>
          <w:bCs w:val="1"/>
          <w:color w:val="auto"/>
        </w:rPr>
        <w:t>10</w:t>
      </w:r>
      <w:r>
        <w:rPr>
          <w:sz w:val="20"/>
          <w:szCs w:val="20"/>
          <w:color w:val="auto"/>
        </w:rPr>
        <w:tab/>
      </w:r>
      <w:r>
        <w:rPr>
          <w:rFonts w:ascii="Arial" w:cs="Arial" w:eastAsia="Arial" w:hAnsi="Arial"/>
          <w:sz w:val="16"/>
          <w:szCs w:val="16"/>
          <w:b w:val="1"/>
          <w:bCs w:val="1"/>
          <w:color w:val="636466"/>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-29845</wp:posOffset>
            </wp:positionV>
            <wp:extent cx="54178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color w:val="16458B"/>
        </w:rPr>
        <w:t>Board Diversity</w:t>
      </w:r>
    </w:p>
    <w:p>
      <w:pPr>
        <w:spacing w:after="0" w:line="3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6"/>
          <w:szCs w:val="16"/>
          <w:color w:val="auto"/>
        </w:rPr>
        <w:t>A key component to the Board’s effective governance is its commitment to provide oversight and perspectives reflecting a diversity of independent views.</w:t>
      </w:r>
    </w:p>
    <w:p>
      <w:pPr>
        <w:spacing w:after="0" w:line="365" w:lineRule="exact"/>
        <w:rPr>
          <w:sz w:val="20"/>
          <w:szCs w:val="20"/>
          <w:color w:val="auto"/>
        </w:rPr>
      </w:pPr>
    </w:p>
    <w:p>
      <w:pPr>
        <w:jc w:val="both"/>
        <w:ind w:right="20" w:firstLine="324"/>
        <w:spacing w:after="0" w:line="266" w:lineRule="auto"/>
        <w:rPr>
          <w:sz w:val="20"/>
          <w:szCs w:val="20"/>
          <w:color w:val="auto"/>
        </w:rPr>
      </w:pPr>
      <w:r>
        <w:rPr>
          <w:rFonts w:ascii="Arial" w:cs="Arial" w:eastAsia="Arial" w:hAnsi="Arial"/>
          <w:sz w:val="16"/>
          <w:szCs w:val="16"/>
          <w:color w:val="auto"/>
        </w:rPr>
        <w:t xml:space="preserve">The members of SLB’s diverse Board represent </w:t>
      </w:r>
      <w:r>
        <w:rPr>
          <w:rFonts w:ascii="Arial" w:cs="Arial" w:eastAsia="Arial" w:hAnsi="Arial"/>
          <w:sz w:val="16"/>
          <w:szCs w:val="16"/>
          <w:b w:val="1"/>
          <w:bCs w:val="1"/>
          <w:color w:val="0233A1"/>
        </w:rPr>
        <w:t>ten nationalities spanning five continents.</w:t>
      </w:r>
      <w:r>
        <w:rPr>
          <w:rFonts w:ascii="Arial" w:cs="Arial" w:eastAsia="Arial" w:hAnsi="Arial"/>
          <w:sz w:val="16"/>
          <w:szCs w:val="16"/>
          <w:color w:val="auto"/>
        </w:rPr>
        <w:t xml:space="preserve"> Three SLB directors are women—two of whom hold Board leadership positions chairing its Nominating and Governance and New Energy and Innovation committees. Our directors have an average age of 60 and have served on our Board for an average of four years.</w:t>
      </w:r>
    </w:p>
    <w:p>
      <w:pPr>
        <w:spacing w:after="0" w:line="144"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The Nominating and Governance Committee supports SLB’s diversity ambition for its Board to reflect the gender, racial, and ethnic, cultural and geographical diversity of SLB’s global operations. As such, the Board seeks out women and nationally, racially, and ethnically diverse candidates to include in the pool of qualified candidates from which potential director nominees are chosen.</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chart summarizes certain demographic characteristics of our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660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FFFFFF"/>
        </w:rPr>
        <w:t>Nationality</w:t>
      </w:r>
    </w:p>
    <w:p>
      <w:pPr>
        <w:spacing w:after="0" w:line="59" w:lineRule="exact"/>
        <w:rPr>
          <w:sz w:val="20"/>
          <w:szCs w:val="20"/>
          <w:color w:val="auto"/>
        </w:rPr>
      </w:pPr>
    </w:p>
    <w:p>
      <w:pPr>
        <w:ind w:left="60"/>
        <w:spacing w:after="0"/>
        <w:rPr>
          <w:sz w:val="20"/>
          <w:szCs w:val="20"/>
          <w:color w:val="auto"/>
        </w:rPr>
      </w:pPr>
      <w:r>
        <w:rPr>
          <w:rFonts w:ascii="Arial" w:cs="Arial" w:eastAsia="Arial" w:hAnsi="Arial"/>
          <w:sz w:val="16"/>
          <w:szCs w:val="16"/>
          <w:color w:val="auto"/>
        </w:rPr>
        <w:t>Argentina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-107315</wp:posOffset>
            </wp:positionV>
            <wp:extent cx="128905" cy="1289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Australia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-107315</wp:posOffset>
            </wp:positionV>
            <wp:extent cx="128905" cy="128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-107315</wp:posOffset>
            </wp:positionV>
            <wp:extent cx="128905" cy="1289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-107315</wp:posOffset>
            </wp:positionV>
            <wp:extent cx="128905" cy="1289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6819900</wp:posOffset>
            </wp:positionH>
            <wp:positionV relativeFrom="paragraph">
              <wp:posOffset>-107315</wp:posOffset>
            </wp:positionV>
            <wp:extent cx="128905" cy="1289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-107315</wp:posOffset>
            </wp:positionV>
            <wp:extent cx="128905" cy="1289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Norway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-107315</wp:posOffset>
            </wp:positionV>
            <wp:extent cx="128905" cy="1289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Russia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-107315</wp:posOffset>
            </wp:positionV>
            <wp:extent cx="128905" cy="1289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Switzerland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-107315</wp:posOffset>
            </wp:positionV>
            <wp:extent cx="128905" cy="1289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6819900</wp:posOffset>
            </wp:positionH>
            <wp:positionV relativeFrom="paragraph">
              <wp:posOffset>-107315</wp:posOffset>
            </wp:positionV>
            <wp:extent cx="128905" cy="1289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-107315</wp:posOffset>
            </wp:positionV>
            <wp:extent cx="128905" cy="1289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3003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53"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FFFFFF"/>
        </w:rPr>
        <w:t>Racial and Ethnicity Characteristics for U.S.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East Asian or South Asian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-107315</wp:posOffset>
            </wp:positionV>
            <wp:extent cx="128905" cy="1289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White or Caucasian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-107315</wp:posOffset>
            </wp:positionV>
            <wp:extent cx="128905" cy="1289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Declined to Respond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3086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FFFFFF"/>
        </w:rPr>
        <w:t>Non-U.S. Directors Electing to Self-Identify Racial or Ethnicity Characteristics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Two or More Ethnicities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-107315</wp:posOffset>
            </wp:positionV>
            <wp:extent cx="128905" cy="1289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White or Caucasian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3003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53"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FFFFFF"/>
        </w:rPr>
        <w:t>Other Demographic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7" w:lineRule="exact"/>
        <w:rPr>
          <w:sz w:val="20"/>
          <w:szCs w:val="20"/>
          <w:color w:val="auto"/>
        </w:rPr>
      </w:pPr>
    </w:p>
    <w:p>
      <w:pPr>
        <w:ind w:left="60"/>
        <w:spacing w:after="0"/>
        <w:rPr>
          <w:sz w:val="20"/>
          <w:szCs w:val="20"/>
          <w:color w:val="auto"/>
        </w:rPr>
      </w:pPr>
      <w:r>
        <w:rPr>
          <w:rFonts w:ascii="Arial" w:cs="Arial" w:eastAsia="Arial" w:hAnsi="Arial"/>
          <w:sz w:val="16"/>
          <w:szCs w:val="16"/>
          <w:color w:val="auto"/>
        </w:rPr>
        <w:t>Gender</w:t>
      </w:r>
    </w:p>
    <w:tbl>
      <w:tblPr>
        <w:tblLayout w:type="fixed"/>
        <w:tblInd w:w="0" w:type="dxa"/>
        <w:tblCellMar>
          <w:top w:w="0" w:type="dxa"/>
          <w:left w:w="0" w:type="dxa"/>
          <w:bottom w:w="0" w:type="dxa"/>
          <w:right w:w="0" w:type="dxa"/>
        </w:tblCellMar>
      </w:tblPr>
      <w:tr>
        <w:trPr>
          <w:trHeight w:val="180"/>
        </w:trPr>
        <w:tc>
          <w:tcPr>
            <w:tcW w:w="3200" w:type="dxa"/>
            <w:vAlign w:val="bottom"/>
          </w:tcPr>
          <w:p>
            <w:pPr>
              <w:ind w:left="60"/>
              <w:spacing w:after="0"/>
              <w:rPr>
                <w:sz w:val="20"/>
                <w:szCs w:val="20"/>
                <w:color w:val="auto"/>
              </w:rPr>
            </w:pPr>
            <w:r>
              <w:rPr>
                <w:rFonts w:ascii="Arial" w:cs="Arial" w:eastAsia="Arial" w:hAnsi="Arial"/>
                <w:sz w:val="14"/>
                <w:szCs w:val="14"/>
                <w:i w:val="1"/>
                <w:iCs w:val="1"/>
                <w:color w:val="auto"/>
              </w:rPr>
              <w:t>(M – Male, F – Female, or DR – Declined to</w:t>
            </w:r>
          </w:p>
        </w:tc>
        <w:tc>
          <w:tcPr>
            <w:tcW w:w="860" w:type="dxa"/>
            <w:vAlign w:val="bottom"/>
          </w:tcPr>
          <w:p>
            <w:pPr>
              <w:ind w:left="380"/>
              <w:spacing w:after="0" w:line="180" w:lineRule="exact"/>
              <w:rPr>
                <w:sz w:val="20"/>
                <w:szCs w:val="20"/>
                <w:color w:val="auto"/>
              </w:rPr>
            </w:pPr>
            <w:r>
              <w:rPr>
                <w:rFonts w:ascii="Arial" w:cs="Arial" w:eastAsia="Arial" w:hAnsi="Arial"/>
                <w:sz w:val="16"/>
                <w:szCs w:val="16"/>
                <w:b w:val="1"/>
                <w:bCs w:val="1"/>
                <w:color w:val="auto"/>
              </w:rPr>
              <w:t>M</w:t>
            </w:r>
          </w:p>
        </w:tc>
        <w:tc>
          <w:tcPr>
            <w:tcW w:w="840" w:type="dxa"/>
            <w:vAlign w:val="bottom"/>
          </w:tcPr>
          <w:p>
            <w:pPr>
              <w:ind w:left="360"/>
              <w:spacing w:after="0" w:line="180" w:lineRule="exact"/>
              <w:rPr>
                <w:sz w:val="20"/>
                <w:szCs w:val="20"/>
                <w:color w:val="auto"/>
              </w:rPr>
            </w:pPr>
            <w:r>
              <w:rPr>
                <w:rFonts w:ascii="Arial" w:cs="Arial" w:eastAsia="Arial" w:hAnsi="Arial"/>
                <w:sz w:val="16"/>
                <w:szCs w:val="16"/>
                <w:b w:val="1"/>
                <w:bCs w:val="1"/>
                <w:color w:val="auto"/>
              </w:rPr>
              <w:t>M</w:t>
            </w:r>
          </w:p>
        </w:tc>
        <w:tc>
          <w:tcPr>
            <w:tcW w:w="740" w:type="dxa"/>
            <w:vAlign w:val="bottom"/>
          </w:tcPr>
          <w:p>
            <w:pPr>
              <w:ind w:left="360"/>
              <w:spacing w:after="0" w:line="180" w:lineRule="exact"/>
              <w:rPr>
                <w:sz w:val="20"/>
                <w:szCs w:val="20"/>
                <w:color w:val="auto"/>
              </w:rPr>
            </w:pPr>
            <w:r>
              <w:rPr>
                <w:rFonts w:ascii="Arial" w:cs="Arial" w:eastAsia="Arial" w:hAnsi="Arial"/>
                <w:sz w:val="16"/>
                <w:szCs w:val="16"/>
                <w:b w:val="1"/>
                <w:bCs w:val="1"/>
                <w:color w:val="auto"/>
              </w:rPr>
              <w:t>M</w:t>
            </w:r>
          </w:p>
        </w:tc>
        <w:tc>
          <w:tcPr>
            <w:tcW w:w="680" w:type="dxa"/>
            <w:vAlign w:val="bottom"/>
          </w:tcPr>
          <w:p>
            <w:pPr>
              <w:ind w:left="220"/>
              <w:spacing w:after="0" w:line="180" w:lineRule="exact"/>
              <w:rPr>
                <w:sz w:val="20"/>
                <w:szCs w:val="20"/>
                <w:color w:val="auto"/>
              </w:rPr>
            </w:pPr>
            <w:r>
              <w:rPr>
                <w:rFonts w:ascii="Arial" w:cs="Arial" w:eastAsia="Arial" w:hAnsi="Arial"/>
                <w:sz w:val="16"/>
                <w:szCs w:val="16"/>
                <w:b w:val="1"/>
                <w:bCs w:val="1"/>
                <w:color w:val="auto"/>
              </w:rPr>
              <w:t>DR</w:t>
            </w:r>
          </w:p>
        </w:tc>
        <w:tc>
          <w:tcPr>
            <w:tcW w:w="660" w:type="dxa"/>
            <w:vAlign w:val="bottom"/>
          </w:tcPr>
          <w:p>
            <w:pPr>
              <w:ind w:left="260"/>
              <w:spacing w:after="0" w:line="180" w:lineRule="exact"/>
              <w:rPr>
                <w:sz w:val="20"/>
                <w:szCs w:val="20"/>
                <w:color w:val="auto"/>
              </w:rPr>
            </w:pPr>
            <w:r>
              <w:rPr>
                <w:rFonts w:ascii="Arial" w:cs="Arial" w:eastAsia="Arial" w:hAnsi="Arial"/>
                <w:sz w:val="16"/>
                <w:szCs w:val="16"/>
                <w:b w:val="1"/>
                <w:bCs w:val="1"/>
                <w:color w:val="auto"/>
              </w:rPr>
              <w:t>M</w:t>
            </w:r>
          </w:p>
        </w:tc>
        <w:tc>
          <w:tcPr>
            <w:tcW w:w="700" w:type="dxa"/>
            <w:vAlign w:val="bottom"/>
          </w:tcPr>
          <w:p>
            <w:pPr>
              <w:ind w:left="240"/>
              <w:spacing w:after="0" w:line="180" w:lineRule="exact"/>
              <w:rPr>
                <w:sz w:val="20"/>
                <w:szCs w:val="20"/>
                <w:color w:val="auto"/>
              </w:rPr>
            </w:pPr>
            <w:r>
              <w:rPr>
                <w:rFonts w:ascii="Arial" w:cs="Arial" w:eastAsia="Arial" w:hAnsi="Arial"/>
                <w:sz w:val="16"/>
                <w:szCs w:val="16"/>
                <w:b w:val="1"/>
                <w:bCs w:val="1"/>
                <w:color w:val="auto"/>
              </w:rPr>
              <w:t>DR</w:t>
            </w:r>
          </w:p>
        </w:tc>
        <w:tc>
          <w:tcPr>
            <w:tcW w:w="64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rPr>
              <w:t>F</w:t>
            </w:r>
          </w:p>
        </w:tc>
        <w:tc>
          <w:tcPr>
            <w:tcW w:w="76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rPr>
              <w:t>F</w:t>
            </w:r>
          </w:p>
        </w:tc>
        <w:tc>
          <w:tcPr>
            <w:tcW w:w="74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rPr>
              <w:t>F</w:t>
            </w:r>
          </w:p>
        </w:tc>
        <w:tc>
          <w:tcPr>
            <w:tcW w:w="680" w:type="dxa"/>
            <w:vAlign w:val="bottom"/>
          </w:tcPr>
          <w:p>
            <w:pPr>
              <w:ind w:left="260"/>
              <w:spacing w:after="0" w:line="180" w:lineRule="exact"/>
              <w:rPr>
                <w:sz w:val="20"/>
                <w:szCs w:val="20"/>
                <w:color w:val="auto"/>
              </w:rPr>
            </w:pPr>
            <w:r>
              <w:rPr>
                <w:rFonts w:ascii="Arial" w:cs="Arial" w:eastAsia="Arial" w:hAnsi="Arial"/>
                <w:sz w:val="16"/>
                <w:szCs w:val="16"/>
                <w:b w:val="1"/>
                <w:bCs w:val="1"/>
                <w:color w:val="auto"/>
              </w:rPr>
              <w:t>M</w:t>
            </w:r>
          </w:p>
        </w:tc>
        <w:tc>
          <w:tcPr>
            <w:tcW w:w="740" w:type="dxa"/>
            <w:vAlign w:val="bottom"/>
          </w:tcPr>
          <w:p>
            <w:pPr>
              <w:ind w:left="260"/>
              <w:spacing w:after="0" w:line="180" w:lineRule="exact"/>
              <w:rPr>
                <w:sz w:val="20"/>
                <w:szCs w:val="20"/>
                <w:color w:val="auto"/>
              </w:rPr>
            </w:pPr>
            <w:r>
              <w:rPr>
                <w:rFonts w:ascii="Arial" w:cs="Arial" w:eastAsia="Arial" w:hAnsi="Arial"/>
                <w:sz w:val="16"/>
                <w:szCs w:val="16"/>
                <w:b w:val="1"/>
                <w:bCs w:val="1"/>
                <w:color w:val="auto"/>
              </w:rPr>
              <w:t>M</w:t>
            </w:r>
          </w:p>
        </w:tc>
      </w:tr>
      <w:tr>
        <w:trPr>
          <w:trHeight w:val="188"/>
        </w:trPr>
        <w:tc>
          <w:tcPr>
            <w:tcW w:w="3200" w:type="dxa"/>
            <w:vAlign w:val="bottom"/>
          </w:tcPr>
          <w:p>
            <w:pPr>
              <w:ind w:left="60"/>
              <w:spacing w:after="0"/>
              <w:rPr>
                <w:sz w:val="20"/>
                <w:szCs w:val="20"/>
                <w:color w:val="auto"/>
              </w:rPr>
            </w:pPr>
            <w:r>
              <w:rPr>
                <w:rFonts w:ascii="Arial" w:cs="Arial" w:eastAsia="Arial" w:hAnsi="Arial"/>
                <w:sz w:val="14"/>
                <w:szCs w:val="14"/>
                <w:i w:val="1"/>
                <w:iCs w:val="1"/>
                <w:color w:val="auto"/>
              </w:rPr>
              <w:t>Respond)</w:t>
            </w: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72"/>
        </w:trPr>
        <w:tc>
          <w:tcPr>
            <w:tcW w:w="3200" w:type="dxa"/>
            <w:vAlign w:val="bottom"/>
            <w:tcBorders>
              <w:bottom w:val="single" w:sz="8" w:color="0233A1"/>
            </w:tcBorders>
          </w:tcPr>
          <w:p>
            <w:pPr>
              <w:ind w:left="60"/>
              <w:spacing w:after="0"/>
              <w:rPr>
                <w:sz w:val="20"/>
                <w:szCs w:val="20"/>
                <w:color w:val="auto"/>
              </w:rPr>
            </w:pPr>
            <w:r>
              <w:rPr>
                <w:rFonts w:ascii="Arial" w:cs="Arial" w:eastAsia="Arial" w:hAnsi="Arial"/>
                <w:sz w:val="16"/>
                <w:szCs w:val="16"/>
                <w:color w:val="auto"/>
              </w:rPr>
              <w:t>Age</w:t>
            </w:r>
          </w:p>
        </w:tc>
        <w:tc>
          <w:tcPr>
            <w:tcW w:w="860" w:type="dxa"/>
            <w:vAlign w:val="bottom"/>
            <w:tcBorders>
              <w:bottom w:val="single" w:sz="8" w:color="0233A1"/>
            </w:tcBorders>
          </w:tcPr>
          <w:p>
            <w:pPr>
              <w:ind w:left="360"/>
              <w:spacing w:after="0"/>
              <w:rPr>
                <w:sz w:val="20"/>
                <w:szCs w:val="20"/>
                <w:color w:val="auto"/>
              </w:rPr>
            </w:pPr>
            <w:r>
              <w:rPr>
                <w:rFonts w:ascii="Arial" w:cs="Arial" w:eastAsia="Arial" w:hAnsi="Arial"/>
                <w:sz w:val="16"/>
                <w:szCs w:val="16"/>
                <w:color w:val="auto"/>
              </w:rPr>
              <w:t>63</w:t>
            </w:r>
          </w:p>
        </w:tc>
        <w:tc>
          <w:tcPr>
            <w:tcW w:w="840" w:type="dxa"/>
            <w:vAlign w:val="bottom"/>
            <w:tcBorders>
              <w:bottom w:val="single" w:sz="8" w:color="0233A1"/>
            </w:tcBorders>
          </w:tcPr>
          <w:p>
            <w:pPr>
              <w:ind w:left="340"/>
              <w:spacing w:after="0"/>
              <w:rPr>
                <w:sz w:val="20"/>
                <w:szCs w:val="20"/>
                <w:color w:val="auto"/>
              </w:rPr>
            </w:pPr>
            <w:r>
              <w:rPr>
                <w:rFonts w:ascii="Arial" w:cs="Arial" w:eastAsia="Arial" w:hAnsi="Arial"/>
                <w:sz w:val="16"/>
                <w:szCs w:val="16"/>
                <w:color w:val="auto"/>
              </w:rPr>
              <w:t>66</w:t>
            </w:r>
          </w:p>
        </w:tc>
        <w:tc>
          <w:tcPr>
            <w:tcW w:w="740" w:type="dxa"/>
            <w:vAlign w:val="bottom"/>
            <w:tcBorders>
              <w:bottom w:val="single" w:sz="8" w:color="0233A1"/>
            </w:tcBorders>
          </w:tcPr>
          <w:p>
            <w:pPr>
              <w:ind w:left="340"/>
              <w:spacing w:after="0"/>
              <w:rPr>
                <w:sz w:val="20"/>
                <w:szCs w:val="20"/>
                <w:color w:val="auto"/>
              </w:rPr>
            </w:pPr>
            <w:r>
              <w:rPr>
                <w:rFonts w:ascii="Arial" w:cs="Arial" w:eastAsia="Arial" w:hAnsi="Arial"/>
                <w:sz w:val="16"/>
                <w:szCs w:val="16"/>
                <w:color w:val="auto"/>
              </w:rPr>
              <w:t>55</w:t>
            </w:r>
          </w:p>
        </w:tc>
        <w:tc>
          <w:tcPr>
            <w:tcW w:w="680" w:type="dxa"/>
            <w:vAlign w:val="bottom"/>
            <w:tcBorders>
              <w:bottom w:val="single" w:sz="8" w:color="0233A1"/>
            </w:tcBorders>
          </w:tcPr>
          <w:p>
            <w:pPr>
              <w:ind w:left="240"/>
              <w:spacing w:after="0"/>
              <w:rPr>
                <w:sz w:val="20"/>
                <w:szCs w:val="20"/>
                <w:color w:val="auto"/>
              </w:rPr>
            </w:pPr>
            <w:r>
              <w:rPr>
                <w:rFonts w:ascii="Arial" w:cs="Arial" w:eastAsia="Arial" w:hAnsi="Arial"/>
                <w:sz w:val="16"/>
                <w:szCs w:val="16"/>
                <w:color w:val="auto"/>
              </w:rPr>
              <w:t>70</w:t>
            </w:r>
          </w:p>
        </w:tc>
        <w:tc>
          <w:tcPr>
            <w:tcW w:w="660" w:type="dxa"/>
            <w:vAlign w:val="bottom"/>
            <w:tcBorders>
              <w:bottom w:val="single" w:sz="8" w:color="0233A1"/>
            </w:tcBorders>
          </w:tcPr>
          <w:p>
            <w:pPr>
              <w:ind w:left="240"/>
              <w:spacing w:after="0"/>
              <w:rPr>
                <w:sz w:val="20"/>
                <w:szCs w:val="20"/>
                <w:color w:val="auto"/>
              </w:rPr>
            </w:pPr>
            <w:r>
              <w:rPr>
                <w:rFonts w:ascii="Arial" w:cs="Arial" w:eastAsia="Arial" w:hAnsi="Arial"/>
                <w:sz w:val="16"/>
                <w:szCs w:val="16"/>
                <w:color w:val="auto"/>
              </w:rPr>
              <w:t>60</w:t>
            </w:r>
          </w:p>
        </w:tc>
        <w:tc>
          <w:tcPr>
            <w:tcW w:w="700" w:type="dxa"/>
            <w:vAlign w:val="bottom"/>
            <w:tcBorders>
              <w:bottom w:val="single" w:sz="8" w:color="0233A1"/>
            </w:tcBorders>
          </w:tcPr>
          <w:p>
            <w:pPr>
              <w:ind w:left="280"/>
              <w:spacing w:after="0"/>
              <w:rPr>
                <w:sz w:val="20"/>
                <w:szCs w:val="20"/>
                <w:color w:val="auto"/>
              </w:rPr>
            </w:pPr>
            <w:r>
              <w:rPr>
                <w:rFonts w:ascii="Arial" w:cs="Arial" w:eastAsia="Arial" w:hAnsi="Arial"/>
                <w:sz w:val="16"/>
                <w:szCs w:val="16"/>
                <w:color w:val="auto"/>
              </w:rPr>
              <w:t>53</w:t>
            </w:r>
          </w:p>
        </w:tc>
        <w:tc>
          <w:tcPr>
            <w:tcW w:w="640" w:type="dxa"/>
            <w:vAlign w:val="bottom"/>
            <w:tcBorders>
              <w:bottom w:val="single" w:sz="8" w:color="0233A1"/>
            </w:tcBorders>
          </w:tcPr>
          <w:p>
            <w:pPr>
              <w:jc w:val="right"/>
              <w:ind w:right="179"/>
              <w:spacing w:after="0"/>
              <w:rPr>
                <w:sz w:val="20"/>
                <w:szCs w:val="20"/>
                <w:color w:val="auto"/>
              </w:rPr>
            </w:pPr>
            <w:r>
              <w:rPr>
                <w:rFonts w:ascii="Arial" w:cs="Arial" w:eastAsia="Arial" w:hAnsi="Arial"/>
                <w:sz w:val="16"/>
                <w:szCs w:val="16"/>
                <w:color w:val="auto"/>
              </w:rPr>
              <w:t>49</w:t>
            </w:r>
          </w:p>
        </w:tc>
        <w:tc>
          <w:tcPr>
            <w:tcW w:w="760" w:type="dxa"/>
            <w:vAlign w:val="bottom"/>
            <w:tcBorders>
              <w:bottom w:val="single" w:sz="8" w:color="0233A1"/>
            </w:tcBorders>
          </w:tcPr>
          <w:p>
            <w:pPr>
              <w:jc w:val="right"/>
              <w:ind w:right="219"/>
              <w:spacing w:after="0"/>
              <w:rPr>
                <w:sz w:val="20"/>
                <w:szCs w:val="20"/>
                <w:color w:val="auto"/>
              </w:rPr>
            </w:pPr>
            <w:r>
              <w:rPr>
                <w:rFonts w:ascii="Arial" w:cs="Arial" w:eastAsia="Arial" w:hAnsi="Arial"/>
                <w:sz w:val="16"/>
                <w:szCs w:val="16"/>
                <w:color w:val="auto"/>
              </w:rPr>
              <w:t>59</w:t>
            </w:r>
          </w:p>
        </w:tc>
        <w:tc>
          <w:tcPr>
            <w:tcW w:w="740" w:type="dxa"/>
            <w:vAlign w:val="bottom"/>
            <w:tcBorders>
              <w:bottom w:val="single" w:sz="8" w:color="0233A1"/>
            </w:tcBorders>
          </w:tcPr>
          <w:p>
            <w:pPr>
              <w:jc w:val="right"/>
              <w:ind w:right="179"/>
              <w:spacing w:after="0"/>
              <w:rPr>
                <w:sz w:val="20"/>
                <w:szCs w:val="20"/>
                <w:color w:val="auto"/>
              </w:rPr>
            </w:pPr>
            <w:r>
              <w:rPr>
                <w:rFonts w:ascii="Arial" w:cs="Arial" w:eastAsia="Arial" w:hAnsi="Arial"/>
                <w:sz w:val="16"/>
                <w:szCs w:val="16"/>
                <w:color w:val="auto"/>
              </w:rPr>
              <w:t>64</w:t>
            </w:r>
          </w:p>
        </w:tc>
        <w:tc>
          <w:tcPr>
            <w:tcW w:w="680" w:type="dxa"/>
            <w:vAlign w:val="bottom"/>
            <w:tcBorders>
              <w:bottom w:val="single" w:sz="8" w:color="0233A1"/>
            </w:tcBorders>
          </w:tcPr>
          <w:p>
            <w:pPr>
              <w:ind w:left="240"/>
              <w:spacing w:after="0"/>
              <w:rPr>
                <w:sz w:val="20"/>
                <w:szCs w:val="20"/>
                <w:color w:val="auto"/>
              </w:rPr>
            </w:pPr>
            <w:r>
              <w:rPr>
                <w:rFonts w:ascii="Arial" w:cs="Arial" w:eastAsia="Arial" w:hAnsi="Arial"/>
                <w:sz w:val="16"/>
                <w:szCs w:val="16"/>
                <w:color w:val="auto"/>
              </w:rPr>
              <w:t>66</w:t>
            </w:r>
          </w:p>
        </w:tc>
        <w:tc>
          <w:tcPr>
            <w:tcW w:w="740" w:type="dxa"/>
            <w:vAlign w:val="bottom"/>
            <w:tcBorders>
              <w:bottom w:val="single" w:sz="8" w:color="0233A1"/>
            </w:tcBorders>
          </w:tcPr>
          <w:p>
            <w:pPr>
              <w:ind w:left="240"/>
              <w:spacing w:after="0"/>
              <w:rPr>
                <w:sz w:val="20"/>
                <w:szCs w:val="20"/>
                <w:color w:val="auto"/>
              </w:rPr>
            </w:pPr>
            <w:r>
              <w:rPr>
                <w:rFonts w:ascii="Arial" w:cs="Arial" w:eastAsia="Arial" w:hAnsi="Arial"/>
                <w:sz w:val="16"/>
                <w:szCs w:val="16"/>
                <w:color w:val="auto"/>
              </w:rPr>
              <w:t>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Given SLB’s multinational footprint and culture, we endeavor to have a global perspective on diversity. This perspective includes respecting local legal requirements regarding the tracking and use of personal data pertaining to under-represented populations. Certain countries have data privacy laws prohibiting the collection or disclosure of race and ethnicity classification data, reflecting historical concerns that such data could be used to foster, rather than eliminate, discrimination. In addition, local definitions of race and ethnicity and related classifications, as well as the definition of under-represented groups, vary from country to country.</w:t>
      </w:r>
    </w:p>
    <w:p>
      <w:pPr>
        <w:spacing w:after="0" w:line="15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As a result, U.S.-centric racial and ethnic classifications as used for EEO-1 data collection purposes are applicable only to our three directors who are U.S. citizens. For our U.S. directors, the chart above includes race and ethnicity disclosures based on classifications commonly used in the United States. For all other directors, we asked if they wished to voluntarily disclose their ethnic or racial background and, if so, how they self-identify based on the classifications most relevant to their home countries. We provide self-identifications for non-U.S. directors in the chart above. In keeping with international data privacy laws, we have not included racial or ethnic information for director nominees who did not authorize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182880</wp:posOffset>
            </wp:positionV>
            <wp:extent cx="471805" cy="2825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2024 Proxy Statement</w:t>
            </w:r>
          </w:p>
        </w:tc>
        <w:tc>
          <w:tcPr>
            <w:tcW w:w="3600" w:type="dxa"/>
            <w:vAlign w:val="bottom"/>
            <w:tcBorders>
              <w:bottom w:val="single" w:sz="8" w:color="auto"/>
            </w:tcBorders>
          </w:tcPr>
          <w:p>
            <w:pPr>
              <w:spacing w:after="0"/>
              <w:rPr>
                <w:sz w:val="12"/>
                <w:szCs w:val="12"/>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11</w:t>
            </w:r>
          </w:p>
        </w:tc>
        <w:tc>
          <w:tcPr>
            <w:tcW w:w="4480" w:type="dxa"/>
            <w:vAlign w:val="bottom"/>
            <w:tcBorders>
              <w:bottom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36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48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7" w:lineRule="exact"/>
        <w:rPr>
          <w:sz w:val="20"/>
          <w:szCs w:val="20"/>
          <w:color w:val="auto"/>
        </w:rPr>
      </w:pPr>
    </w:p>
    <w:p>
      <w:pPr>
        <w:spacing w:after="0"/>
        <w:rPr>
          <w:sz w:val="20"/>
          <w:szCs w:val="20"/>
          <w:color w:val="auto"/>
        </w:rPr>
      </w:pPr>
      <w:r>
        <w:rPr>
          <w:rFonts w:ascii="Arial" w:cs="Arial" w:eastAsia="Arial" w:hAnsi="Arial"/>
          <w:sz w:val="50"/>
          <w:szCs w:val="50"/>
          <w:b w:val="1"/>
          <w:bCs w:val="1"/>
          <w:color w:val="0233A1"/>
        </w:rPr>
        <w:t xml:space="preserve">ITEM 1. </w:t>
      </w:r>
      <w:r>
        <w:rPr>
          <w:rFonts w:ascii="Arial" w:cs="Arial" w:eastAsia="Arial" w:hAnsi="Arial"/>
          <w:sz w:val="50"/>
          <w:szCs w:val="50"/>
          <w:color w:val="0233A1"/>
        </w:rPr>
        <w:t>Election of Directors</w:t>
      </w:r>
    </w:p>
    <w:p>
      <w:pPr>
        <w:spacing w:after="0" w:line="200" w:lineRule="exact"/>
        <w:rPr>
          <w:sz w:val="20"/>
          <w:szCs w:val="20"/>
          <w:color w:val="auto"/>
        </w:rPr>
      </w:pPr>
    </w:p>
    <w:p>
      <w:pPr>
        <w:spacing w:after="0" w:line="25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All of SLB’s directors are elected annually at our AGM. The Board recommends that you vote FOR the election of each of our 11 director nominees to serve until our 2025 AGM (or until their earlier death, resignation, or removal).</w:t>
      </w:r>
    </w:p>
    <w:p>
      <w:pPr>
        <w:spacing w:after="0" w:line="12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Each of our director nominees is currently an SLB director and was previously elected by our shareholders at our 2023 AGM, except for our Board’s independent Chair, Mr. Hackett, who joined the Board after the AGM. Mr. Hackett succeeded Mr. Mark Papa, who retired from the Board in July 2023. The Board extends thanks and gratitude to Mr. Papa for his exceptional leadership and five years of service as a director, including four years serving as Chairman of the Board. For more information about Mr. Hackett’s appointment and our 2023 Board Chair succession process, see “Corporate Governance— New Independent Chair” on page 19 of this proxy statement.</w:t>
      </w:r>
    </w:p>
    <w:p>
      <w:pPr>
        <w:spacing w:after="0" w:line="153"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If any director nominee is unable or unwilling to serve, the Board may decrease the size of the Board or designate a substitute nominee. If the Board designates a substitute nominee, proxies may be voted for that substitute nominee. Each of the director nominees has consented to stand for election and the Board knows of no reason why any nominee would be unable or unwilling to serve if elected.</w:t>
      </w:r>
    </w:p>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At the 2024 AGM, votes may not be cast for a greater number of persons than the number of director nominees named in this proxy statement. Shares represented by properly executed proxies and not revoked will be voted in accordance with the instructions indicated on those proxy cards. If you have properly executed your proxy card and you have not given specific voting instructions, your shares will be voted in accordance with our Board’s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4540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454025"/>
                    </a:xfrm>
                    <a:prstGeom prst="rect">
                      <a:avLst/>
                    </a:prstGeom>
                    <a:noFill/>
                  </pic:spPr>
                </pic:pic>
              </a:graphicData>
            </a:graphic>
          </wp:anchor>
        </w:drawing>
      </w:r>
    </w:p>
    <w:p>
      <w:pPr>
        <w:spacing w:after="0" w:line="377" w:lineRule="exact"/>
        <w:rPr>
          <w:sz w:val="20"/>
          <w:szCs w:val="20"/>
          <w:color w:val="auto"/>
        </w:rPr>
      </w:pPr>
    </w:p>
    <w:p>
      <w:pPr>
        <w:ind w:left="680"/>
        <w:spacing w:after="0"/>
        <w:rPr>
          <w:sz w:val="20"/>
          <w:szCs w:val="20"/>
          <w:color w:val="auto"/>
        </w:rPr>
      </w:pPr>
      <w:r>
        <w:rPr>
          <w:rFonts w:ascii="Arial" w:cs="Arial" w:eastAsia="Arial" w:hAnsi="Arial"/>
          <w:sz w:val="25"/>
          <w:szCs w:val="25"/>
          <w:color w:val="FFFFFF"/>
        </w:rPr>
        <w:t xml:space="preserve">The Board of Directors recommends a vote </w:t>
      </w:r>
      <w:r>
        <w:rPr>
          <w:rFonts w:ascii="Arial" w:cs="Arial" w:eastAsia="Arial" w:hAnsi="Arial"/>
          <w:sz w:val="25"/>
          <w:szCs w:val="25"/>
          <w:b w:val="1"/>
          <w:bCs w:val="1"/>
          <w:color w:val="FFFFFF"/>
        </w:rPr>
        <w:t>FOR</w:t>
      </w:r>
      <w:r>
        <w:rPr>
          <w:rFonts w:ascii="Arial" w:cs="Arial" w:eastAsia="Arial" w:hAnsi="Arial"/>
          <w:sz w:val="25"/>
          <w:szCs w:val="25"/>
          <w:color w:val="FFFFFF"/>
        </w:rPr>
        <w:t xml:space="preserve"> each director nominee.</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9"/>
          <w:szCs w:val="29"/>
          <w:color w:val="16458B"/>
        </w:rPr>
        <w:t>Skills and Experience of Our Director Nominees</w:t>
      </w:r>
    </w:p>
    <w:p>
      <w:pPr>
        <w:spacing w:after="0" w:line="21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Our Board believes our 11 director nominees provide a well-rounded set of expertise to assist in effective and independent oversight of SLB management. The following chart summarizes key qualifications of our director nominees—including knowledge, skills, experiences and other attributes that the Board believes are relevant to their Board and committee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7804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78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FFFFFF"/>
        </w:rPr>
        <w:t>Substantial Knowledge, Skills and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FFFFFF"/>
        </w:rPr>
        <w:t>Experience</w:t>
      </w:r>
    </w:p>
    <w:p>
      <w:pPr>
        <w:spacing w:after="0" w:line="70" w:lineRule="exact"/>
        <w:rPr>
          <w:sz w:val="20"/>
          <w:szCs w:val="20"/>
          <w:color w:val="auto"/>
        </w:rPr>
      </w:pPr>
    </w:p>
    <w:p>
      <w:pPr>
        <w:ind w:left="60"/>
        <w:spacing w:after="0"/>
        <w:rPr>
          <w:sz w:val="20"/>
          <w:szCs w:val="20"/>
          <w:color w:val="auto"/>
        </w:rPr>
      </w:pPr>
      <w:r>
        <w:rPr>
          <w:rFonts w:ascii="Arial" w:cs="Arial" w:eastAsia="Arial" w:hAnsi="Arial"/>
          <w:sz w:val="16"/>
          <w:szCs w:val="16"/>
          <w:color w:val="auto"/>
        </w:rPr>
        <w:t>Current or former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-115570</wp:posOffset>
            </wp:positionV>
            <wp:extent cx="128905" cy="1289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-115570</wp:posOffset>
            </wp:positionV>
            <wp:extent cx="128905" cy="1289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-115570</wp:posOffset>
            </wp:positionV>
            <wp:extent cx="128905" cy="1289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-115570</wp:posOffset>
            </wp:positionV>
            <wp:extent cx="128905" cy="1289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-115570</wp:posOffset>
            </wp:positionV>
            <wp:extent cx="128905" cy="1289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-115570</wp:posOffset>
            </wp:positionV>
            <wp:extent cx="128905" cy="1289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-115570</wp:posOffset>
            </wp:positionV>
            <wp:extent cx="128905" cy="1289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-115570</wp:posOffset>
            </wp:positionV>
            <wp:extent cx="128905" cy="1289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6"/>
          <w:szCs w:val="16"/>
          <w:color w:val="auto"/>
        </w:rPr>
        <w:t>Energy industry and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-115570</wp:posOffset>
            </wp:positionV>
            <wp:extent cx="128905" cy="1289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-115570</wp:posOffset>
            </wp:positionV>
            <wp:extent cx="128905" cy="1289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-115570</wp:posOffset>
            </wp:positionV>
            <wp:extent cx="128905" cy="1289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-115570</wp:posOffset>
            </wp:positionV>
            <wp:extent cx="128905" cy="1289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-115570</wp:posOffset>
            </wp:positionV>
            <wp:extent cx="128905" cy="1289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-115570</wp:posOffset>
            </wp:positionV>
            <wp:extent cx="128905" cy="1289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-115570</wp:posOffset>
            </wp:positionV>
            <wp:extent cx="128905" cy="1289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-115570</wp:posOffset>
            </wp:positionV>
            <wp:extent cx="128905" cy="1289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-115570</wp:posOffset>
            </wp:positionV>
            <wp:extent cx="128905" cy="1289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-115570</wp:posOffset>
            </wp:positionV>
            <wp:extent cx="128905" cy="1289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6"/>
          <w:szCs w:val="16"/>
          <w:color w:val="auto"/>
        </w:rPr>
        <w:t>Finance and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-115570</wp:posOffset>
            </wp:positionV>
            <wp:extent cx="128905" cy="1289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-115570</wp:posOffset>
            </wp:positionV>
            <wp:extent cx="128905" cy="1289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-115570</wp:posOffset>
            </wp:positionV>
            <wp:extent cx="128905" cy="1289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-115570</wp:posOffset>
            </wp:positionV>
            <wp:extent cx="128905" cy="1289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-115570</wp:posOffset>
            </wp:positionV>
            <wp:extent cx="128905" cy="1289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-115570</wp:posOffset>
            </wp:positionV>
            <wp:extent cx="128905" cy="1289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-115570</wp:posOffset>
            </wp:positionV>
            <wp:extent cx="128905" cy="1289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-115570</wp:posOffset>
            </wp:positionV>
            <wp:extent cx="128905" cy="1289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6"/>
          <w:szCs w:val="16"/>
          <w:color w:val="auto"/>
        </w:rPr>
        <w:t>Science, technology and engineering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-115570</wp:posOffset>
            </wp:positionV>
            <wp:extent cx="128905" cy="1289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-115570</wp:posOffset>
            </wp:positionV>
            <wp:extent cx="128905" cy="1289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-115570</wp:posOffset>
            </wp:positionV>
            <wp:extent cx="128905" cy="1289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-115570</wp:posOffset>
            </wp:positionV>
            <wp:extent cx="128905" cy="1289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-115570</wp:posOffset>
            </wp:positionV>
            <wp:extent cx="128905" cy="1289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-115570</wp:posOffset>
            </wp:positionV>
            <wp:extent cx="128905" cy="1289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-115570</wp:posOffset>
            </wp:positionV>
            <wp:extent cx="128905" cy="1289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-115570</wp:posOffset>
            </wp:positionV>
            <wp:extent cx="128905" cy="1289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6"/>
          <w:szCs w:val="16"/>
          <w:color w:val="auto"/>
        </w:rPr>
        <w:t>Energy transition and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-115570</wp:posOffset>
            </wp:positionV>
            <wp:extent cx="128905" cy="1289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-115570</wp:posOffset>
            </wp:positionV>
            <wp:extent cx="128905" cy="1289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-115570</wp:posOffset>
            </wp:positionV>
            <wp:extent cx="128905" cy="1289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-115570</wp:posOffset>
            </wp:positionV>
            <wp:extent cx="128905" cy="1289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-115570</wp:posOffset>
            </wp:positionV>
            <wp:extent cx="128905" cy="1289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-115570</wp:posOffset>
            </wp:positionV>
            <wp:extent cx="128905" cy="1289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-115570</wp:posOffset>
            </wp:positionV>
            <wp:extent cx="128905" cy="1289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-115570</wp:posOffset>
            </wp:positionV>
            <wp:extent cx="128905" cy="1289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-115570</wp:posOffset>
            </wp:positionV>
            <wp:extent cx="128905" cy="1289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6"/>
          <w:szCs w:val="16"/>
          <w:color w:val="auto"/>
        </w:rPr>
        <w:t>Digital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-115570</wp:posOffset>
            </wp:positionV>
            <wp:extent cx="128905" cy="1282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-115570</wp:posOffset>
            </wp:positionV>
            <wp:extent cx="128905" cy="12827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-115570</wp:posOffset>
            </wp:positionV>
            <wp:extent cx="128905" cy="1282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-115570</wp:posOffset>
            </wp:positionV>
            <wp:extent cx="128905" cy="12827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6"/>
          <w:szCs w:val="16"/>
          <w:color w:val="auto"/>
        </w:rPr>
        <w:t>Digital transformation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-115570</wp:posOffset>
            </wp:positionV>
            <wp:extent cx="128905" cy="1289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-115570</wp:posOffset>
            </wp:positionV>
            <wp:extent cx="128905" cy="1289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-115570</wp:posOffset>
            </wp:positionV>
            <wp:extent cx="128905" cy="1289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-115570</wp:posOffset>
            </wp:positionV>
            <wp:extent cx="128905" cy="1289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Information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-115570</wp:posOffset>
            </wp:positionV>
            <wp:extent cx="128905" cy="1289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6"/>
          <w:szCs w:val="16"/>
          <w:color w:val="auto"/>
        </w:rPr>
        <w:t>Strategy development &amp;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-115570</wp:posOffset>
            </wp:positionV>
            <wp:extent cx="128905" cy="1289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-115570</wp:posOffset>
            </wp:positionV>
            <wp:extent cx="128905" cy="1289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-115570</wp:posOffset>
            </wp:positionV>
            <wp:extent cx="128905" cy="1289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-115570</wp:posOffset>
            </wp:positionV>
            <wp:extent cx="128905" cy="1289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-115570</wp:posOffset>
            </wp:positionV>
            <wp:extent cx="128905" cy="1289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-115570</wp:posOffset>
            </wp:positionV>
            <wp:extent cx="128905" cy="1289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-115570</wp:posOffset>
            </wp:positionV>
            <wp:extent cx="128905" cy="1289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-115570</wp:posOffset>
            </wp:positionV>
            <wp:extent cx="128905" cy="1289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-115570</wp:posOffset>
            </wp:positionV>
            <wp:extent cx="128905" cy="1289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-115570</wp:posOffset>
            </wp:positionV>
            <wp:extent cx="128905" cy="1289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-115570</wp:posOffset>
            </wp:positionV>
            <wp:extent cx="128905" cy="1289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International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-115570</wp:posOffset>
            </wp:positionV>
            <wp:extent cx="128905" cy="1289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-115570</wp:posOffset>
            </wp:positionV>
            <wp:extent cx="128905" cy="1289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-115570</wp:posOffset>
            </wp:positionV>
            <wp:extent cx="128905" cy="1289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-115570</wp:posOffset>
            </wp:positionV>
            <wp:extent cx="128905" cy="1289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-115570</wp:posOffset>
            </wp:positionV>
            <wp:extent cx="128905" cy="1289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-115570</wp:posOffset>
            </wp:positionV>
            <wp:extent cx="128905" cy="1289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-115570</wp:posOffset>
            </wp:positionV>
            <wp:extent cx="128905" cy="1289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-115570</wp:posOffset>
            </wp:positionV>
            <wp:extent cx="128905" cy="1289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-115570</wp:posOffset>
            </wp:positionV>
            <wp:extent cx="128905" cy="1289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-115570</wp:posOffset>
            </wp:positionV>
            <wp:extent cx="128905" cy="1289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6"/>
          <w:szCs w:val="16"/>
          <w:color w:val="auto"/>
        </w:rPr>
        <w:t>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-115570</wp:posOffset>
            </wp:positionV>
            <wp:extent cx="128905" cy="1289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-115570</wp:posOffset>
            </wp:positionV>
            <wp:extent cx="128905" cy="1289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-115570</wp:posOffset>
            </wp:positionV>
            <wp:extent cx="128905" cy="1289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-115570</wp:posOffset>
            </wp:positionV>
            <wp:extent cx="128905" cy="1289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-115570</wp:posOffset>
            </wp:positionV>
            <wp:extent cx="128905" cy="1289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-115570</wp:posOffset>
            </wp:positionV>
            <wp:extent cx="128905" cy="1289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-115570</wp:posOffset>
            </wp:positionV>
            <wp:extent cx="128905" cy="1289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-115570</wp:posOffset>
            </wp:positionV>
            <wp:extent cx="128905" cy="1289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-115570</wp:posOffset>
            </wp:positionV>
            <wp:extent cx="128905" cy="1289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-115570</wp:posOffset>
            </wp:positionV>
            <wp:extent cx="128905" cy="1289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-115570</wp:posOffset>
            </wp:positionV>
            <wp:extent cx="128905" cy="1289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6"/>
          <w:szCs w:val="16"/>
          <w:color w:val="auto"/>
        </w:rPr>
        <w:t>Economic modeling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-115570</wp:posOffset>
            </wp:positionV>
            <wp:extent cx="128905" cy="1289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-115570</wp:posOffset>
            </wp:positionV>
            <wp:extent cx="128905" cy="1289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-115570</wp:posOffset>
            </wp:positionV>
            <wp:extent cx="128905" cy="1289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-115570</wp:posOffset>
            </wp:positionV>
            <wp:extent cx="128905" cy="1289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6"/>
          <w:szCs w:val="16"/>
          <w:color w:val="auto"/>
        </w:rPr>
        <w:t>Health, safety and environmental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-115570</wp:posOffset>
            </wp:positionV>
            <wp:extent cx="128905" cy="1282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-115570</wp:posOffset>
            </wp:positionV>
            <wp:extent cx="128905" cy="12827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-115570</wp:posOffset>
            </wp:positionV>
            <wp:extent cx="128905" cy="1282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-115570</wp:posOffset>
            </wp:positionV>
            <wp:extent cx="128905" cy="12827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-115570</wp:posOffset>
            </wp:positionV>
            <wp:extent cx="128905" cy="12827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-115570</wp:posOffset>
            </wp:positionV>
            <wp:extent cx="128905" cy="12827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-115570</wp:posOffset>
            </wp:positionV>
            <wp:extent cx="128905" cy="12827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-115570</wp:posOffset>
            </wp:positionV>
            <wp:extent cx="128905" cy="12827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-115570</wp:posOffset>
            </wp:positionV>
            <wp:extent cx="128905" cy="12827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6"/>
          <w:szCs w:val="16"/>
          <w:color w:val="auto"/>
        </w:rPr>
        <w:t>Mergers and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-115570</wp:posOffset>
            </wp:positionV>
            <wp:extent cx="128905" cy="1289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-115570</wp:posOffset>
            </wp:positionV>
            <wp:extent cx="128905" cy="1289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-115570</wp:posOffset>
            </wp:positionV>
            <wp:extent cx="128905" cy="1289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-115570</wp:posOffset>
            </wp:positionV>
            <wp:extent cx="128905" cy="1289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-115570</wp:posOffset>
            </wp:positionV>
            <wp:extent cx="128905" cy="1289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-115570</wp:posOffset>
            </wp:positionV>
            <wp:extent cx="128905" cy="1289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-115570</wp:posOffset>
            </wp:positionV>
            <wp:extent cx="128905" cy="1289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-115570</wp:posOffset>
            </wp:positionV>
            <wp:extent cx="128905" cy="1289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6"/>
          <w:szCs w:val="16"/>
          <w:color w:val="auto"/>
        </w:rPr>
        <w:t>Academic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-115570</wp:posOffset>
            </wp:positionV>
            <wp:extent cx="128905" cy="1289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-115570</wp:posOffset>
            </wp:positionV>
            <wp:extent cx="128905" cy="1289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-115570</wp:posOffset>
            </wp:positionV>
            <wp:extent cx="128905" cy="1289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-115570</wp:posOffset>
            </wp:positionV>
            <wp:extent cx="128905" cy="1289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-115570</wp:posOffset>
            </wp:positionV>
            <wp:extent cx="128905" cy="1289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6"/>
          <w:szCs w:val="16"/>
          <w:color w:val="auto"/>
        </w:rPr>
        <w:t>Government, regulatory &amp; public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18859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-115570</wp:posOffset>
            </wp:positionV>
            <wp:extent cx="128905" cy="1289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-115570</wp:posOffset>
            </wp:positionV>
            <wp:extent cx="128905" cy="1289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-115570</wp:posOffset>
            </wp:positionV>
            <wp:extent cx="128905" cy="1289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-115570</wp:posOffset>
            </wp:positionV>
            <wp:extent cx="128905" cy="1289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-115570</wp:posOffset>
            </wp:positionV>
            <wp:extent cx="128905" cy="1289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-115570</wp:posOffset>
            </wp:positionV>
            <wp:extent cx="128905" cy="1289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-115570</wp:posOffset>
            </wp:positionV>
            <wp:extent cx="128905" cy="1289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93"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FFFFFF"/>
        </w:rPr>
        <w:t>Other Attributes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00" w:type="dxa"/>
            <w:vAlign w:val="bottom"/>
            <w:gridSpan w:val="2"/>
          </w:tcPr>
          <w:p>
            <w:pPr>
              <w:ind w:left="60"/>
              <w:spacing w:after="0"/>
              <w:rPr>
                <w:sz w:val="20"/>
                <w:szCs w:val="20"/>
                <w:color w:val="auto"/>
              </w:rPr>
            </w:pPr>
            <w:r>
              <w:rPr>
                <w:rFonts w:ascii="Arial" w:cs="Arial" w:eastAsia="Arial" w:hAnsi="Arial"/>
                <w:sz w:val="16"/>
                <w:szCs w:val="16"/>
                <w:color w:val="auto"/>
              </w:rPr>
              <w:t>Independence</w:t>
            </w: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3200" w:type="dxa"/>
            <w:vAlign w:val="bottom"/>
            <w:gridSpan w:val="2"/>
          </w:tcPr>
          <w:p>
            <w:pPr>
              <w:ind w:left="60"/>
              <w:spacing w:after="0"/>
              <w:rPr>
                <w:sz w:val="20"/>
                <w:szCs w:val="20"/>
                <w:color w:val="auto"/>
              </w:rPr>
            </w:pPr>
            <w:r>
              <w:rPr>
                <w:rFonts w:ascii="Arial" w:cs="Arial" w:eastAsia="Arial" w:hAnsi="Arial"/>
                <w:sz w:val="16"/>
                <w:szCs w:val="16"/>
                <w:color w:val="auto"/>
              </w:rPr>
              <w:t>SLB Board Chair or Committee Chair</w:t>
            </w: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200" w:type="dxa"/>
            <w:vAlign w:val="bottom"/>
            <w:gridSpan w:val="2"/>
          </w:tcPr>
          <w:p>
            <w:pPr>
              <w:ind w:left="60"/>
              <w:spacing w:after="0"/>
              <w:rPr>
                <w:sz w:val="20"/>
                <w:szCs w:val="20"/>
                <w:color w:val="auto"/>
              </w:rPr>
            </w:pPr>
            <w:r>
              <w:rPr>
                <w:rFonts w:ascii="Arial" w:cs="Arial" w:eastAsia="Arial" w:hAnsi="Arial"/>
                <w:sz w:val="16"/>
                <w:szCs w:val="16"/>
                <w:color w:val="auto"/>
              </w:rPr>
              <w:t>Tenure</w:t>
            </w:r>
          </w:p>
        </w:tc>
        <w:tc>
          <w:tcPr>
            <w:tcW w:w="920" w:type="dxa"/>
            <w:vAlign w:val="bottom"/>
          </w:tcPr>
          <w:p>
            <w:pPr>
              <w:jc w:val="right"/>
              <w:ind w:right="299"/>
              <w:spacing w:after="0"/>
              <w:rPr>
                <w:sz w:val="20"/>
                <w:szCs w:val="20"/>
                <w:color w:val="auto"/>
              </w:rPr>
            </w:pPr>
            <w:r>
              <w:rPr>
                <w:rFonts w:ascii="Arial" w:cs="Arial" w:eastAsia="Arial" w:hAnsi="Arial"/>
                <w:sz w:val="16"/>
                <w:szCs w:val="16"/>
                <w:color w:val="auto"/>
              </w:rPr>
              <w:t>3</w:t>
            </w:r>
          </w:p>
        </w:tc>
        <w:tc>
          <w:tcPr>
            <w:tcW w:w="840" w:type="dxa"/>
            <w:vAlign w:val="bottom"/>
          </w:tcPr>
          <w:p>
            <w:pPr>
              <w:jc w:val="right"/>
              <w:ind w:right="299"/>
              <w:spacing w:after="0"/>
              <w:rPr>
                <w:sz w:val="20"/>
                <w:szCs w:val="20"/>
                <w:color w:val="auto"/>
              </w:rPr>
            </w:pPr>
            <w:r>
              <w:rPr>
                <w:rFonts w:ascii="Arial" w:cs="Arial" w:eastAsia="Arial" w:hAnsi="Arial"/>
                <w:sz w:val="16"/>
                <w:szCs w:val="16"/>
                <w:color w:val="auto"/>
              </w:rPr>
              <w:t>5</w:t>
            </w:r>
          </w:p>
        </w:tc>
        <w:tc>
          <w:tcPr>
            <w:tcW w:w="520" w:type="dxa"/>
            <w:vAlign w:val="bottom"/>
            <w:gridSpan w:val="2"/>
          </w:tcPr>
          <w:p>
            <w:pPr>
              <w:jc w:val="right"/>
              <w:ind w:right="60"/>
              <w:spacing w:after="0"/>
              <w:rPr>
                <w:sz w:val="20"/>
                <w:szCs w:val="20"/>
                <w:color w:val="auto"/>
              </w:rPr>
            </w:pPr>
            <w:r>
              <w:rPr>
                <w:rFonts w:ascii="Arial" w:cs="Arial" w:eastAsia="Arial" w:hAnsi="Arial"/>
                <w:sz w:val="16"/>
                <w:szCs w:val="16"/>
                <w:color w:val="auto"/>
              </w:rPr>
              <w:t>7</w:t>
            </w:r>
          </w:p>
        </w:tc>
        <w:tc>
          <w:tcPr>
            <w:tcW w:w="920" w:type="dxa"/>
            <w:vAlign w:val="bottom"/>
            <w:gridSpan w:val="2"/>
          </w:tcPr>
          <w:p>
            <w:pPr>
              <w:jc w:val="right"/>
              <w:ind w:right="280"/>
              <w:spacing w:after="0"/>
              <w:rPr>
                <w:sz w:val="20"/>
                <w:szCs w:val="20"/>
                <w:color w:val="auto"/>
              </w:rPr>
            </w:pPr>
            <w:r>
              <w:rPr>
                <w:rFonts w:ascii="Arial" w:cs="Arial" w:eastAsia="Arial" w:hAnsi="Arial"/>
                <w:sz w:val="16"/>
                <w:szCs w:val="16"/>
                <w:color w:val="auto"/>
              </w:rPr>
              <w:t>&lt;1</w:t>
            </w:r>
          </w:p>
        </w:tc>
        <w:tc>
          <w:tcPr>
            <w:tcW w:w="660" w:type="dxa"/>
            <w:vAlign w:val="bottom"/>
          </w:tcPr>
          <w:p>
            <w:pPr>
              <w:jc w:val="right"/>
              <w:ind w:right="219"/>
              <w:spacing w:after="0"/>
              <w:rPr>
                <w:sz w:val="20"/>
                <w:szCs w:val="20"/>
                <w:color w:val="auto"/>
              </w:rPr>
            </w:pPr>
            <w:r>
              <w:rPr>
                <w:rFonts w:ascii="Arial" w:cs="Arial" w:eastAsia="Arial" w:hAnsi="Arial"/>
                <w:sz w:val="16"/>
                <w:szCs w:val="16"/>
                <w:color w:val="auto"/>
              </w:rPr>
              <w:t>5</w:t>
            </w:r>
          </w:p>
        </w:tc>
        <w:tc>
          <w:tcPr>
            <w:tcW w:w="660" w:type="dxa"/>
            <w:vAlign w:val="bottom"/>
          </w:tcPr>
          <w:p>
            <w:pPr>
              <w:jc w:val="right"/>
              <w:ind w:right="199"/>
              <w:spacing w:after="0"/>
              <w:rPr>
                <w:sz w:val="20"/>
                <w:szCs w:val="20"/>
                <w:color w:val="auto"/>
              </w:rPr>
            </w:pPr>
            <w:r>
              <w:rPr>
                <w:rFonts w:ascii="Arial" w:cs="Arial" w:eastAsia="Arial" w:hAnsi="Arial"/>
                <w:sz w:val="16"/>
                <w:szCs w:val="16"/>
                <w:color w:val="auto"/>
              </w:rPr>
              <w:t>3</w:t>
            </w:r>
          </w:p>
        </w:tc>
        <w:tc>
          <w:tcPr>
            <w:tcW w:w="660" w:type="dxa"/>
            <w:vAlign w:val="bottom"/>
          </w:tcPr>
          <w:p>
            <w:pPr>
              <w:jc w:val="right"/>
              <w:ind w:right="219"/>
              <w:spacing w:after="0"/>
              <w:rPr>
                <w:sz w:val="20"/>
                <w:szCs w:val="20"/>
                <w:color w:val="auto"/>
              </w:rPr>
            </w:pPr>
            <w:r>
              <w:rPr>
                <w:rFonts w:ascii="Arial" w:cs="Arial" w:eastAsia="Arial" w:hAnsi="Arial"/>
                <w:sz w:val="16"/>
                <w:szCs w:val="16"/>
                <w:color w:val="auto"/>
              </w:rPr>
              <w:t>6</w:t>
            </w:r>
          </w:p>
        </w:tc>
        <w:tc>
          <w:tcPr>
            <w:tcW w:w="1060" w:type="dxa"/>
            <w:vAlign w:val="bottom"/>
          </w:tcPr>
          <w:p>
            <w:pPr>
              <w:jc w:val="right"/>
              <w:ind w:right="579"/>
              <w:spacing w:after="0"/>
              <w:rPr>
                <w:sz w:val="20"/>
                <w:szCs w:val="20"/>
                <w:color w:val="auto"/>
              </w:rPr>
            </w:pPr>
            <w:r>
              <w:rPr>
                <w:rFonts w:ascii="Arial" w:cs="Arial" w:eastAsia="Arial" w:hAnsi="Arial"/>
                <w:sz w:val="16"/>
                <w:szCs w:val="16"/>
                <w:color w:val="auto"/>
              </w:rPr>
              <w:t>4</w:t>
            </w:r>
          </w:p>
        </w:tc>
        <w:tc>
          <w:tcPr>
            <w:tcW w:w="420" w:type="dxa"/>
            <w:vAlign w:val="bottom"/>
          </w:tcPr>
          <w:p>
            <w:pPr>
              <w:jc w:val="right"/>
              <w:ind w:right="199"/>
              <w:spacing w:after="0"/>
              <w:rPr>
                <w:sz w:val="20"/>
                <w:szCs w:val="20"/>
                <w:color w:val="auto"/>
              </w:rPr>
            </w:pPr>
            <w:r>
              <w:rPr>
                <w:rFonts w:ascii="Arial" w:cs="Arial" w:eastAsia="Arial" w:hAnsi="Arial"/>
                <w:sz w:val="16"/>
                <w:szCs w:val="16"/>
                <w:color w:val="auto"/>
              </w:rPr>
              <w:t>3</w:t>
            </w:r>
          </w:p>
        </w:tc>
        <w:tc>
          <w:tcPr>
            <w:tcW w:w="680" w:type="dxa"/>
            <w:vAlign w:val="bottom"/>
          </w:tcPr>
          <w:p>
            <w:pPr>
              <w:jc w:val="right"/>
              <w:ind w:right="219"/>
              <w:spacing w:after="0"/>
              <w:rPr>
                <w:sz w:val="20"/>
                <w:szCs w:val="20"/>
                <w:color w:val="auto"/>
              </w:rPr>
            </w:pPr>
            <w:r>
              <w:rPr>
                <w:rFonts w:ascii="Arial" w:cs="Arial" w:eastAsia="Arial" w:hAnsi="Arial"/>
                <w:sz w:val="16"/>
                <w:szCs w:val="16"/>
                <w:color w:val="auto"/>
              </w:rPr>
              <w:t>5</w:t>
            </w:r>
          </w:p>
        </w:tc>
        <w:tc>
          <w:tcPr>
            <w:tcW w:w="700" w:type="dxa"/>
            <w:vAlign w:val="bottom"/>
          </w:tcPr>
          <w:p>
            <w:pPr>
              <w:jc w:val="right"/>
              <w:ind w:right="2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49"/>
        </w:trPr>
        <w:tc>
          <w:tcPr>
            <w:tcW w:w="920" w:type="dxa"/>
            <w:vAlign w:val="bottom"/>
            <w:tcBorders>
              <w:bottom w:val="single" w:sz="8" w:color="0233A1"/>
            </w:tcBorders>
          </w:tcPr>
          <w:p>
            <w:pPr>
              <w:spacing w:after="0"/>
              <w:rPr>
                <w:sz w:val="4"/>
                <w:szCs w:val="4"/>
                <w:color w:val="auto"/>
              </w:rPr>
            </w:pPr>
          </w:p>
        </w:tc>
        <w:tc>
          <w:tcPr>
            <w:tcW w:w="2280" w:type="dxa"/>
            <w:vAlign w:val="bottom"/>
            <w:tcBorders>
              <w:bottom w:val="single" w:sz="8" w:color="0233A1"/>
            </w:tcBorders>
          </w:tcPr>
          <w:p>
            <w:pPr>
              <w:spacing w:after="0"/>
              <w:rPr>
                <w:sz w:val="4"/>
                <w:szCs w:val="4"/>
                <w:color w:val="auto"/>
              </w:rPr>
            </w:pPr>
          </w:p>
        </w:tc>
        <w:tc>
          <w:tcPr>
            <w:tcW w:w="920" w:type="dxa"/>
            <w:vAlign w:val="bottom"/>
            <w:tcBorders>
              <w:bottom w:val="single" w:sz="8" w:color="0233A1"/>
            </w:tcBorders>
          </w:tcPr>
          <w:p>
            <w:pPr>
              <w:spacing w:after="0"/>
              <w:rPr>
                <w:sz w:val="4"/>
                <w:szCs w:val="4"/>
                <w:color w:val="auto"/>
              </w:rPr>
            </w:pPr>
          </w:p>
        </w:tc>
        <w:tc>
          <w:tcPr>
            <w:tcW w:w="840" w:type="dxa"/>
            <w:vAlign w:val="bottom"/>
            <w:tcBorders>
              <w:bottom w:val="single" w:sz="8" w:color="0233A1"/>
            </w:tcBorders>
          </w:tcPr>
          <w:p>
            <w:pPr>
              <w:spacing w:after="0"/>
              <w:rPr>
                <w:sz w:val="4"/>
                <w:szCs w:val="4"/>
                <w:color w:val="auto"/>
              </w:rPr>
            </w:pPr>
          </w:p>
        </w:tc>
        <w:tc>
          <w:tcPr>
            <w:tcW w:w="440" w:type="dxa"/>
            <w:vAlign w:val="bottom"/>
            <w:tcBorders>
              <w:bottom w:val="single" w:sz="8" w:color="0233A1"/>
            </w:tcBorders>
          </w:tcPr>
          <w:p>
            <w:pPr>
              <w:spacing w:after="0"/>
              <w:rPr>
                <w:sz w:val="4"/>
                <w:szCs w:val="4"/>
                <w:color w:val="auto"/>
              </w:rPr>
            </w:pPr>
          </w:p>
        </w:tc>
        <w:tc>
          <w:tcPr>
            <w:tcW w:w="80" w:type="dxa"/>
            <w:vAlign w:val="bottom"/>
            <w:tcBorders>
              <w:bottom w:val="single" w:sz="8" w:color="0233A1"/>
            </w:tcBorders>
          </w:tcPr>
          <w:p>
            <w:pPr>
              <w:spacing w:after="0"/>
              <w:rPr>
                <w:sz w:val="4"/>
                <w:szCs w:val="4"/>
                <w:color w:val="auto"/>
              </w:rPr>
            </w:pPr>
          </w:p>
        </w:tc>
        <w:tc>
          <w:tcPr>
            <w:tcW w:w="380" w:type="dxa"/>
            <w:vAlign w:val="bottom"/>
            <w:tcBorders>
              <w:bottom w:val="single" w:sz="8" w:color="0233A1"/>
            </w:tcBorders>
          </w:tcPr>
          <w:p>
            <w:pPr>
              <w:spacing w:after="0"/>
              <w:rPr>
                <w:sz w:val="4"/>
                <w:szCs w:val="4"/>
                <w:color w:val="auto"/>
              </w:rPr>
            </w:pPr>
          </w:p>
        </w:tc>
        <w:tc>
          <w:tcPr>
            <w:tcW w:w="540" w:type="dxa"/>
            <w:vAlign w:val="bottom"/>
            <w:tcBorders>
              <w:bottom w:val="single" w:sz="8" w:color="0233A1"/>
            </w:tcBorders>
          </w:tcPr>
          <w:p>
            <w:pPr>
              <w:spacing w:after="0"/>
              <w:rPr>
                <w:sz w:val="4"/>
                <w:szCs w:val="4"/>
                <w:color w:val="auto"/>
              </w:rPr>
            </w:pPr>
          </w:p>
        </w:tc>
        <w:tc>
          <w:tcPr>
            <w:tcW w:w="660" w:type="dxa"/>
            <w:vAlign w:val="bottom"/>
            <w:tcBorders>
              <w:bottom w:val="single" w:sz="8" w:color="0233A1"/>
            </w:tcBorders>
          </w:tcPr>
          <w:p>
            <w:pPr>
              <w:spacing w:after="0"/>
              <w:rPr>
                <w:sz w:val="4"/>
                <w:szCs w:val="4"/>
                <w:color w:val="auto"/>
              </w:rPr>
            </w:pPr>
          </w:p>
        </w:tc>
        <w:tc>
          <w:tcPr>
            <w:tcW w:w="660" w:type="dxa"/>
            <w:vAlign w:val="bottom"/>
            <w:tcBorders>
              <w:bottom w:val="single" w:sz="8" w:color="0233A1"/>
            </w:tcBorders>
          </w:tcPr>
          <w:p>
            <w:pPr>
              <w:spacing w:after="0"/>
              <w:rPr>
                <w:sz w:val="4"/>
                <w:szCs w:val="4"/>
                <w:color w:val="auto"/>
              </w:rPr>
            </w:pPr>
          </w:p>
        </w:tc>
        <w:tc>
          <w:tcPr>
            <w:tcW w:w="660" w:type="dxa"/>
            <w:vAlign w:val="bottom"/>
            <w:tcBorders>
              <w:bottom w:val="single" w:sz="8" w:color="0233A1"/>
            </w:tcBorders>
          </w:tcPr>
          <w:p>
            <w:pPr>
              <w:spacing w:after="0"/>
              <w:rPr>
                <w:sz w:val="4"/>
                <w:szCs w:val="4"/>
                <w:color w:val="auto"/>
              </w:rPr>
            </w:pPr>
          </w:p>
        </w:tc>
        <w:tc>
          <w:tcPr>
            <w:tcW w:w="1060" w:type="dxa"/>
            <w:vAlign w:val="bottom"/>
            <w:tcBorders>
              <w:bottom w:val="single" w:sz="8" w:color="0233A1"/>
            </w:tcBorders>
          </w:tcPr>
          <w:p>
            <w:pPr>
              <w:spacing w:after="0"/>
              <w:rPr>
                <w:sz w:val="4"/>
                <w:szCs w:val="4"/>
                <w:color w:val="auto"/>
              </w:rPr>
            </w:pPr>
          </w:p>
        </w:tc>
        <w:tc>
          <w:tcPr>
            <w:tcW w:w="1800" w:type="dxa"/>
            <w:vAlign w:val="bottom"/>
            <w:tcBorders>
              <w:bottom w:val="single" w:sz="8" w:color="0233A1"/>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546"/>
        </w:trPr>
        <w:tc>
          <w:tcPr>
            <w:tcW w:w="920" w:type="dxa"/>
            <w:vAlign w:val="bottom"/>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12</w:t>
            </w:r>
          </w:p>
        </w:tc>
        <w:tc>
          <w:tcPr>
            <w:tcW w:w="5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80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636466"/>
              </w:rPr>
              <w:t>2024 Proxy Statement</w:t>
            </w:r>
          </w:p>
        </w:tc>
        <w:tc>
          <w:tcPr>
            <w:tcW w:w="0" w:type="dxa"/>
            <w:vAlign w:val="bottom"/>
          </w:tcPr>
          <w:p>
            <w:pPr>
              <w:spacing w:after="0"/>
              <w:rPr>
                <w:sz w:val="1"/>
                <w:szCs w:val="1"/>
                <w:color w:val="auto"/>
              </w:rPr>
            </w:pPr>
          </w:p>
        </w:tc>
      </w:tr>
      <w:tr>
        <w:trPr>
          <w:trHeight w:val="74"/>
        </w:trPr>
        <w:tc>
          <w:tcPr>
            <w:tcW w:w="920" w:type="dxa"/>
            <w:vAlign w:val="bottom"/>
          </w:tcPr>
          <w:p>
            <w:pPr>
              <w:spacing w:after="0"/>
              <w:rPr>
                <w:sz w:val="6"/>
                <w:szCs w:val="6"/>
                <w:color w:val="auto"/>
              </w:rPr>
            </w:pPr>
          </w:p>
        </w:tc>
        <w:tc>
          <w:tcPr>
            <w:tcW w:w="22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8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46"/>
        </w:trPr>
        <w:tc>
          <w:tcPr>
            <w:tcW w:w="920" w:type="dxa"/>
            <w:vAlign w:val="bottom"/>
            <w:tcBorders>
              <w:bottom w:val="single" w:sz="8" w:color="C0C0C0"/>
            </w:tcBorders>
          </w:tcPr>
          <w:p>
            <w:pPr>
              <w:spacing w:after="0"/>
              <w:rPr>
                <w:sz w:val="24"/>
                <w:szCs w:val="24"/>
                <w:color w:val="auto"/>
              </w:rPr>
            </w:pPr>
          </w:p>
        </w:tc>
        <w:tc>
          <w:tcPr>
            <w:tcW w:w="2280" w:type="dxa"/>
            <w:vAlign w:val="bottom"/>
            <w:tcBorders>
              <w:bottom w:val="single" w:sz="8" w:color="C0C0C0"/>
            </w:tcBorders>
          </w:tcPr>
          <w:p>
            <w:pPr>
              <w:spacing w:after="0"/>
              <w:rPr>
                <w:sz w:val="24"/>
                <w:szCs w:val="24"/>
                <w:color w:val="auto"/>
              </w:rPr>
            </w:pPr>
          </w:p>
        </w:tc>
        <w:tc>
          <w:tcPr>
            <w:tcW w:w="920" w:type="dxa"/>
            <w:vAlign w:val="bottom"/>
            <w:tcBorders>
              <w:bottom w:val="single" w:sz="8" w:color="C0C0C0"/>
            </w:tcBorders>
          </w:tcPr>
          <w:p>
            <w:pPr>
              <w:spacing w:after="0"/>
              <w:rPr>
                <w:sz w:val="24"/>
                <w:szCs w:val="24"/>
                <w:color w:val="auto"/>
              </w:rPr>
            </w:pPr>
          </w:p>
        </w:tc>
        <w:tc>
          <w:tcPr>
            <w:tcW w:w="840" w:type="dxa"/>
            <w:vAlign w:val="bottom"/>
            <w:tcBorders>
              <w:bottom w:val="single" w:sz="8" w:color="C0C0C0"/>
            </w:tcBorders>
          </w:tcPr>
          <w:p>
            <w:pPr>
              <w:spacing w:after="0"/>
              <w:rPr>
                <w:sz w:val="24"/>
                <w:szCs w:val="24"/>
                <w:color w:val="auto"/>
              </w:rPr>
            </w:pPr>
          </w:p>
        </w:tc>
        <w:tc>
          <w:tcPr>
            <w:tcW w:w="440" w:type="dxa"/>
            <w:vAlign w:val="bottom"/>
            <w:tcBorders>
              <w:bottom w:val="single" w:sz="8" w:color="C0C0C0"/>
            </w:tcBorders>
          </w:tcPr>
          <w:p>
            <w:pPr>
              <w:spacing w:after="0"/>
              <w:rPr>
                <w:sz w:val="24"/>
                <w:szCs w:val="24"/>
                <w:color w:val="auto"/>
              </w:rPr>
            </w:pPr>
          </w:p>
        </w:tc>
        <w:tc>
          <w:tcPr>
            <w:tcW w:w="80" w:type="dxa"/>
            <w:vAlign w:val="bottom"/>
            <w:tcBorders>
              <w:bottom w:val="single" w:sz="8" w:color="C0C0C0"/>
            </w:tcBorders>
          </w:tcPr>
          <w:p>
            <w:pPr>
              <w:spacing w:after="0"/>
              <w:rPr>
                <w:sz w:val="24"/>
                <w:szCs w:val="24"/>
                <w:color w:val="auto"/>
              </w:rPr>
            </w:pPr>
          </w:p>
        </w:tc>
        <w:tc>
          <w:tcPr>
            <w:tcW w:w="380" w:type="dxa"/>
            <w:vAlign w:val="bottom"/>
            <w:tcBorders>
              <w:bottom w:val="single" w:sz="8" w:color="C0C0C0"/>
            </w:tcBorders>
          </w:tcPr>
          <w:p>
            <w:pPr>
              <w:spacing w:after="0"/>
              <w:rPr>
                <w:sz w:val="24"/>
                <w:szCs w:val="24"/>
                <w:color w:val="auto"/>
              </w:rPr>
            </w:pPr>
          </w:p>
        </w:tc>
        <w:tc>
          <w:tcPr>
            <w:tcW w:w="540" w:type="dxa"/>
            <w:vAlign w:val="bottom"/>
            <w:tcBorders>
              <w:bottom w:val="single" w:sz="8" w:color="C0C0C0"/>
            </w:tcBorders>
          </w:tcPr>
          <w:p>
            <w:pPr>
              <w:spacing w:after="0"/>
              <w:rPr>
                <w:sz w:val="24"/>
                <w:szCs w:val="24"/>
                <w:color w:val="auto"/>
              </w:rPr>
            </w:pPr>
          </w:p>
        </w:tc>
        <w:tc>
          <w:tcPr>
            <w:tcW w:w="660" w:type="dxa"/>
            <w:vAlign w:val="bottom"/>
            <w:tcBorders>
              <w:bottom w:val="single" w:sz="8" w:color="C0C0C0"/>
            </w:tcBorders>
          </w:tcPr>
          <w:p>
            <w:pPr>
              <w:spacing w:after="0"/>
              <w:rPr>
                <w:sz w:val="24"/>
                <w:szCs w:val="24"/>
                <w:color w:val="auto"/>
              </w:rPr>
            </w:pPr>
          </w:p>
        </w:tc>
        <w:tc>
          <w:tcPr>
            <w:tcW w:w="660" w:type="dxa"/>
            <w:vAlign w:val="bottom"/>
            <w:tcBorders>
              <w:bottom w:val="single" w:sz="8" w:color="C0C0C0"/>
            </w:tcBorders>
          </w:tcPr>
          <w:p>
            <w:pPr>
              <w:spacing w:after="0"/>
              <w:rPr>
                <w:sz w:val="24"/>
                <w:szCs w:val="24"/>
                <w:color w:val="auto"/>
              </w:rPr>
            </w:pPr>
          </w:p>
        </w:tc>
        <w:tc>
          <w:tcPr>
            <w:tcW w:w="660" w:type="dxa"/>
            <w:vAlign w:val="bottom"/>
            <w:tcBorders>
              <w:bottom w:val="single" w:sz="8" w:color="C0C0C0"/>
            </w:tcBorders>
          </w:tcPr>
          <w:p>
            <w:pPr>
              <w:spacing w:after="0"/>
              <w:rPr>
                <w:sz w:val="24"/>
                <w:szCs w:val="24"/>
                <w:color w:val="auto"/>
              </w:rPr>
            </w:pPr>
          </w:p>
        </w:tc>
        <w:tc>
          <w:tcPr>
            <w:tcW w:w="1060" w:type="dxa"/>
            <w:vAlign w:val="bottom"/>
            <w:tcBorders>
              <w:bottom w:val="single" w:sz="8" w:color="C0C0C0"/>
            </w:tcBorders>
          </w:tcPr>
          <w:p>
            <w:pPr>
              <w:spacing w:after="0"/>
              <w:rPr>
                <w:sz w:val="24"/>
                <w:szCs w:val="24"/>
                <w:color w:val="auto"/>
              </w:rPr>
            </w:pPr>
          </w:p>
        </w:tc>
        <w:tc>
          <w:tcPr>
            <w:tcW w:w="420" w:type="dxa"/>
            <w:vAlign w:val="bottom"/>
            <w:tcBorders>
              <w:bottom w:val="single" w:sz="8" w:color="C0C0C0"/>
            </w:tcBorders>
          </w:tcPr>
          <w:p>
            <w:pPr>
              <w:spacing w:after="0"/>
              <w:rPr>
                <w:sz w:val="24"/>
                <w:szCs w:val="24"/>
                <w:color w:val="auto"/>
              </w:rPr>
            </w:pPr>
          </w:p>
        </w:tc>
        <w:tc>
          <w:tcPr>
            <w:tcW w:w="680" w:type="dxa"/>
            <w:vAlign w:val="bottom"/>
            <w:tcBorders>
              <w:bottom w:val="single" w:sz="8" w:color="C0C0C0"/>
            </w:tcBorders>
          </w:tcPr>
          <w:p>
            <w:pPr>
              <w:spacing w:after="0"/>
              <w:rPr>
                <w:sz w:val="24"/>
                <w:szCs w:val="24"/>
                <w:color w:val="auto"/>
              </w:rPr>
            </w:pPr>
          </w:p>
        </w:tc>
        <w:tc>
          <w:tcPr>
            <w:tcW w:w="7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-916305</wp:posOffset>
            </wp:positionV>
            <wp:extent cx="71323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-1113790</wp:posOffset>
            </wp:positionV>
            <wp:extent cx="71323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-1276985</wp:posOffset>
            </wp:positionV>
            <wp:extent cx="128905" cy="1289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-1276985</wp:posOffset>
            </wp:positionV>
            <wp:extent cx="128905" cy="1289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-1276985</wp:posOffset>
            </wp:positionV>
            <wp:extent cx="128905" cy="1289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-1276985</wp:posOffset>
            </wp:positionV>
            <wp:extent cx="128905" cy="1289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-1276985</wp:posOffset>
            </wp:positionV>
            <wp:extent cx="128905" cy="1289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-1276985</wp:posOffset>
            </wp:positionV>
            <wp:extent cx="128905" cy="1289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-1276985</wp:posOffset>
            </wp:positionV>
            <wp:extent cx="128905" cy="1289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-1276985</wp:posOffset>
            </wp:positionV>
            <wp:extent cx="128905" cy="1289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-1276985</wp:posOffset>
            </wp:positionV>
            <wp:extent cx="128905" cy="1289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-1079500</wp:posOffset>
            </wp:positionV>
            <wp:extent cx="128905" cy="1289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-1079500</wp:posOffset>
            </wp:positionV>
            <wp:extent cx="128905" cy="1289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-1079500</wp:posOffset>
            </wp:positionV>
            <wp:extent cx="128905" cy="1289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-1079500</wp:posOffset>
            </wp:positionV>
            <wp:extent cx="128905" cy="1289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-1079500</wp:posOffset>
            </wp:positionV>
            <wp:extent cx="128905" cy="1289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-1079500</wp:posOffset>
            </wp:positionV>
            <wp:extent cx="128905" cy="1289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-530860</wp:posOffset>
            </wp:positionV>
            <wp:extent cx="471170" cy="2832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71170" cy="283210"/>
                    </a:xfrm>
                    <a:prstGeom prst="rect">
                      <a:avLst/>
                    </a:prstGeom>
                    <a:noFill/>
                  </pic:spPr>
                </pic:pic>
              </a:graphicData>
            </a:graphic>
          </wp:anchor>
        </w:drawing>
      </w:r>
    </w:p>
    <w:p>
      <w:pPr>
        <w:sectPr>
          <w:pgSz w:w="11900" w:h="16838" w:orient="portrait"/>
          <w:cols w:equalWidth="0" w:num="1">
            <w:col w:w="11240"/>
          </w:cols>
          <w:pgMar w:left="320" w:top="238" w:right="339" w:bottom="447" w:gutter="0" w:footer="0" w:header="0"/>
        </w:sectPr>
      </w:pPr>
    </w:p>
    <w:bookmarkStart w:id="15" w:name="page16"/>
    <w:bookmarkEnd w:id="15"/>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2" w:lineRule="exact"/>
        <w:rPr>
          <w:sz w:val="20"/>
          <w:szCs w:val="20"/>
          <w:color w:val="auto"/>
        </w:rPr>
      </w:pPr>
    </w:p>
    <w:p>
      <w:pPr>
        <w:jc w:val="both"/>
        <w:ind w:firstLine="180"/>
        <w:spacing w:after="0" w:line="266" w:lineRule="auto"/>
        <w:rPr>
          <w:sz w:val="20"/>
          <w:szCs w:val="20"/>
          <w:color w:val="auto"/>
        </w:rPr>
      </w:pPr>
      <w:r>
        <w:rPr>
          <w:rFonts w:ascii="Arial" w:cs="Arial" w:eastAsia="Arial" w:hAnsi="Arial"/>
          <w:sz w:val="16"/>
          <w:szCs w:val="16"/>
          <w:color w:val="auto"/>
        </w:rPr>
        <w:t>Each director nominee possesses numerous other skills and experience not identified in the chart on page 12, as further detailed in their biographies below. For additional details on the Board’s process for identifying director nominees, see “Corporate Governance—Director Selection and Qualifications” on page 22 of this proxy statement.</w:t>
      </w:r>
    </w:p>
    <w:p>
      <w:pPr>
        <w:spacing w:after="0" w:line="126" w:lineRule="exact"/>
        <w:rPr>
          <w:sz w:val="20"/>
          <w:szCs w:val="20"/>
          <w:color w:val="auto"/>
        </w:rPr>
      </w:pPr>
    </w:p>
    <w:p>
      <w:pPr>
        <w:spacing w:after="0"/>
        <w:rPr>
          <w:sz w:val="20"/>
          <w:szCs w:val="20"/>
          <w:color w:val="auto"/>
        </w:rPr>
      </w:pPr>
      <w:r>
        <w:rPr>
          <w:rFonts w:ascii="Arial" w:cs="Arial" w:eastAsia="Arial" w:hAnsi="Arial"/>
          <w:sz w:val="29"/>
          <w:szCs w:val="29"/>
          <w:color w:val="16458B"/>
        </w:rPr>
        <w:t>Our Director Nominees</w:t>
      </w:r>
    </w:p>
    <w:p>
      <w:pPr>
        <w:spacing w:after="0" w:line="211" w:lineRule="exact"/>
        <w:rPr>
          <w:sz w:val="20"/>
          <w:szCs w:val="20"/>
          <w:color w:val="auto"/>
        </w:rPr>
      </w:pPr>
    </w:p>
    <w:p>
      <w:pPr>
        <w:jc w:val="both"/>
        <w:ind w:firstLine="180"/>
        <w:spacing w:after="0" w:line="266" w:lineRule="auto"/>
        <w:rPr>
          <w:sz w:val="20"/>
          <w:szCs w:val="20"/>
          <w:color w:val="auto"/>
        </w:rPr>
      </w:pPr>
      <w:r>
        <w:rPr>
          <w:rFonts w:ascii="Arial" w:cs="Arial" w:eastAsia="Arial" w:hAnsi="Arial"/>
          <w:sz w:val="16"/>
          <w:szCs w:val="16"/>
          <w:color w:val="auto"/>
        </w:rPr>
        <w:t>The nominees for election to the Board, together with information regarding each nominee’s qualifications, are set forth below. In the judgment of the Board, all director nominees are able to execute their duties as members of the Board and to devote the necessary time and attention to SLB, as required by our Corporate Governance Guidelines. In addition, there are no family relationships among any SLB executive officers and directors.</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Peter Coleman,</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20313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2031365"/>
                    </a:xfrm>
                    <a:prstGeom prst="rect">
                      <a:avLst/>
                    </a:prstGeom>
                    <a:noFill/>
                  </pic:spPr>
                </pic:pic>
              </a:graphicData>
            </a:graphic>
          </wp:anchor>
        </w:drawing>
      </w:r>
    </w:p>
    <w:p>
      <w:pPr>
        <w:spacing w:after="0" w:line="151" w:lineRule="exact"/>
        <w:rPr>
          <w:sz w:val="20"/>
          <w:szCs w:val="20"/>
          <w:color w:val="auto"/>
        </w:rPr>
      </w:pPr>
    </w:p>
    <w:tbl>
      <w:tblPr>
        <w:tblLayout w:type="fixed"/>
        <w:tblInd w:w="2980" w:type="dxa"/>
        <w:tblCellMar>
          <w:top w:w="0" w:type="dxa"/>
          <w:left w:w="0" w:type="dxa"/>
          <w:bottom w:w="0" w:type="dxa"/>
          <w:right w:w="0" w:type="dxa"/>
        </w:tblCellMar>
      </w:tblPr>
      <w:tr>
        <w:trPr>
          <w:trHeight w:val="189"/>
        </w:trPr>
        <w:tc>
          <w:tcPr>
            <w:tcW w:w="3080" w:type="dxa"/>
            <w:vAlign w:val="bottom"/>
            <w:gridSpan w:val="2"/>
          </w:tcPr>
          <w:p>
            <w:pPr>
              <w:spacing w:after="0"/>
              <w:rPr>
                <w:sz w:val="20"/>
                <w:szCs w:val="20"/>
                <w:color w:val="auto"/>
              </w:rPr>
            </w:pPr>
            <w:r>
              <w:rPr>
                <w:rFonts w:ascii="Arial" w:cs="Arial" w:eastAsia="Arial" w:hAnsi="Arial"/>
                <w:sz w:val="16"/>
                <w:szCs w:val="16"/>
                <w:b w:val="1"/>
                <w:bCs w:val="1"/>
                <w:color w:val="auto"/>
              </w:rPr>
              <w:t>Former CEO and Managing Director,</w:t>
            </w:r>
          </w:p>
        </w:tc>
        <w:tc>
          <w:tcPr>
            <w:tcW w:w="3620" w:type="dxa"/>
            <w:vAlign w:val="bottom"/>
            <w:gridSpan w:val="2"/>
          </w:tcPr>
          <w:p>
            <w:pPr>
              <w:ind w:left="280"/>
              <w:spacing w:after="0"/>
              <w:rPr>
                <w:sz w:val="20"/>
                <w:szCs w:val="20"/>
                <w:color w:val="auto"/>
              </w:rPr>
            </w:pPr>
            <w:r>
              <w:rPr>
                <w:rFonts w:ascii="Arial" w:cs="Arial" w:eastAsia="Arial" w:hAnsi="Arial"/>
                <w:sz w:val="16"/>
                <w:szCs w:val="16"/>
                <w:b w:val="1"/>
                <w:bCs w:val="1"/>
                <w:color w:val="auto"/>
              </w:rPr>
              <w:t>SLB Board Committees</w:t>
            </w:r>
          </w:p>
        </w:tc>
        <w:tc>
          <w:tcPr>
            <w:tcW w:w="0" w:type="dxa"/>
            <w:vAlign w:val="bottom"/>
          </w:tcPr>
          <w:p>
            <w:pPr>
              <w:spacing w:after="0"/>
              <w:rPr>
                <w:sz w:val="1"/>
                <w:szCs w:val="1"/>
                <w:color w:val="auto"/>
              </w:rPr>
            </w:pPr>
          </w:p>
        </w:tc>
      </w:tr>
      <w:tr>
        <w:trPr>
          <w:trHeight w:val="189"/>
        </w:trPr>
        <w:tc>
          <w:tcPr>
            <w:tcW w:w="3080" w:type="dxa"/>
            <w:vAlign w:val="bottom"/>
            <w:gridSpan w:val="2"/>
          </w:tcPr>
          <w:p>
            <w:pPr>
              <w:spacing w:after="0"/>
              <w:rPr>
                <w:sz w:val="20"/>
                <w:szCs w:val="20"/>
                <w:color w:val="auto"/>
              </w:rPr>
            </w:pPr>
            <w:r>
              <w:rPr>
                <w:rFonts w:ascii="Arial" w:cs="Arial" w:eastAsia="Arial" w:hAnsi="Arial"/>
                <w:sz w:val="16"/>
                <w:szCs w:val="16"/>
                <w:b w:val="1"/>
                <w:bCs w:val="1"/>
                <w:color w:val="auto"/>
              </w:rPr>
              <w:t>Woodside Petroleum Ltd.</w:t>
            </w:r>
          </w:p>
        </w:tc>
        <w:tc>
          <w:tcPr>
            <w:tcW w:w="400" w:type="dxa"/>
            <w:vAlign w:val="bottom"/>
          </w:tcPr>
          <w:p>
            <w:pPr>
              <w:ind w:left="280"/>
              <w:spacing w:after="0"/>
              <w:rPr>
                <w:sz w:val="20"/>
                <w:szCs w:val="20"/>
                <w:color w:val="auto"/>
              </w:rPr>
            </w:pPr>
            <w:r>
              <w:rPr>
                <w:rFonts w:ascii="Arial" w:cs="Arial" w:eastAsia="Arial" w:hAnsi="Arial"/>
                <w:sz w:val="16"/>
                <w:szCs w:val="16"/>
                <w:b w:val="1"/>
                <w:bCs w:val="1"/>
                <w:color w:val="16458B"/>
              </w:rPr>
              <w:t>•</w:t>
            </w:r>
          </w:p>
        </w:tc>
        <w:tc>
          <w:tcPr>
            <w:tcW w:w="3220" w:type="dxa"/>
            <w:vAlign w:val="bottom"/>
          </w:tcPr>
          <w:p>
            <w:pPr>
              <w:ind w:left="80"/>
              <w:spacing w:after="0"/>
              <w:rPr>
                <w:sz w:val="20"/>
                <w:szCs w:val="20"/>
                <w:color w:val="auto"/>
              </w:rPr>
            </w:pPr>
            <w:r>
              <w:rPr>
                <w:rFonts w:ascii="Arial" w:cs="Arial" w:eastAsia="Arial" w:hAnsi="Arial"/>
                <w:sz w:val="16"/>
                <w:szCs w:val="16"/>
                <w:color w:val="auto"/>
              </w:rPr>
              <w:t>Nominating and Governance</w:t>
            </w:r>
          </w:p>
        </w:tc>
        <w:tc>
          <w:tcPr>
            <w:tcW w:w="0" w:type="dxa"/>
            <w:vAlign w:val="bottom"/>
          </w:tcPr>
          <w:p>
            <w:pPr>
              <w:spacing w:after="0"/>
              <w:rPr>
                <w:sz w:val="1"/>
                <w:szCs w:val="1"/>
                <w:color w:val="auto"/>
              </w:rPr>
            </w:pPr>
          </w:p>
        </w:tc>
      </w:tr>
      <w:tr>
        <w:trPr>
          <w:trHeight w:val="223"/>
        </w:trPr>
        <w:tc>
          <w:tcPr>
            <w:tcW w:w="3080" w:type="dxa"/>
            <w:vAlign w:val="bottom"/>
            <w:gridSpan w:val="2"/>
            <w:vMerge w:val="restart"/>
          </w:tcPr>
          <w:p>
            <w:pPr>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2021</w:t>
            </w:r>
          </w:p>
        </w:tc>
        <w:tc>
          <w:tcPr>
            <w:tcW w:w="400" w:type="dxa"/>
            <w:vAlign w:val="bottom"/>
          </w:tcPr>
          <w:p>
            <w:pPr>
              <w:ind w:left="280"/>
              <w:spacing w:after="0"/>
              <w:rPr>
                <w:sz w:val="20"/>
                <w:szCs w:val="20"/>
                <w:color w:val="auto"/>
              </w:rPr>
            </w:pPr>
            <w:r>
              <w:rPr>
                <w:rFonts w:ascii="Arial" w:cs="Arial" w:eastAsia="Arial" w:hAnsi="Arial"/>
                <w:sz w:val="16"/>
                <w:szCs w:val="16"/>
                <w:b w:val="1"/>
                <w:bCs w:val="1"/>
                <w:color w:val="16458B"/>
              </w:rPr>
              <w:t>•</w:t>
            </w:r>
          </w:p>
        </w:tc>
        <w:tc>
          <w:tcPr>
            <w:tcW w:w="3220" w:type="dxa"/>
            <w:vAlign w:val="bottom"/>
          </w:tcPr>
          <w:p>
            <w:pPr>
              <w:ind w:left="80"/>
              <w:spacing w:after="0"/>
              <w:rPr>
                <w:sz w:val="20"/>
                <w:szCs w:val="20"/>
                <w:color w:val="auto"/>
              </w:rPr>
            </w:pPr>
            <w:r>
              <w:rPr>
                <w:rFonts w:ascii="Arial" w:cs="Arial" w:eastAsia="Arial" w:hAnsi="Arial"/>
                <w:sz w:val="16"/>
                <w:szCs w:val="16"/>
                <w:color w:val="auto"/>
              </w:rPr>
              <w:t>Finance</w:t>
            </w:r>
          </w:p>
        </w:tc>
        <w:tc>
          <w:tcPr>
            <w:tcW w:w="0" w:type="dxa"/>
            <w:vAlign w:val="bottom"/>
          </w:tcPr>
          <w:p>
            <w:pPr>
              <w:spacing w:after="0"/>
              <w:rPr>
                <w:sz w:val="1"/>
                <w:szCs w:val="1"/>
                <w:color w:val="auto"/>
              </w:rPr>
            </w:pPr>
          </w:p>
        </w:tc>
      </w:tr>
      <w:tr>
        <w:trPr>
          <w:trHeight w:val="189"/>
        </w:trPr>
        <w:tc>
          <w:tcPr>
            <w:tcW w:w="3080" w:type="dxa"/>
            <w:vAlign w:val="bottom"/>
            <w:gridSpan w:val="2"/>
            <w:vMerge w:val="continue"/>
          </w:tcPr>
          <w:p>
            <w:pPr>
              <w:spacing w:after="0"/>
              <w:rPr>
                <w:sz w:val="16"/>
                <w:szCs w:val="16"/>
                <w:color w:val="auto"/>
              </w:rPr>
            </w:pPr>
          </w:p>
        </w:tc>
        <w:tc>
          <w:tcPr>
            <w:tcW w:w="3620" w:type="dxa"/>
            <w:vAlign w:val="bottom"/>
            <w:gridSpan w:val="2"/>
            <w:vMerge w:val="restart"/>
          </w:tcPr>
          <w:p>
            <w:pPr>
              <w:ind w:left="280"/>
              <w:spacing w:after="0"/>
              <w:rPr>
                <w:sz w:val="20"/>
                <w:szCs w:val="20"/>
                <w:color w:val="auto"/>
              </w:rPr>
            </w:pPr>
            <w:r>
              <w:rPr>
                <w:rFonts w:ascii="Arial" w:cs="Arial" w:eastAsia="Arial" w:hAnsi="Arial"/>
                <w:sz w:val="16"/>
                <w:szCs w:val="16"/>
                <w:b w:val="1"/>
                <w:bCs w:val="1"/>
                <w:color w:val="auto"/>
              </w:rPr>
              <w:t>Other Experience and Education</w:t>
            </w:r>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36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080" w:type="dxa"/>
            <w:vAlign w:val="bottom"/>
            <w:gridSpan w:val="2"/>
          </w:tcPr>
          <w:p>
            <w:pPr>
              <w:spacing w:after="0"/>
              <w:rPr>
                <w:sz w:val="20"/>
                <w:szCs w:val="20"/>
                <w:color w:val="auto"/>
              </w:rPr>
            </w:pPr>
            <w:r>
              <w:rPr>
                <w:rFonts w:ascii="Arial" w:cs="Arial" w:eastAsia="Arial" w:hAnsi="Arial"/>
                <w:sz w:val="16"/>
                <w:szCs w:val="16"/>
                <w:b w:val="1"/>
                <w:bCs w:val="1"/>
                <w:color w:val="auto"/>
              </w:rPr>
              <w:t>Other Current Public Boards</w:t>
            </w:r>
          </w:p>
        </w:tc>
        <w:tc>
          <w:tcPr>
            <w:tcW w:w="400" w:type="dxa"/>
            <w:vAlign w:val="bottom"/>
          </w:tcPr>
          <w:p>
            <w:pPr>
              <w:ind w:left="280"/>
              <w:spacing w:after="0"/>
              <w:rPr>
                <w:sz w:val="20"/>
                <w:szCs w:val="20"/>
                <w:color w:val="auto"/>
              </w:rPr>
            </w:pPr>
            <w:r>
              <w:rPr>
                <w:rFonts w:ascii="Arial" w:cs="Arial" w:eastAsia="Arial" w:hAnsi="Arial"/>
                <w:sz w:val="16"/>
                <w:szCs w:val="16"/>
                <w:b w:val="1"/>
                <w:bCs w:val="1"/>
                <w:color w:val="16458B"/>
              </w:rPr>
              <w:t>•</w:t>
            </w:r>
          </w:p>
        </w:tc>
        <w:tc>
          <w:tcPr>
            <w:tcW w:w="3220" w:type="dxa"/>
            <w:vAlign w:val="bottom"/>
          </w:tcPr>
          <w:p>
            <w:pPr>
              <w:ind w:left="80"/>
              <w:spacing w:after="0"/>
              <w:rPr>
                <w:sz w:val="20"/>
                <w:szCs w:val="20"/>
                <w:color w:val="auto"/>
              </w:rPr>
            </w:pPr>
            <w:r>
              <w:rPr>
                <w:rFonts w:ascii="Arial" w:cs="Arial" w:eastAsia="Arial" w:hAnsi="Arial"/>
                <w:sz w:val="16"/>
                <w:szCs w:val="16"/>
                <w:color w:val="auto"/>
              </w:rPr>
              <w:t>MBA, Deakin University</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20"/>
                <w:szCs w:val="20"/>
                <w:color w:val="auto"/>
              </w:rPr>
            </w:pPr>
            <w:r>
              <w:rPr>
                <w:rFonts w:ascii="Arial" w:cs="Arial" w:eastAsia="Arial" w:hAnsi="Arial"/>
                <w:sz w:val="16"/>
                <w:szCs w:val="16"/>
                <w:b w:val="1"/>
                <w:bCs w:val="1"/>
                <w:color w:val="16458B"/>
              </w:rPr>
              <w:t>•</w:t>
            </w:r>
          </w:p>
        </w:tc>
        <w:tc>
          <w:tcPr>
            <w:tcW w:w="2960" w:type="dxa"/>
            <w:vAlign w:val="bottom"/>
          </w:tcPr>
          <w:p>
            <w:pPr>
              <w:ind w:left="60"/>
              <w:spacing w:after="0"/>
              <w:rPr>
                <w:sz w:val="20"/>
                <w:szCs w:val="20"/>
                <w:color w:val="auto"/>
              </w:rPr>
            </w:pPr>
            <w:r>
              <w:rPr>
                <w:rFonts w:ascii="Arial" w:cs="Arial" w:eastAsia="Arial" w:hAnsi="Arial"/>
                <w:sz w:val="16"/>
                <w:szCs w:val="16"/>
                <w:color w:val="auto"/>
              </w:rPr>
              <w:t>Arcadium Lithium plc</w:t>
            </w:r>
          </w:p>
        </w:tc>
        <w:tc>
          <w:tcPr>
            <w:tcW w:w="3620" w:type="dxa"/>
            <w:vAlign w:val="bottom"/>
            <w:gridSpan w:val="2"/>
          </w:tcPr>
          <w:p>
            <w:pPr>
              <w:ind w:left="280"/>
              <w:spacing w:after="0"/>
              <w:rPr>
                <w:sz w:val="20"/>
                <w:szCs w:val="20"/>
                <w:color w:val="auto"/>
              </w:rPr>
            </w:pPr>
            <w:r>
              <w:rPr>
                <w:rFonts w:ascii="Arial" w:cs="Arial" w:eastAsia="Arial" w:hAnsi="Arial"/>
                <w:sz w:val="16"/>
                <w:szCs w:val="16"/>
                <w:b w:val="1"/>
                <w:bCs w:val="1"/>
                <w:color w:val="16458B"/>
              </w:rPr>
              <w:t xml:space="preserve">•  </w:t>
            </w:r>
            <w:r>
              <w:rPr>
                <w:rFonts w:ascii="Arial" w:cs="Arial" w:eastAsia="Arial" w:hAnsi="Arial"/>
                <w:sz w:val="16"/>
                <w:szCs w:val="16"/>
                <w:color w:val="000000"/>
              </w:rPr>
              <w:t>Bachelor of Engineering, Monash University</w:t>
            </w:r>
          </w:p>
        </w:tc>
        <w:tc>
          <w:tcPr>
            <w:tcW w:w="0" w:type="dxa"/>
            <w:vAlign w:val="bottom"/>
          </w:tcPr>
          <w:p>
            <w:pPr>
              <w:spacing w:after="0"/>
              <w:rPr>
                <w:sz w:val="1"/>
                <w:szCs w:val="1"/>
                <w:color w:val="auto"/>
              </w:rPr>
            </w:pPr>
          </w:p>
        </w:tc>
      </w:tr>
      <w:tr>
        <w:trPr>
          <w:trHeight w:val="223"/>
        </w:trPr>
        <w:tc>
          <w:tcPr>
            <w:tcW w:w="30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Former Public Director Roles</w:t>
            </w:r>
          </w:p>
        </w:tc>
        <w:tc>
          <w:tcPr>
            <w:tcW w:w="3620" w:type="dxa"/>
            <w:vAlign w:val="bottom"/>
            <w:gridSpan w:val="2"/>
          </w:tcPr>
          <w:p>
            <w:pPr>
              <w:ind w:left="280"/>
              <w:spacing w:after="0"/>
              <w:rPr>
                <w:sz w:val="20"/>
                <w:szCs w:val="20"/>
                <w:color w:val="auto"/>
              </w:rPr>
            </w:pPr>
            <w:r>
              <w:rPr>
                <w:rFonts w:ascii="Arial" w:cs="Arial" w:eastAsia="Arial" w:hAnsi="Arial"/>
                <w:sz w:val="16"/>
                <w:szCs w:val="16"/>
                <w:b w:val="1"/>
                <w:bCs w:val="1"/>
                <w:color w:val="16458B"/>
              </w:rPr>
              <w:t xml:space="preserve">•  </w:t>
            </w:r>
            <w:r>
              <w:rPr>
                <w:rFonts w:ascii="Arial" w:cs="Arial" w:eastAsia="Arial" w:hAnsi="Arial"/>
                <w:sz w:val="16"/>
                <w:szCs w:val="16"/>
                <w:color w:val="000000"/>
              </w:rPr>
              <w:t>Chair of the Australia-Korea Foundation</w:t>
            </w:r>
          </w:p>
        </w:tc>
        <w:tc>
          <w:tcPr>
            <w:tcW w:w="0" w:type="dxa"/>
            <w:vAlign w:val="bottom"/>
          </w:tcPr>
          <w:p>
            <w:pPr>
              <w:spacing w:after="0"/>
              <w:rPr>
                <w:sz w:val="1"/>
                <w:szCs w:val="1"/>
                <w:color w:val="auto"/>
              </w:rPr>
            </w:pPr>
          </w:p>
        </w:tc>
      </w:tr>
      <w:tr>
        <w:trPr>
          <w:trHeight w:val="155"/>
        </w:trPr>
        <w:tc>
          <w:tcPr>
            <w:tcW w:w="308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080" w:type="dxa"/>
            <w:vAlign w:val="bottom"/>
            <w:gridSpan w:val="2"/>
          </w:tcPr>
          <w:p>
            <w:pPr>
              <w:spacing w:after="0"/>
              <w:rPr>
                <w:sz w:val="20"/>
                <w:szCs w:val="20"/>
                <w:color w:val="auto"/>
              </w:rPr>
            </w:pPr>
            <w:r>
              <w:rPr>
                <w:rFonts w:ascii="Arial" w:cs="Arial" w:eastAsia="Arial" w:hAnsi="Arial"/>
                <w:sz w:val="16"/>
                <w:szCs w:val="16"/>
                <w:b w:val="1"/>
                <w:bCs w:val="1"/>
                <w:color w:val="auto"/>
              </w:rPr>
              <w:t>During the Past Five Years</w:t>
            </w:r>
          </w:p>
        </w:tc>
        <w:tc>
          <w:tcPr>
            <w:tcW w:w="40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20"/>
                <w:szCs w:val="20"/>
                <w:color w:val="auto"/>
              </w:rPr>
            </w:pPr>
            <w:r>
              <w:rPr>
                <w:rFonts w:ascii="Arial" w:cs="Arial" w:eastAsia="Arial" w:hAnsi="Arial"/>
                <w:sz w:val="16"/>
                <w:szCs w:val="16"/>
                <w:b w:val="1"/>
                <w:bCs w:val="1"/>
                <w:color w:val="16458B"/>
              </w:rPr>
              <w:t>•</w:t>
            </w:r>
          </w:p>
        </w:tc>
        <w:tc>
          <w:tcPr>
            <w:tcW w:w="2960" w:type="dxa"/>
            <w:vAlign w:val="bottom"/>
          </w:tcPr>
          <w:p>
            <w:pPr>
              <w:ind w:left="60"/>
              <w:spacing w:after="0"/>
              <w:rPr>
                <w:sz w:val="20"/>
                <w:szCs w:val="20"/>
                <w:color w:val="auto"/>
              </w:rPr>
            </w:pPr>
            <w:r>
              <w:rPr>
                <w:rFonts w:ascii="Arial" w:cs="Arial" w:eastAsia="Arial" w:hAnsi="Arial"/>
                <w:sz w:val="16"/>
                <w:szCs w:val="16"/>
                <w:color w:val="auto"/>
              </w:rPr>
              <w:t>Woodside Petroleum Ltd.</w:t>
            </w:r>
          </w:p>
        </w:tc>
        <w:tc>
          <w:tcPr>
            <w:tcW w:w="40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20"/>
                <w:szCs w:val="20"/>
                <w:color w:val="auto"/>
              </w:rPr>
            </w:pPr>
            <w:r>
              <w:rPr>
                <w:rFonts w:ascii="Arial" w:cs="Arial" w:eastAsia="Arial" w:hAnsi="Arial"/>
                <w:sz w:val="16"/>
                <w:szCs w:val="16"/>
                <w:b w:val="1"/>
                <w:bCs w:val="1"/>
                <w:color w:val="16458B"/>
              </w:rPr>
              <w:t>•</w:t>
            </w:r>
          </w:p>
        </w:tc>
        <w:tc>
          <w:tcPr>
            <w:tcW w:w="2960" w:type="dxa"/>
            <w:vAlign w:val="bottom"/>
          </w:tcPr>
          <w:p>
            <w:pPr>
              <w:ind w:left="60"/>
              <w:spacing w:after="0"/>
              <w:rPr>
                <w:sz w:val="20"/>
                <w:szCs w:val="20"/>
                <w:color w:val="auto"/>
              </w:rPr>
            </w:pPr>
            <w:r>
              <w:rPr>
                <w:rFonts w:ascii="Arial" w:cs="Arial" w:eastAsia="Arial" w:hAnsi="Arial"/>
                <w:sz w:val="16"/>
                <w:szCs w:val="16"/>
                <w:color w:val="auto"/>
              </w:rPr>
              <w:t>Allkem Limited</w:t>
            </w:r>
          </w:p>
        </w:tc>
        <w:tc>
          <w:tcPr>
            <w:tcW w:w="40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579120</wp:posOffset>
            </wp:positionV>
            <wp:extent cx="713232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left="60" w:right="60"/>
        <w:spacing w:after="0" w:line="252" w:lineRule="auto"/>
        <w:rPr>
          <w:sz w:val="20"/>
          <w:szCs w:val="20"/>
          <w:color w:val="auto"/>
        </w:rPr>
      </w:pPr>
      <w:r>
        <w:rPr>
          <w:rFonts w:ascii="Arial" w:cs="Arial" w:eastAsia="Arial" w:hAnsi="Arial"/>
          <w:sz w:val="16"/>
          <w:szCs w:val="16"/>
          <w:color w:val="auto"/>
        </w:rPr>
        <w:t>PETER COLEMAN is the former Chief Executive Officer, Executive Director and Managing Director of Woodside Petroleum Ltd., Australia’s largest independent gas producer, having served in that role from 2011 until his retirement in June 2021. Prior to joining Woodside, Mr. Coleman spent 27 years with the ExxonMobil group in a variety of roles, including Vice President Asia Pacific from 2010 to 2011 and Vice President Americas from 2008 to 2010. Since 2012, he has been an adjunct professor of corporate strategy at the University of Western Australia Business School. He has served as chair of Arcadium Lithium plc, a leading global lithium chemicals producer, since January 2024, following the merger of Livent Corp. with Allkem Limited, where he had served as a director from October 2022 and as chair from November 2022 through January 2024. He has also served as chairman of the board of Infinite Green Energy, an Australian green hydrogen renewable energy company, since August 2021, as chair of H2EX, an Australian hydrogen exploration start-up, since April 2022, and as chair of DIRECT Infrastructure, an Australian-based offshore wind developer, since June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Reason for Nomination</w:t>
      </w:r>
    </w:p>
    <w:p>
      <w:pPr>
        <w:spacing w:after="0" w:line="21" w:lineRule="exact"/>
        <w:rPr>
          <w:sz w:val="20"/>
          <w:szCs w:val="20"/>
          <w:color w:val="auto"/>
        </w:rPr>
      </w:pPr>
    </w:p>
    <w:p>
      <w:pPr>
        <w:jc w:val="both"/>
        <w:ind w:left="60" w:right="60"/>
        <w:spacing w:after="0" w:line="256" w:lineRule="auto"/>
        <w:rPr>
          <w:sz w:val="20"/>
          <w:szCs w:val="20"/>
          <w:color w:val="auto"/>
        </w:rPr>
      </w:pPr>
      <w:r>
        <w:rPr>
          <w:rFonts w:ascii="Arial" w:cs="Arial" w:eastAsia="Arial" w:hAnsi="Arial"/>
          <w:sz w:val="16"/>
          <w:szCs w:val="16"/>
          <w:color w:val="auto"/>
        </w:rPr>
        <w:t>Mr. Coleman brings to the Board decades of experience in the energy industry, including as the former CEO and Managing Director of Australia’s largest independent gas producer. The Board benefits from his expertise in strategic planning, as well as his extensive business experience in Australia and Asia regions that are strategically important to SLB’s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224790</wp:posOffset>
            </wp:positionV>
            <wp:extent cx="471805" cy="28257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2024 Proxy Statement</w:t>
            </w:r>
          </w:p>
        </w:tc>
        <w:tc>
          <w:tcPr>
            <w:tcW w:w="3600" w:type="dxa"/>
            <w:vAlign w:val="bottom"/>
            <w:tcBorders>
              <w:bottom w:val="single" w:sz="8" w:color="auto"/>
            </w:tcBorders>
          </w:tcPr>
          <w:p>
            <w:pPr>
              <w:spacing w:after="0"/>
              <w:rPr>
                <w:sz w:val="12"/>
                <w:szCs w:val="12"/>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13</w:t>
            </w:r>
          </w:p>
        </w:tc>
        <w:tc>
          <w:tcPr>
            <w:tcW w:w="4480" w:type="dxa"/>
            <w:vAlign w:val="bottom"/>
            <w:tcBorders>
              <w:bottom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36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48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Patrick de La Chevardière,</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20148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2014855"/>
                    </a:xfrm>
                    <a:prstGeom prst="rect">
                      <a:avLst/>
                    </a:prstGeom>
                    <a:noFill/>
                  </pic:spPr>
                </pic:pic>
              </a:graphicData>
            </a:graphic>
          </wp:anchor>
        </w:drawing>
      </w:r>
    </w:p>
    <w:p>
      <w:pPr>
        <w:spacing w:after="0" w:line="151" w:lineRule="exact"/>
        <w:rPr>
          <w:sz w:val="20"/>
          <w:szCs w:val="20"/>
          <w:color w:val="auto"/>
        </w:rPr>
      </w:pPr>
    </w:p>
    <w:tbl>
      <w:tblPr>
        <w:tblLayout w:type="fixed"/>
        <w:tblInd w:w="2960" w:type="dxa"/>
        <w:tblCellMar>
          <w:top w:w="0" w:type="dxa"/>
          <w:left w:w="0" w:type="dxa"/>
          <w:bottom w:w="0" w:type="dxa"/>
          <w:right w:w="0" w:type="dxa"/>
        </w:tblCellMar>
      </w:tblPr>
      <w:tr>
        <w:trPr>
          <w:trHeight w:val="189"/>
        </w:trPr>
        <w:tc>
          <w:tcPr>
            <w:tcW w:w="3080" w:type="dxa"/>
            <w:vAlign w:val="bottom"/>
          </w:tcPr>
          <w:p>
            <w:pPr>
              <w:spacing w:after="0"/>
              <w:rPr>
                <w:sz w:val="20"/>
                <w:szCs w:val="20"/>
                <w:color w:val="auto"/>
              </w:rPr>
            </w:pPr>
            <w:r>
              <w:rPr>
                <w:rFonts w:ascii="Arial" w:cs="Arial" w:eastAsia="Arial" w:hAnsi="Arial"/>
                <w:sz w:val="16"/>
                <w:szCs w:val="16"/>
                <w:b w:val="1"/>
                <w:bCs w:val="1"/>
                <w:color w:val="auto"/>
              </w:rPr>
              <w:t>Former Chief Financial Officer,</w:t>
            </w:r>
          </w:p>
        </w:tc>
        <w:tc>
          <w:tcPr>
            <w:tcW w:w="5120" w:type="dxa"/>
            <w:vAlign w:val="bottom"/>
            <w:gridSpan w:val="2"/>
          </w:tcPr>
          <w:p>
            <w:pPr>
              <w:ind w:left="360"/>
              <w:spacing w:after="0"/>
              <w:rPr>
                <w:sz w:val="20"/>
                <w:szCs w:val="20"/>
                <w:color w:val="auto"/>
              </w:rPr>
            </w:pPr>
            <w:r>
              <w:rPr>
                <w:rFonts w:ascii="Arial" w:cs="Arial" w:eastAsia="Arial" w:hAnsi="Arial"/>
                <w:sz w:val="16"/>
                <w:szCs w:val="16"/>
                <w:b w:val="1"/>
                <w:bCs w:val="1"/>
                <w:color w:val="auto"/>
              </w:rPr>
              <w:t>SLB Board Committees</w:t>
            </w:r>
          </w:p>
        </w:tc>
        <w:tc>
          <w:tcPr>
            <w:tcW w:w="0" w:type="dxa"/>
            <w:vAlign w:val="bottom"/>
          </w:tcPr>
          <w:p>
            <w:pPr>
              <w:spacing w:after="0"/>
              <w:rPr>
                <w:sz w:val="1"/>
                <w:szCs w:val="1"/>
                <w:color w:val="auto"/>
              </w:rPr>
            </w:pPr>
          </w:p>
        </w:tc>
      </w:tr>
      <w:tr>
        <w:trPr>
          <w:trHeight w:val="189"/>
        </w:trPr>
        <w:tc>
          <w:tcPr>
            <w:tcW w:w="3080" w:type="dxa"/>
            <w:vAlign w:val="bottom"/>
          </w:tcPr>
          <w:p>
            <w:pPr>
              <w:spacing w:after="0"/>
              <w:rPr>
                <w:sz w:val="20"/>
                <w:szCs w:val="20"/>
                <w:color w:val="auto"/>
              </w:rPr>
            </w:pPr>
            <w:r>
              <w:rPr>
                <w:rFonts w:ascii="Arial" w:cs="Arial" w:eastAsia="Arial" w:hAnsi="Arial"/>
                <w:sz w:val="16"/>
                <w:szCs w:val="16"/>
                <w:b w:val="1"/>
                <w:bCs w:val="1"/>
                <w:color w:val="auto"/>
              </w:rPr>
              <w:t>TotalEnergies SE</w:t>
            </w:r>
          </w:p>
        </w:tc>
        <w:tc>
          <w:tcPr>
            <w:tcW w:w="480" w:type="dxa"/>
            <w:vAlign w:val="bottom"/>
          </w:tcPr>
          <w:p>
            <w:pPr>
              <w:ind w:left="360"/>
              <w:spacing w:after="0"/>
              <w:rPr>
                <w:sz w:val="20"/>
                <w:szCs w:val="20"/>
                <w:color w:val="auto"/>
              </w:rPr>
            </w:pPr>
            <w:r>
              <w:rPr>
                <w:rFonts w:ascii="Arial" w:cs="Arial" w:eastAsia="Arial" w:hAnsi="Arial"/>
                <w:sz w:val="16"/>
                <w:szCs w:val="16"/>
                <w:b w:val="1"/>
                <w:bCs w:val="1"/>
                <w:color w:val="16458B"/>
              </w:rPr>
              <w:t>•</w:t>
            </w:r>
          </w:p>
        </w:tc>
        <w:tc>
          <w:tcPr>
            <w:tcW w:w="4640" w:type="dxa"/>
            <w:vAlign w:val="bottom"/>
          </w:tcPr>
          <w:p>
            <w:pPr>
              <w:ind w:left="60"/>
              <w:spacing w:after="0"/>
              <w:rPr>
                <w:sz w:val="20"/>
                <w:szCs w:val="20"/>
                <w:color w:val="auto"/>
              </w:rPr>
            </w:pPr>
            <w:r>
              <w:rPr>
                <w:rFonts w:ascii="Arial" w:cs="Arial" w:eastAsia="Arial" w:hAnsi="Arial"/>
                <w:sz w:val="16"/>
                <w:szCs w:val="16"/>
                <w:color w:val="auto"/>
              </w:rPr>
              <w:t>Audit, Chair</w:t>
            </w:r>
          </w:p>
        </w:tc>
        <w:tc>
          <w:tcPr>
            <w:tcW w:w="0" w:type="dxa"/>
            <w:vAlign w:val="bottom"/>
          </w:tcPr>
          <w:p>
            <w:pPr>
              <w:spacing w:after="0"/>
              <w:rPr>
                <w:sz w:val="1"/>
                <w:szCs w:val="1"/>
                <w:color w:val="auto"/>
              </w:rPr>
            </w:pPr>
          </w:p>
        </w:tc>
      </w:tr>
      <w:tr>
        <w:trPr>
          <w:trHeight w:val="223"/>
        </w:trPr>
        <w:tc>
          <w:tcPr>
            <w:tcW w:w="3080" w:type="dxa"/>
            <w:vAlign w:val="bottom"/>
            <w:vMerge w:val="restart"/>
          </w:tcPr>
          <w:p>
            <w:pPr>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2019</w:t>
            </w:r>
          </w:p>
        </w:tc>
        <w:tc>
          <w:tcPr>
            <w:tcW w:w="480" w:type="dxa"/>
            <w:vAlign w:val="bottom"/>
          </w:tcPr>
          <w:p>
            <w:pPr>
              <w:ind w:left="360"/>
              <w:spacing w:after="0"/>
              <w:rPr>
                <w:sz w:val="20"/>
                <w:szCs w:val="20"/>
                <w:color w:val="auto"/>
              </w:rPr>
            </w:pPr>
            <w:r>
              <w:rPr>
                <w:rFonts w:ascii="Arial" w:cs="Arial" w:eastAsia="Arial" w:hAnsi="Arial"/>
                <w:sz w:val="16"/>
                <w:szCs w:val="16"/>
                <w:b w:val="1"/>
                <w:bCs w:val="1"/>
                <w:color w:val="16458B"/>
              </w:rPr>
              <w:t>•</w:t>
            </w:r>
          </w:p>
        </w:tc>
        <w:tc>
          <w:tcPr>
            <w:tcW w:w="4640" w:type="dxa"/>
            <w:vAlign w:val="bottom"/>
          </w:tcPr>
          <w:p>
            <w:pPr>
              <w:ind w:left="60"/>
              <w:spacing w:after="0"/>
              <w:rPr>
                <w:sz w:val="20"/>
                <w:szCs w:val="20"/>
                <w:color w:val="auto"/>
              </w:rPr>
            </w:pPr>
            <w:r>
              <w:rPr>
                <w:rFonts w:ascii="Arial" w:cs="Arial" w:eastAsia="Arial" w:hAnsi="Arial"/>
                <w:sz w:val="16"/>
                <w:szCs w:val="16"/>
                <w:color w:val="auto"/>
              </w:rPr>
              <w:t>Finance</w:t>
            </w:r>
          </w:p>
        </w:tc>
        <w:tc>
          <w:tcPr>
            <w:tcW w:w="0" w:type="dxa"/>
            <w:vAlign w:val="bottom"/>
          </w:tcPr>
          <w:p>
            <w:pPr>
              <w:spacing w:after="0"/>
              <w:rPr>
                <w:sz w:val="1"/>
                <w:szCs w:val="1"/>
                <w:color w:val="auto"/>
              </w:rPr>
            </w:pPr>
          </w:p>
        </w:tc>
      </w:tr>
      <w:tr>
        <w:trPr>
          <w:trHeight w:val="189"/>
        </w:trPr>
        <w:tc>
          <w:tcPr>
            <w:tcW w:w="3080" w:type="dxa"/>
            <w:vAlign w:val="bottom"/>
            <w:vMerge w:val="continue"/>
          </w:tcPr>
          <w:p>
            <w:pPr>
              <w:spacing w:after="0"/>
              <w:rPr>
                <w:sz w:val="16"/>
                <w:szCs w:val="16"/>
                <w:color w:val="auto"/>
              </w:rPr>
            </w:pPr>
          </w:p>
        </w:tc>
        <w:tc>
          <w:tcPr>
            <w:tcW w:w="5120" w:type="dxa"/>
            <w:vAlign w:val="bottom"/>
            <w:gridSpan w:val="2"/>
            <w:vMerge w:val="restart"/>
          </w:tcPr>
          <w:p>
            <w:pPr>
              <w:ind w:left="360"/>
              <w:spacing w:after="0"/>
              <w:rPr>
                <w:sz w:val="20"/>
                <w:szCs w:val="20"/>
                <w:color w:val="auto"/>
              </w:rPr>
            </w:pPr>
            <w:r>
              <w:rPr>
                <w:rFonts w:ascii="Arial" w:cs="Arial" w:eastAsia="Arial" w:hAnsi="Arial"/>
                <w:sz w:val="16"/>
                <w:szCs w:val="16"/>
                <w:b w:val="1"/>
                <w:bCs w:val="1"/>
                <w:color w:val="auto"/>
              </w:rPr>
              <w:t>Other Experience and Education</w:t>
            </w:r>
          </w:p>
        </w:tc>
        <w:tc>
          <w:tcPr>
            <w:tcW w:w="0" w:type="dxa"/>
            <w:vAlign w:val="bottom"/>
          </w:tcPr>
          <w:p>
            <w:pPr>
              <w:spacing w:after="0"/>
              <w:rPr>
                <w:sz w:val="1"/>
                <w:szCs w:val="1"/>
                <w:color w:val="auto"/>
              </w:rPr>
            </w:pPr>
          </w:p>
        </w:tc>
      </w:tr>
      <w:tr>
        <w:trPr>
          <w:trHeight w:val="155"/>
        </w:trPr>
        <w:tc>
          <w:tcPr>
            <w:tcW w:w="3080" w:type="dxa"/>
            <w:vAlign w:val="bottom"/>
          </w:tcPr>
          <w:p>
            <w:pPr>
              <w:spacing w:after="0"/>
              <w:rPr>
                <w:sz w:val="13"/>
                <w:szCs w:val="13"/>
                <w:color w:val="auto"/>
              </w:rPr>
            </w:pPr>
          </w:p>
        </w:tc>
        <w:tc>
          <w:tcPr>
            <w:tcW w:w="5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080" w:type="dxa"/>
            <w:vAlign w:val="bottom"/>
          </w:tcPr>
          <w:p>
            <w:pPr>
              <w:spacing w:after="0"/>
              <w:rPr>
                <w:sz w:val="20"/>
                <w:szCs w:val="20"/>
                <w:color w:val="auto"/>
              </w:rPr>
            </w:pPr>
            <w:r>
              <w:rPr>
                <w:rFonts w:ascii="Arial" w:cs="Arial" w:eastAsia="Arial" w:hAnsi="Arial"/>
                <w:sz w:val="16"/>
                <w:szCs w:val="16"/>
                <w:b w:val="1"/>
                <w:bCs w:val="1"/>
                <w:color w:val="auto"/>
              </w:rPr>
              <w:t>Other Current Public Boards</w:t>
            </w:r>
          </w:p>
        </w:tc>
        <w:tc>
          <w:tcPr>
            <w:tcW w:w="5120" w:type="dxa"/>
            <w:vAlign w:val="bottom"/>
            <w:gridSpan w:val="2"/>
          </w:tcPr>
          <w:p>
            <w:pPr>
              <w:ind w:left="360"/>
              <w:spacing w:after="0"/>
              <w:rPr>
                <w:sz w:val="20"/>
                <w:szCs w:val="20"/>
                <w:color w:val="auto"/>
              </w:rPr>
            </w:pPr>
            <w:r>
              <w:rPr>
                <w:rFonts w:ascii="Arial" w:cs="Arial" w:eastAsia="Arial" w:hAnsi="Arial"/>
                <w:sz w:val="16"/>
                <w:szCs w:val="16"/>
                <w:b w:val="1"/>
                <w:bCs w:val="1"/>
                <w:color w:val="16458B"/>
              </w:rPr>
              <w:t xml:space="preserve">•  </w:t>
            </w:r>
            <w:r>
              <w:rPr>
                <w:rFonts w:ascii="Arial" w:cs="Arial" w:eastAsia="Arial" w:hAnsi="Arial"/>
                <w:sz w:val="16"/>
                <w:szCs w:val="16"/>
                <w:color w:val="000000"/>
              </w:rPr>
              <w:t>Experienced director of several French-based public companies</w:t>
            </w:r>
          </w:p>
        </w:tc>
        <w:tc>
          <w:tcPr>
            <w:tcW w:w="0" w:type="dxa"/>
            <w:vAlign w:val="bottom"/>
          </w:tcPr>
          <w:p>
            <w:pPr>
              <w:spacing w:after="0"/>
              <w:rPr>
                <w:sz w:val="1"/>
                <w:szCs w:val="1"/>
                <w:color w:val="auto"/>
              </w:rPr>
            </w:pPr>
          </w:p>
        </w:tc>
      </w:tr>
      <w:tr>
        <w:trPr>
          <w:trHeight w:val="189"/>
        </w:trPr>
        <w:tc>
          <w:tcPr>
            <w:tcW w:w="3080" w:type="dxa"/>
            <w:vAlign w:val="bottom"/>
          </w:tcPr>
          <w:p>
            <w:pPr>
              <w:spacing w:after="0"/>
              <w:rPr>
                <w:sz w:val="20"/>
                <w:szCs w:val="20"/>
                <w:color w:val="auto"/>
              </w:rPr>
            </w:pPr>
            <w:r>
              <w:rPr>
                <w:rFonts w:ascii="Arial" w:cs="Arial" w:eastAsia="Arial" w:hAnsi="Arial"/>
                <w:sz w:val="16"/>
                <w:szCs w:val="16"/>
                <w:b w:val="1"/>
                <w:bCs w:val="1"/>
                <w:color w:val="16458B"/>
              </w:rPr>
              <w:t xml:space="preserve">•  </w:t>
            </w:r>
            <w:r>
              <w:rPr>
                <w:rFonts w:ascii="Arial" w:cs="Arial" w:eastAsia="Arial" w:hAnsi="Arial"/>
                <w:sz w:val="16"/>
                <w:szCs w:val="16"/>
                <w:color w:val="000000"/>
              </w:rPr>
              <w:t>Michelin (Compagnie Générale des</w:t>
            </w:r>
          </w:p>
        </w:tc>
        <w:tc>
          <w:tcPr>
            <w:tcW w:w="5120" w:type="dxa"/>
            <w:vAlign w:val="bottom"/>
            <w:gridSpan w:val="2"/>
          </w:tcPr>
          <w:p>
            <w:pPr>
              <w:ind w:left="360"/>
              <w:spacing w:after="0"/>
              <w:rPr>
                <w:sz w:val="20"/>
                <w:szCs w:val="20"/>
                <w:color w:val="auto"/>
              </w:rPr>
            </w:pPr>
            <w:r>
              <w:rPr>
                <w:rFonts w:ascii="Arial" w:cs="Arial" w:eastAsia="Arial" w:hAnsi="Arial"/>
                <w:sz w:val="16"/>
                <w:szCs w:val="16"/>
                <w:b w:val="1"/>
                <w:bCs w:val="1"/>
                <w:color w:val="16458B"/>
              </w:rPr>
              <w:t xml:space="preserve">•  </w:t>
            </w:r>
            <w:r>
              <w:rPr>
                <w:rFonts w:ascii="Arial" w:cs="Arial" w:eastAsia="Arial" w:hAnsi="Arial"/>
                <w:sz w:val="16"/>
                <w:szCs w:val="16"/>
                <w:color w:val="000000"/>
              </w:rPr>
              <w:t>Diplôme d’Ingénieur, an engineering degree, École Centrale de</w:t>
            </w:r>
          </w:p>
        </w:tc>
        <w:tc>
          <w:tcPr>
            <w:tcW w:w="0" w:type="dxa"/>
            <w:vAlign w:val="bottom"/>
          </w:tcPr>
          <w:p>
            <w:pPr>
              <w:spacing w:after="0"/>
              <w:rPr>
                <w:sz w:val="1"/>
                <w:szCs w:val="1"/>
                <w:color w:val="auto"/>
              </w:rPr>
            </w:pPr>
          </w:p>
        </w:tc>
      </w:tr>
      <w:tr>
        <w:trPr>
          <w:trHeight w:val="215"/>
        </w:trPr>
        <w:tc>
          <w:tcPr>
            <w:tcW w:w="3080" w:type="dxa"/>
            <w:vAlign w:val="bottom"/>
          </w:tcPr>
          <w:p>
            <w:pPr>
              <w:ind w:left="180"/>
              <w:spacing w:after="0"/>
              <w:rPr>
                <w:sz w:val="20"/>
                <w:szCs w:val="20"/>
                <w:color w:val="auto"/>
              </w:rPr>
            </w:pPr>
            <w:r>
              <w:rPr>
                <w:rFonts w:ascii="Arial" w:cs="Arial" w:eastAsia="Arial" w:hAnsi="Arial"/>
                <w:sz w:val="16"/>
                <w:szCs w:val="16"/>
                <w:color w:val="auto"/>
              </w:rPr>
              <w:t>Établissements Michelin SCA)</w:t>
            </w:r>
          </w:p>
        </w:tc>
        <w:tc>
          <w:tcPr>
            <w:tcW w:w="480" w:type="dxa"/>
            <w:vAlign w:val="bottom"/>
          </w:tcPr>
          <w:p>
            <w:pPr>
              <w:spacing w:after="0"/>
              <w:rPr>
                <w:sz w:val="18"/>
                <w:szCs w:val="18"/>
                <w:color w:val="auto"/>
              </w:rPr>
            </w:pPr>
          </w:p>
        </w:tc>
        <w:tc>
          <w:tcPr>
            <w:tcW w:w="4640" w:type="dxa"/>
            <w:vAlign w:val="bottom"/>
          </w:tcPr>
          <w:p>
            <w:pPr>
              <w:ind w:left="60"/>
              <w:spacing w:after="0"/>
              <w:rPr>
                <w:sz w:val="20"/>
                <w:szCs w:val="20"/>
                <w:color w:val="auto"/>
              </w:rPr>
            </w:pPr>
            <w:r>
              <w:rPr>
                <w:rFonts w:ascii="Arial" w:cs="Arial" w:eastAsia="Arial" w:hAnsi="Arial"/>
                <w:sz w:val="16"/>
                <w:szCs w:val="16"/>
                <w:color w:val="auto"/>
              </w:rPr>
              <w:t>Paris</w:t>
            </w: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Former Public Director Roles</w:t>
      </w:r>
    </w:p>
    <w:p>
      <w:pPr>
        <w:spacing w:after="0" w:line="21"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During the Past Five Years</w:t>
      </w:r>
    </w:p>
    <w:p>
      <w:pPr>
        <w:spacing w:after="0" w:line="5" w:lineRule="exact"/>
        <w:rPr>
          <w:sz w:val="20"/>
          <w:szCs w:val="20"/>
          <w:color w:val="auto"/>
        </w:rPr>
      </w:pPr>
    </w:p>
    <w:p>
      <w:pPr>
        <w:ind w:left="3160" w:hanging="200"/>
        <w:spacing w:after="0"/>
        <w:tabs>
          <w:tab w:leader="none" w:pos="3160" w:val="left"/>
        </w:tabs>
        <w:numPr>
          <w:ilvl w:val="0"/>
          <w:numId w:val="8"/>
        </w:numPr>
        <w:rPr>
          <w:rFonts w:ascii="Arial" w:cs="Arial" w:eastAsia="Arial" w:hAnsi="Arial"/>
          <w:sz w:val="16"/>
          <w:szCs w:val="16"/>
          <w:b w:val="1"/>
          <w:bCs w:val="1"/>
          <w:color w:val="16458B"/>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576580</wp:posOffset>
            </wp:positionV>
            <wp:extent cx="713232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ind w:left="60" w:right="60"/>
        <w:spacing w:after="0" w:line="253" w:lineRule="auto"/>
        <w:rPr>
          <w:sz w:val="20"/>
          <w:szCs w:val="20"/>
          <w:color w:val="auto"/>
        </w:rPr>
      </w:pPr>
      <w:r>
        <w:rPr>
          <w:rFonts w:ascii="Arial" w:cs="Arial" w:eastAsia="Arial" w:hAnsi="Arial"/>
          <w:sz w:val="16"/>
          <w:szCs w:val="16"/>
          <w:color w:val="auto"/>
        </w:rPr>
        <w:t>PATRICK DE LA CHEVARDIÈRE is the former Chief Financial Officer of TotalEnergies SE, a French multinational integrated oil and gas company. He served as TotalEnergies’ CFO and as a member of its executive committee from 2008 until his retirement in August 2019. Prior to that, he served in a variety of finance and operational roles with TotalEnergies over his 37-year career, including as Deputy Chief Financial Officer from 2003 to 2008, Vice President, Asia for Refining &amp; Marketing from 2000 to 2003, and Vice President, Operations and Subsidiaries from 1995 to 2000. Since June 2020, Mr. de La Chevardière has also served as a member and chairman of the audit committee of the supervisory board of Michelin, a French multinational tire manufacturer. He also previously served on the boards of directors of two other French-based public companies, Sanofi-Aventis and Compagnie Générale de Géophysique.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Reason for Nomination</w:t>
      </w:r>
    </w:p>
    <w:p>
      <w:pPr>
        <w:spacing w:after="0" w:line="21" w:lineRule="exact"/>
        <w:rPr>
          <w:sz w:val="20"/>
          <w:szCs w:val="20"/>
          <w:color w:val="auto"/>
        </w:rPr>
      </w:pPr>
    </w:p>
    <w:p>
      <w:pPr>
        <w:jc w:val="both"/>
        <w:ind w:left="60" w:right="60"/>
        <w:spacing w:after="0" w:line="256" w:lineRule="auto"/>
        <w:rPr>
          <w:sz w:val="20"/>
          <w:szCs w:val="20"/>
          <w:color w:val="auto"/>
        </w:rPr>
      </w:pPr>
      <w:r>
        <w:rPr>
          <w:rFonts w:ascii="Arial" w:cs="Arial" w:eastAsia="Arial" w:hAnsi="Arial"/>
          <w:sz w:val="16"/>
          <w:szCs w:val="16"/>
          <w:color w:val="auto"/>
        </w:rPr>
        <w:t>Mr. de La Chevardière brings to the Board financial and industry experience as a former CFO of a large multinational energy company. The Board benefits from his customer-focused perspective on the oilfield services industry, and from his experience across the entire energy value chain, from exploration, operations, production, trading, and marketing to refining and new 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Miguel Galuccio,</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Non-Executive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202311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2023110"/>
                    </a:xfrm>
                    <a:prstGeom prst="rect">
                      <a:avLst/>
                    </a:prstGeom>
                    <a:noFill/>
                  </pic:spPr>
                </pic:pic>
              </a:graphicData>
            </a:graphic>
          </wp:anchor>
        </w:drawing>
      </w:r>
    </w:p>
    <w:p>
      <w:pPr>
        <w:spacing w:after="0" w:line="151" w:lineRule="exact"/>
        <w:rPr>
          <w:sz w:val="20"/>
          <w:szCs w:val="20"/>
          <w:color w:val="auto"/>
        </w:rPr>
      </w:pPr>
    </w:p>
    <w:tbl>
      <w:tblPr>
        <w:tblLayout w:type="fixed"/>
        <w:tblInd w:w="2960" w:type="dxa"/>
        <w:tblCellMar>
          <w:top w:w="0" w:type="dxa"/>
          <w:left w:w="0" w:type="dxa"/>
          <w:bottom w:w="0" w:type="dxa"/>
          <w:right w:w="0" w:type="dxa"/>
        </w:tblCellMar>
      </w:tblPr>
      <w:tr>
        <w:trPr>
          <w:trHeight w:val="189"/>
        </w:trPr>
        <w:tc>
          <w:tcPr>
            <w:tcW w:w="3140" w:type="dxa"/>
            <w:vAlign w:val="bottom"/>
          </w:tcPr>
          <w:p>
            <w:pPr>
              <w:spacing w:after="0"/>
              <w:rPr>
                <w:sz w:val="20"/>
                <w:szCs w:val="20"/>
                <w:color w:val="auto"/>
              </w:rPr>
            </w:pPr>
            <w:r>
              <w:rPr>
                <w:rFonts w:ascii="Arial" w:cs="Arial" w:eastAsia="Arial" w:hAnsi="Arial"/>
                <w:sz w:val="16"/>
                <w:szCs w:val="16"/>
                <w:b w:val="1"/>
                <w:bCs w:val="1"/>
                <w:color w:val="auto"/>
              </w:rPr>
              <w:t>Chairman and Chief Executive Officer,</w:t>
            </w:r>
          </w:p>
        </w:tc>
        <w:tc>
          <w:tcPr>
            <w:tcW w:w="4360" w:type="dxa"/>
            <w:vAlign w:val="bottom"/>
          </w:tcPr>
          <w:p>
            <w:pPr>
              <w:ind w:left="220"/>
              <w:spacing w:after="0"/>
              <w:rPr>
                <w:sz w:val="20"/>
                <w:szCs w:val="20"/>
                <w:color w:val="auto"/>
              </w:rPr>
            </w:pPr>
            <w:r>
              <w:rPr>
                <w:rFonts w:ascii="Arial" w:cs="Arial" w:eastAsia="Arial" w:hAnsi="Arial"/>
                <w:sz w:val="16"/>
                <w:szCs w:val="16"/>
                <w:b w:val="1"/>
                <w:bCs w:val="1"/>
                <w:color w:val="auto"/>
              </w:rPr>
              <w:t>SLB Board Committees</w:t>
            </w:r>
          </w:p>
        </w:tc>
        <w:tc>
          <w:tcPr>
            <w:tcW w:w="0" w:type="dxa"/>
            <w:vAlign w:val="bottom"/>
          </w:tcPr>
          <w:p>
            <w:pPr>
              <w:spacing w:after="0"/>
              <w:rPr>
                <w:sz w:val="1"/>
                <w:szCs w:val="1"/>
                <w:color w:val="auto"/>
              </w:rPr>
            </w:pPr>
          </w:p>
        </w:tc>
      </w:tr>
      <w:tr>
        <w:trPr>
          <w:trHeight w:val="223"/>
        </w:trPr>
        <w:tc>
          <w:tcPr>
            <w:tcW w:w="3140" w:type="dxa"/>
            <w:vAlign w:val="bottom"/>
          </w:tcPr>
          <w:p>
            <w:pPr>
              <w:spacing w:after="0"/>
              <w:rPr>
                <w:sz w:val="20"/>
                <w:szCs w:val="20"/>
                <w:color w:val="auto"/>
              </w:rPr>
            </w:pPr>
            <w:r>
              <w:rPr>
                <w:rFonts w:ascii="Arial" w:cs="Arial" w:eastAsia="Arial" w:hAnsi="Arial"/>
                <w:sz w:val="16"/>
                <w:szCs w:val="16"/>
                <w:b w:val="1"/>
                <w:bCs w:val="1"/>
                <w:color w:val="auto"/>
              </w:rPr>
              <w:t>Vista</w:t>
            </w:r>
          </w:p>
        </w:tc>
        <w:tc>
          <w:tcPr>
            <w:tcW w:w="4360" w:type="dxa"/>
            <w:vAlign w:val="bottom"/>
          </w:tcPr>
          <w:p>
            <w:pPr>
              <w:ind w:left="220"/>
              <w:spacing w:after="0"/>
              <w:rPr>
                <w:sz w:val="20"/>
                <w:szCs w:val="20"/>
                <w:color w:val="auto"/>
              </w:rPr>
            </w:pPr>
            <w:r>
              <w:rPr>
                <w:rFonts w:ascii="Arial" w:cs="Arial" w:eastAsia="Arial" w:hAnsi="Arial"/>
                <w:sz w:val="16"/>
                <w:szCs w:val="16"/>
                <w:b w:val="1"/>
                <w:bCs w:val="1"/>
                <w:color w:val="16458B"/>
              </w:rPr>
              <w:t xml:space="preserve">•  </w:t>
            </w:r>
            <w:r>
              <w:rPr>
                <w:rFonts w:ascii="Arial" w:cs="Arial" w:eastAsia="Arial" w:hAnsi="Arial"/>
                <w:sz w:val="16"/>
                <w:szCs w:val="16"/>
                <w:color w:val="000000"/>
              </w:rPr>
              <w:t>Finance, Chair</w:t>
            </w:r>
          </w:p>
        </w:tc>
        <w:tc>
          <w:tcPr>
            <w:tcW w:w="0" w:type="dxa"/>
            <w:vAlign w:val="bottom"/>
          </w:tcPr>
          <w:p>
            <w:pPr>
              <w:spacing w:after="0"/>
              <w:rPr>
                <w:sz w:val="1"/>
                <w:szCs w:val="1"/>
                <w:color w:val="auto"/>
              </w:rPr>
            </w:pPr>
          </w:p>
        </w:tc>
      </w:tr>
      <w:tr>
        <w:trPr>
          <w:trHeight w:val="344"/>
        </w:trPr>
        <w:tc>
          <w:tcPr>
            <w:tcW w:w="3140" w:type="dxa"/>
            <w:vAlign w:val="bottom"/>
          </w:tcPr>
          <w:p>
            <w:pPr>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2017</w:t>
            </w:r>
          </w:p>
        </w:tc>
        <w:tc>
          <w:tcPr>
            <w:tcW w:w="4360" w:type="dxa"/>
            <w:vAlign w:val="bottom"/>
          </w:tcPr>
          <w:p>
            <w:pPr>
              <w:ind w:left="220"/>
              <w:spacing w:after="0"/>
              <w:rPr>
                <w:sz w:val="20"/>
                <w:szCs w:val="20"/>
                <w:color w:val="auto"/>
              </w:rPr>
            </w:pPr>
            <w:r>
              <w:rPr>
                <w:rFonts w:ascii="Arial" w:cs="Arial" w:eastAsia="Arial" w:hAnsi="Arial"/>
                <w:sz w:val="16"/>
                <w:szCs w:val="16"/>
                <w:b w:val="1"/>
                <w:bCs w:val="1"/>
                <w:color w:val="auto"/>
              </w:rPr>
              <w:t>Other Experience and Education</w:t>
            </w:r>
          </w:p>
        </w:tc>
        <w:tc>
          <w:tcPr>
            <w:tcW w:w="0" w:type="dxa"/>
            <w:vAlign w:val="bottom"/>
          </w:tcPr>
          <w:p>
            <w:pPr>
              <w:spacing w:after="0"/>
              <w:rPr>
                <w:sz w:val="1"/>
                <w:szCs w:val="1"/>
                <w:color w:val="auto"/>
              </w:rPr>
            </w:pPr>
          </w:p>
        </w:tc>
      </w:tr>
      <w:tr>
        <w:trPr>
          <w:trHeight w:val="189"/>
        </w:trPr>
        <w:tc>
          <w:tcPr>
            <w:tcW w:w="3140" w:type="dxa"/>
            <w:vAlign w:val="bottom"/>
          </w:tcPr>
          <w:p>
            <w:pPr>
              <w:spacing w:after="0"/>
              <w:rPr>
                <w:sz w:val="16"/>
                <w:szCs w:val="16"/>
                <w:color w:val="auto"/>
              </w:rPr>
            </w:pPr>
          </w:p>
        </w:tc>
        <w:tc>
          <w:tcPr>
            <w:tcW w:w="4360" w:type="dxa"/>
            <w:vAlign w:val="bottom"/>
          </w:tcPr>
          <w:p>
            <w:pPr>
              <w:ind w:left="220"/>
              <w:spacing w:after="0"/>
              <w:rPr>
                <w:sz w:val="20"/>
                <w:szCs w:val="20"/>
                <w:color w:val="auto"/>
              </w:rPr>
            </w:pPr>
            <w:r>
              <w:rPr>
                <w:rFonts w:ascii="Arial" w:cs="Arial" w:eastAsia="Arial" w:hAnsi="Arial"/>
                <w:sz w:val="16"/>
                <w:szCs w:val="16"/>
                <w:b w:val="1"/>
                <w:bCs w:val="1"/>
                <w:color w:val="16458B"/>
              </w:rPr>
              <w:t xml:space="preserve">•  </w:t>
            </w:r>
            <w:r>
              <w:rPr>
                <w:rFonts w:ascii="Arial" w:cs="Arial" w:eastAsia="Arial" w:hAnsi="Arial"/>
                <w:sz w:val="16"/>
                <w:szCs w:val="16"/>
                <w:color w:val="000000"/>
              </w:rPr>
              <w:t>Bachelor of Science in Petroleum Engineering, Instituto</w:t>
            </w:r>
          </w:p>
        </w:tc>
        <w:tc>
          <w:tcPr>
            <w:tcW w:w="0" w:type="dxa"/>
            <w:vAlign w:val="bottom"/>
          </w:tcPr>
          <w:p>
            <w:pPr>
              <w:spacing w:after="0"/>
              <w:rPr>
                <w:sz w:val="1"/>
                <w:szCs w:val="1"/>
                <w:color w:val="auto"/>
              </w:rPr>
            </w:pPr>
          </w:p>
        </w:tc>
      </w:tr>
      <w:tr>
        <w:trPr>
          <w:trHeight w:val="189"/>
        </w:trPr>
        <w:tc>
          <w:tcPr>
            <w:tcW w:w="3140" w:type="dxa"/>
            <w:vAlign w:val="bottom"/>
          </w:tcPr>
          <w:p>
            <w:pPr>
              <w:spacing w:after="0"/>
              <w:rPr>
                <w:sz w:val="20"/>
                <w:szCs w:val="20"/>
                <w:color w:val="auto"/>
              </w:rPr>
            </w:pPr>
            <w:r>
              <w:rPr>
                <w:rFonts w:ascii="Arial" w:cs="Arial" w:eastAsia="Arial" w:hAnsi="Arial"/>
                <w:sz w:val="16"/>
                <w:szCs w:val="16"/>
                <w:b w:val="1"/>
                <w:bCs w:val="1"/>
                <w:color w:val="auto"/>
              </w:rPr>
              <w:t>Other Current Public Boards</w:t>
            </w:r>
          </w:p>
        </w:tc>
        <w:tc>
          <w:tcPr>
            <w:tcW w:w="4360" w:type="dxa"/>
            <w:vAlign w:val="bottom"/>
          </w:tcPr>
          <w:p>
            <w:pPr>
              <w:ind w:left="400"/>
              <w:spacing w:after="0"/>
              <w:rPr>
                <w:sz w:val="20"/>
                <w:szCs w:val="20"/>
                <w:color w:val="auto"/>
              </w:rPr>
            </w:pPr>
            <w:r>
              <w:rPr>
                <w:rFonts w:ascii="Arial" w:cs="Arial" w:eastAsia="Arial" w:hAnsi="Arial"/>
                <w:sz w:val="16"/>
                <w:szCs w:val="16"/>
                <w:color w:val="auto"/>
              </w:rPr>
              <w:t>Tecnológico de Buenos Aires</w:t>
            </w:r>
          </w:p>
        </w:tc>
        <w:tc>
          <w:tcPr>
            <w:tcW w:w="0" w:type="dxa"/>
            <w:vAlign w:val="bottom"/>
          </w:tcPr>
          <w:p>
            <w:pPr>
              <w:spacing w:after="0"/>
              <w:rPr>
                <w:sz w:val="1"/>
                <w:szCs w:val="1"/>
                <w:color w:val="auto"/>
              </w:rPr>
            </w:pPr>
          </w:p>
        </w:tc>
      </w:tr>
      <w:tr>
        <w:trPr>
          <w:trHeight w:val="189"/>
        </w:trPr>
        <w:tc>
          <w:tcPr>
            <w:tcW w:w="3140" w:type="dxa"/>
            <w:vAlign w:val="bottom"/>
          </w:tcPr>
          <w:p>
            <w:pPr>
              <w:spacing w:after="0"/>
              <w:rPr>
                <w:sz w:val="20"/>
                <w:szCs w:val="20"/>
                <w:color w:val="auto"/>
              </w:rPr>
            </w:pPr>
            <w:r>
              <w:rPr>
                <w:rFonts w:ascii="Arial" w:cs="Arial" w:eastAsia="Arial" w:hAnsi="Arial"/>
                <w:sz w:val="16"/>
                <w:szCs w:val="16"/>
                <w:b w:val="1"/>
                <w:bCs w:val="1"/>
                <w:color w:val="16458B"/>
              </w:rPr>
              <w:t xml:space="preserve">•  </w:t>
            </w:r>
            <w:r>
              <w:rPr>
                <w:rFonts w:ascii="Arial" w:cs="Arial" w:eastAsia="Arial" w:hAnsi="Arial"/>
                <w:sz w:val="16"/>
                <w:szCs w:val="16"/>
                <w:color w:val="000000"/>
              </w:rPr>
              <w:t>Vista</w:t>
            </w:r>
          </w:p>
        </w:tc>
        <w:tc>
          <w:tcPr>
            <w:tcW w:w="4360" w:type="dxa"/>
            <w:vAlign w:val="bottom"/>
          </w:tcPr>
          <w:p>
            <w:pPr>
              <w:ind w:left="220"/>
              <w:spacing w:after="0"/>
              <w:rPr>
                <w:sz w:val="20"/>
                <w:szCs w:val="20"/>
                <w:color w:val="auto"/>
              </w:rPr>
            </w:pPr>
            <w:r>
              <w:rPr>
                <w:rFonts w:ascii="Arial" w:cs="Arial" w:eastAsia="Arial" w:hAnsi="Arial"/>
                <w:sz w:val="16"/>
                <w:szCs w:val="16"/>
                <w:b w:val="1"/>
                <w:bCs w:val="1"/>
                <w:color w:val="16458B"/>
              </w:rPr>
              <w:t xml:space="preserve">•  </w:t>
            </w:r>
            <w:r>
              <w:rPr>
                <w:rFonts w:ascii="Arial" w:cs="Arial" w:eastAsia="Arial" w:hAnsi="Arial"/>
                <w:sz w:val="16"/>
                <w:szCs w:val="16"/>
                <w:color w:val="000000"/>
              </w:rPr>
              <w:t>SLB training and expertise</w:t>
            </w:r>
          </w:p>
        </w:tc>
        <w:tc>
          <w:tcPr>
            <w:tcW w:w="0" w:type="dxa"/>
            <w:vAlign w:val="bottom"/>
          </w:tcPr>
          <w:p>
            <w:pPr>
              <w:spacing w:after="0"/>
              <w:rPr>
                <w:sz w:val="1"/>
                <w:szCs w:val="1"/>
                <w:color w:val="auto"/>
              </w:rPr>
            </w:pPr>
          </w:p>
        </w:tc>
      </w:tr>
      <w:tr>
        <w:trPr>
          <w:trHeight w:val="223"/>
        </w:trPr>
        <w:tc>
          <w:tcPr>
            <w:tcW w:w="3140" w:type="dxa"/>
            <w:vAlign w:val="bottom"/>
            <w:vMerge w:val="restart"/>
          </w:tcPr>
          <w:p>
            <w:pPr>
              <w:spacing w:after="0"/>
              <w:rPr>
                <w:sz w:val="20"/>
                <w:szCs w:val="20"/>
                <w:color w:val="auto"/>
              </w:rPr>
            </w:pPr>
            <w:r>
              <w:rPr>
                <w:rFonts w:ascii="Arial" w:cs="Arial" w:eastAsia="Arial" w:hAnsi="Arial"/>
                <w:sz w:val="16"/>
                <w:szCs w:val="16"/>
                <w:b w:val="1"/>
                <w:bCs w:val="1"/>
                <w:color w:val="auto"/>
              </w:rPr>
              <w:t>Former Public Director Roles</w:t>
            </w:r>
          </w:p>
        </w:tc>
        <w:tc>
          <w:tcPr>
            <w:tcW w:w="4360" w:type="dxa"/>
            <w:vAlign w:val="bottom"/>
          </w:tcPr>
          <w:p>
            <w:pPr>
              <w:ind w:left="220"/>
              <w:spacing w:after="0"/>
              <w:rPr>
                <w:sz w:val="20"/>
                <w:szCs w:val="20"/>
                <w:color w:val="auto"/>
              </w:rPr>
            </w:pPr>
            <w:r>
              <w:rPr>
                <w:rFonts w:ascii="Arial" w:cs="Arial" w:eastAsia="Arial" w:hAnsi="Arial"/>
                <w:sz w:val="16"/>
                <w:szCs w:val="16"/>
                <w:b w:val="1"/>
                <w:bCs w:val="1"/>
                <w:color w:val="16458B"/>
              </w:rPr>
              <w:t xml:space="preserve">•  </w:t>
            </w:r>
            <w:r>
              <w:rPr>
                <w:rFonts w:ascii="Arial" w:cs="Arial" w:eastAsia="Arial" w:hAnsi="Arial"/>
                <w:sz w:val="16"/>
                <w:szCs w:val="16"/>
                <w:color w:val="000000"/>
              </w:rPr>
              <w:t>Latin America energy policy expertise</w:t>
            </w:r>
          </w:p>
        </w:tc>
        <w:tc>
          <w:tcPr>
            <w:tcW w:w="0" w:type="dxa"/>
            <w:vAlign w:val="bottom"/>
          </w:tcPr>
          <w:p>
            <w:pPr>
              <w:spacing w:after="0"/>
              <w:rPr>
                <w:sz w:val="1"/>
                <w:szCs w:val="1"/>
                <w:color w:val="auto"/>
              </w:rPr>
            </w:pPr>
          </w:p>
        </w:tc>
      </w:tr>
      <w:tr>
        <w:trPr>
          <w:trHeight w:val="155"/>
        </w:trPr>
        <w:tc>
          <w:tcPr>
            <w:tcW w:w="3140" w:type="dxa"/>
            <w:vAlign w:val="bottom"/>
            <w:vMerge w:val="continue"/>
          </w:tcPr>
          <w:p>
            <w:pPr>
              <w:spacing w:after="0"/>
              <w:rPr>
                <w:sz w:val="13"/>
                <w:szCs w:val="13"/>
                <w:color w:val="auto"/>
              </w:rPr>
            </w:pPr>
          </w:p>
        </w:tc>
        <w:tc>
          <w:tcPr>
            <w:tcW w:w="4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140" w:type="dxa"/>
            <w:vAlign w:val="bottom"/>
          </w:tcPr>
          <w:p>
            <w:pPr>
              <w:spacing w:after="0"/>
              <w:rPr>
                <w:sz w:val="20"/>
                <w:szCs w:val="20"/>
                <w:color w:val="auto"/>
              </w:rPr>
            </w:pPr>
            <w:r>
              <w:rPr>
                <w:rFonts w:ascii="Arial" w:cs="Arial" w:eastAsia="Arial" w:hAnsi="Arial"/>
                <w:sz w:val="16"/>
                <w:szCs w:val="16"/>
                <w:b w:val="1"/>
                <w:bCs w:val="1"/>
                <w:color w:val="auto"/>
              </w:rPr>
              <w:t>During the Past Five Years</w:t>
            </w:r>
          </w:p>
        </w:tc>
        <w:tc>
          <w:tcPr>
            <w:tcW w:w="4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140" w:type="dxa"/>
            <w:vAlign w:val="bottom"/>
          </w:tcPr>
          <w:p>
            <w:pPr>
              <w:spacing w:after="0"/>
              <w:rPr>
                <w:sz w:val="20"/>
                <w:szCs w:val="20"/>
                <w:color w:val="auto"/>
              </w:rPr>
            </w:pPr>
            <w:r>
              <w:rPr>
                <w:rFonts w:ascii="Arial" w:cs="Arial" w:eastAsia="Arial" w:hAnsi="Arial"/>
                <w:sz w:val="16"/>
                <w:szCs w:val="16"/>
                <w:b w:val="1"/>
                <w:bCs w:val="1"/>
                <w:color w:val="16458B"/>
              </w:rPr>
              <w:t xml:space="preserve">•  </w:t>
            </w:r>
            <w:r>
              <w:rPr>
                <w:rFonts w:ascii="Arial" w:cs="Arial" w:eastAsia="Arial" w:hAnsi="Arial"/>
                <w:sz w:val="16"/>
                <w:szCs w:val="16"/>
                <w:color w:val="000000"/>
              </w:rPr>
              <w:t>None</w:t>
            </w:r>
          </w:p>
        </w:tc>
        <w:tc>
          <w:tcPr>
            <w:tcW w:w="4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690880</wp:posOffset>
            </wp:positionV>
            <wp:extent cx="713232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60" w:right="60"/>
        <w:spacing w:after="0" w:line="253" w:lineRule="auto"/>
        <w:rPr>
          <w:sz w:val="20"/>
          <w:szCs w:val="20"/>
          <w:color w:val="auto"/>
        </w:rPr>
      </w:pPr>
      <w:r>
        <w:rPr>
          <w:rFonts w:ascii="Arial" w:cs="Arial" w:eastAsia="Arial" w:hAnsi="Arial"/>
          <w:sz w:val="16"/>
          <w:szCs w:val="16"/>
          <w:color w:val="auto"/>
        </w:rPr>
        <w:t>MIGUEL GALUCCIO founded and is the Chairman and Chief Executive Officer of Vista Energy, S.A.B. de C.V. (Vista), the first listed independent energy company to operate and produce in the Vaca Muerta formation in Argentina, having held that position since 2017. In 2016, he co-founded GRIDX, a science-based incubation fund that creates and invests in biotech startups in Latin America, where he currently acts as chairman. Prior to that, from 2012 to 2016, he served as Chairman and Chief Executive Officer of YPF, Argentina’s largest energy company. From 1999 to 2012, he was an employee of SLB and held several international positions, his last being President, SLB Production Management. Prior to his employment at SLB, he served in various executive positions at YPF and its subsidiaries from 1994 to 1999, including YPF International. Mr. Galuccio is also a director of Nilus, a start-up company that develops technologies to lower the cost of living for low-income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Reason for Nomination</w:t>
      </w:r>
    </w:p>
    <w:p>
      <w:pPr>
        <w:spacing w:after="0" w:line="21" w:lineRule="exact"/>
        <w:rPr>
          <w:sz w:val="20"/>
          <w:szCs w:val="20"/>
          <w:color w:val="auto"/>
        </w:rPr>
      </w:pPr>
    </w:p>
    <w:p>
      <w:pPr>
        <w:jc w:val="both"/>
        <w:ind w:left="60" w:right="60"/>
        <w:spacing w:after="0" w:line="252" w:lineRule="auto"/>
        <w:rPr>
          <w:sz w:val="20"/>
          <w:szCs w:val="20"/>
          <w:color w:val="auto"/>
        </w:rPr>
      </w:pPr>
      <w:r>
        <w:rPr>
          <w:rFonts w:ascii="Arial" w:cs="Arial" w:eastAsia="Arial" w:hAnsi="Arial"/>
          <w:sz w:val="16"/>
          <w:szCs w:val="16"/>
          <w:color w:val="auto"/>
        </w:rPr>
        <w:t>Mr. Galuccio brings to the Board leadership and operational expertise from his experience as former chairman and chief executive officer of Argentina’s largest energy company, which under his leadership became the world’s largest producer of shale oil outside of North America. He has valuable insight into the domestic and international energy policies of Argentina, Mexico, Venezuela, and Ecuador, and he brings a unique perspective of customer and company operations. He also remains active in the oil and gas exploration and production industry as a chief executive officer of an energy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471170" cy="28257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71170" cy="28257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jc w:val="both"/>
        <w:ind w:left="5540"/>
        <w:spacing w:after="0"/>
        <w:tabs>
          <w:tab w:leader="none" w:pos="9540" w:val="left"/>
        </w:tabs>
        <w:rPr>
          <w:sz w:val="20"/>
          <w:szCs w:val="20"/>
          <w:color w:val="auto"/>
        </w:rPr>
      </w:pPr>
      <w:r>
        <w:rPr>
          <w:rFonts w:ascii="Arial" w:cs="Arial" w:eastAsia="Arial" w:hAnsi="Arial"/>
          <w:sz w:val="16"/>
          <w:szCs w:val="16"/>
          <w:b w:val="1"/>
          <w:bCs w:val="1"/>
          <w:color w:val="auto"/>
        </w:rPr>
        <w:t>14</w:t>
      </w:r>
      <w:r>
        <w:rPr>
          <w:sz w:val="20"/>
          <w:szCs w:val="20"/>
          <w:color w:val="auto"/>
        </w:rPr>
        <w:tab/>
      </w:r>
      <w:r>
        <w:rPr>
          <w:rFonts w:ascii="Arial" w:cs="Arial" w:eastAsia="Arial" w:hAnsi="Arial"/>
          <w:sz w:val="16"/>
          <w:szCs w:val="16"/>
          <w:b w:val="1"/>
          <w:bCs w:val="1"/>
          <w:color w:val="636466"/>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-29845</wp:posOffset>
            </wp:positionV>
            <wp:extent cx="54178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342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Jim Hackett,</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Independent Chair of the SLB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20148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2014855"/>
                    </a:xfrm>
                    <a:prstGeom prst="rect">
                      <a:avLst/>
                    </a:prstGeom>
                    <a:noFill/>
                  </pic:spPr>
                </pic:pic>
              </a:graphicData>
            </a:graphic>
          </wp:anchor>
        </w:drawing>
      </w:r>
    </w:p>
    <w:p>
      <w:pPr>
        <w:spacing w:after="0" w:line="151" w:lineRule="exact"/>
        <w:rPr>
          <w:sz w:val="20"/>
          <w:szCs w:val="20"/>
          <w:color w:val="auto"/>
        </w:rPr>
      </w:pPr>
    </w:p>
    <w:tbl>
      <w:tblPr>
        <w:tblLayout w:type="fixed"/>
        <w:tblInd w:w="2960" w:type="dxa"/>
        <w:tblCellMar>
          <w:top w:w="0" w:type="dxa"/>
          <w:left w:w="0" w:type="dxa"/>
          <w:bottom w:w="0" w:type="dxa"/>
          <w:right w:w="0" w:type="dxa"/>
        </w:tblCellMar>
      </w:tblPr>
      <w:tr>
        <w:trPr>
          <w:trHeight w:val="189"/>
        </w:trPr>
        <w:tc>
          <w:tcPr>
            <w:tcW w:w="2840" w:type="dxa"/>
            <w:vAlign w:val="bottom"/>
            <w:gridSpan w:val="2"/>
          </w:tcPr>
          <w:p>
            <w:pPr>
              <w:spacing w:after="0"/>
              <w:rPr>
                <w:sz w:val="20"/>
                <w:szCs w:val="20"/>
                <w:color w:val="auto"/>
              </w:rPr>
            </w:pPr>
            <w:r>
              <w:rPr>
                <w:rFonts w:ascii="Arial" w:cs="Arial" w:eastAsia="Arial" w:hAnsi="Arial"/>
                <w:sz w:val="16"/>
                <w:szCs w:val="16"/>
                <w:b w:val="1"/>
                <w:bCs w:val="1"/>
                <w:color w:val="auto"/>
              </w:rPr>
              <w:t>President,</w:t>
            </w:r>
          </w:p>
        </w:tc>
        <w:tc>
          <w:tcPr>
            <w:tcW w:w="4980" w:type="dxa"/>
            <w:vAlign w:val="bottom"/>
          </w:tcPr>
          <w:p>
            <w:pPr>
              <w:ind w:left="560"/>
              <w:spacing w:after="0"/>
              <w:rPr>
                <w:sz w:val="20"/>
                <w:szCs w:val="20"/>
                <w:color w:val="auto"/>
              </w:rPr>
            </w:pPr>
            <w:r>
              <w:rPr>
                <w:rFonts w:ascii="Arial" w:cs="Arial" w:eastAsia="Arial" w:hAnsi="Arial"/>
                <w:sz w:val="16"/>
                <w:szCs w:val="16"/>
                <w:b w:val="1"/>
                <w:bCs w:val="1"/>
                <w:color w:val="auto"/>
              </w:rPr>
              <w:t>SLB Board Committees</w:t>
            </w:r>
          </w:p>
        </w:tc>
      </w:tr>
      <w:tr>
        <w:trPr>
          <w:trHeight w:val="223"/>
        </w:trPr>
        <w:tc>
          <w:tcPr>
            <w:tcW w:w="2840" w:type="dxa"/>
            <w:vAlign w:val="bottom"/>
            <w:gridSpan w:val="2"/>
          </w:tcPr>
          <w:p>
            <w:pPr>
              <w:spacing w:after="0"/>
              <w:rPr>
                <w:sz w:val="20"/>
                <w:szCs w:val="20"/>
                <w:color w:val="auto"/>
              </w:rPr>
            </w:pPr>
            <w:r>
              <w:rPr>
                <w:rFonts w:ascii="Arial" w:cs="Arial" w:eastAsia="Arial" w:hAnsi="Arial"/>
                <w:sz w:val="16"/>
                <w:szCs w:val="16"/>
                <w:b w:val="1"/>
                <w:bCs w:val="1"/>
                <w:color w:val="auto"/>
              </w:rPr>
              <w:t>Tessellation Services</w:t>
            </w:r>
          </w:p>
        </w:tc>
        <w:tc>
          <w:tcPr>
            <w:tcW w:w="4980" w:type="dxa"/>
            <w:vAlign w:val="bottom"/>
          </w:tcPr>
          <w:p>
            <w:pPr>
              <w:ind w:left="560"/>
              <w:spacing w:after="0"/>
              <w:rPr>
                <w:sz w:val="20"/>
                <w:szCs w:val="20"/>
                <w:color w:val="auto"/>
              </w:rPr>
            </w:pPr>
            <w:r>
              <w:rPr>
                <w:rFonts w:ascii="Arial" w:cs="Arial" w:eastAsia="Arial" w:hAnsi="Arial"/>
                <w:sz w:val="16"/>
                <w:szCs w:val="16"/>
                <w:b w:val="1"/>
                <w:bCs w:val="1"/>
                <w:color w:val="16458B"/>
              </w:rPr>
              <w:t xml:space="preserve">•  </w:t>
            </w:r>
            <w:r>
              <w:rPr>
                <w:rFonts w:ascii="Arial" w:cs="Arial" w:eastAsia="Arial" w:hAnsi="Arial"/>
                <w:sz w:val="16"/>
                <w:szCs w:val="16"/>
                <w:color w:val="000000"/>
              </w:rPr>
              <w:t>None</w:t>
            </w:r>
          </w:p>
        </w:tc>
      </w:tr>
      <w:tr>
        <w:trPr>
          <w:trHeight w:val="344"/>
        </w:trPr>
        <w:tc>
          <w:tcPr>
            <w:tcW w:w="2840" w:type="dxa"/>
            <w:vAlign w:val="bottom"/>
            <w:gridSpan w:val="2"/>
          </w:tcPr>
          <w:p>
            <w:pPr>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April 2023</w:t>
            </w:r>
          </w:p>
        </w:tc>
        <w:tc>
          <w:tcPr>
            <w:tcW w:w="4980" w:type="dxa"/>
            <w:vAlign w:val="bottom"/>
          </w:tcPr>
          <w:p>
            <w:pPr>
              <w:ind w:left="560"/>
              <w:spacing w:after="0"/>
              <w:rPr>
                <w:sz w:val="20"/>
                <w:szCs w:val="20"/>
                <w:color w:val="auto"/>
              </w:rPr>
            </w:pPr>
            <w:r>
              <w:rPr>
                <w:rFonts w:ascii="Arial" w:cs="Arial" w:eastAsia="Arial" w:hAnsi="Arial"/>
                <w:sz w:val="16"/>
                <w:szCs w:val="16"/>
                <w:b w:val="1"/>
                <w:bCs w:val="1"/>
                <w:color w:val="auto"/>
              </w:rPr>
              <w:t>Other Experience and Education</w:t>
            </w:r>
          </w:p>
        </w:tc>
      </w:tr>
      <w:tr>
        <w:trPr>
          <w:trHeight w:val="189"/>
        </w:trPr>
        <w:tc>
          <w:tcPr>
            <w:tcW w:w="1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4980" w:type="dxa"/>
            <w:vAlign w:val="bottom"/>
          </w:tcPr>
          <w:p>
            <w:pPr>
              <w:ind w:left="560"/>
              <w:spacing w:after="0"/>
              <w:rPr>
                <w:sz w:val="20"/>
                <w:szCs w:val="20"/>
                <w:color w:val="auto"/>
              </w:rPr>
            </w:pPr>
            <w:r>
              <w:rPr>
                <w:rFonts w:ascii="Arial" w:cs="Arial" w:eastAsia="Arial" w:hAnsi="Arial"/>
                <w:sz w:val="16"/>
                <w:szCs w:val="16"/>
                <w:b w:val="1"/>
                <w:bCs w:val="1"/>
                <w:color w:val="16458B"/>
              </w:rPr>
              <w:t xml:space="preserve">•  </w:t>
            </w:r>
            <w:r>
              <w:rPr>
                <w:rFonts w:ascii="Arial" w:cs="Arial" w:eastAsia="Arial" w:hAnsi="Arial"/>
                <w:sz w:val="16"/>
                <w:szCs w:val="16"/>
                <w:color w:val="000000"/>
              </w:rPr>
              <w:t>MBA, Harvard University Business School</w:t>
            </w:r>
          </w:p>
        </w:tc>
      </w:tr>
      <w:tr>
        <w:trPr>
          <w:trHeight w:val="189"/>
        </w:trPr>
        <w:tc>
          <w:tcPr>
            <w:tcW w:w="2840" w:type="dxa"/>
            <w:vAlign w:val="bottom"/>
            <w:gridSpan w:val="2"/>
          </w:tcPr>
          <w:p>
            <w:pPr>
              <w:spacing w:after="0"/>
              <w:rPr>
                <w:sz w:val="20"/>
                <w:szCs w:val="20"/>
                <w:color w:val="auto"/>
              </w:rPr>
            </w:pPr>
            <w:r>
              <w:rPr>
                <w:rFonts w:ascii="Arial" w:cs="Arial" w:eastAsia="Arial" w:hAnsi="Arial"/>
                <w:sz w:val="16"/>
                <w:szCs w:val="16"/>
                <w:b w:val="1"/>
                <w:bCs w:val="1"/>
                <w:color w:val="auto"/>
              </w:rPr>
              <w:t>Other Current Public Boards</w:t>
            </w:r>
          </w:p>
        </w:tc>
        <w:tc>
          <w:tcPr>
            <w:tcW w:w="4980" w:type="dxa"/>
            <w:vAlign w:val="bottom"/>
          </w:tcPr>
          <w:p>
            <w:pPr>
              <w:ind w:left="560"/>
              <w:spacing w:after="0"/>
              <w:rPr>
                <w:sz w:val="20"/>
                <w:szCs w:val="20"/>
                <w:color w:val="auto"/>
              </w:rPr>
            </w:pPr>
            <w:r>
              <w:rPr>
                <w:rFonts w:ascii="Arial" w:cs="Arial" w:eastAsia="Arial" w:hAnsi="Arial"/>
                <w:sz w:val="16"/>
                <w:szCs w:val="16"/>
                <w:b w:val="1"/>
                <w:bCs w:val="1"/>
                <w:color w:val="16458B"/>
              </w:rPr>
              <w:t xml:space="preserve">•  </w:t>
            </w:r>
            <w:r>
              <w:rPr>
                <w:rFonts w:ascii="Arial" w:cs="Arial" w:eastAsia="Arial" w:hAnsi="Arial"/>
                <w:sz w:val="16"/>
                <w:szCs w:val="16"/>
                <w:color w:val="000000"/>
              </w:rPr>
              <w:t>Master of Theological Studies, Harvard Divinity School</w:t>
            </w:r>
          </w:p>
        </w:tc>
      </w:tr>
      <w:tr>
        <w:trPr>
          <w:trHeight w:val="189"/>
        </w:trPr>
        <w:tc>
          <w:tcPr>
            <w:tcW w:w="120" w:type="dxa"/>
            <w:vAlign w:val="bottom"/>
          </w:tcPr>
          <w:p>
            <w:pPr>
              <w:spacing w:after="0"/>
              <w:rPr>
                <w:sz w:val="20"/>
                <w:szCs w:val="20"/>
                <w:color w:val="auto"/>
              </w:rPr>
            </w:pPr>
            <w:r>
              <w:rPr>
                <w:rFonts w:ascii="Arial" w:cs="Arial" w:eastAsia="Arial" w:hAnsi="Arial"/>
                <w:sz w:val="16"/>
                <w:szCs w:val="16"/>
                <w:b w:val="1"/>
                <w:bCs w:val="1"/>
                <w:color w:val="16458B"/>
              </w:rPr>
              <w:t>•</w:t>
            </w:r>
          </w:p>
        </w:tc>
        <w:tc>
          <w:tcPr>
            <w:tcW w:w="2720" w:type="dxa"/>
            <w:vAlign w:val="bottom"/>
          </w:tcPr>
          <w:p>
            <w:pPr>
              <w:ind w:left="80"/>
              <w:spacing w:after="0"/>
              <w:rPr>
                <w:sz w:val="20"/>
                <w:szCs w:val="20"/>
                <w:color w:val="auto"/>
              </w:rPr>
            </w:pPr>
            <w:r>
              <w:rPr>
                <w:rFonts w:ascii="Arial" w:cs="Arial" w:eastAsia="Arial" w:hAnsi="Arial"/>
                <w:sz w:val="16"/>
                <w:szCs w:val="16"/>
                <w:color w:val="auto"/>
              </w:rPr>
              <w:t>Enterprise Products Holdings</w:t>
            </w:r>
          </w:p>
        </w:tc>
        <w:tc>
          <w:tcPr>
            <w:tcW w:w="4980" w:type="dxa"/>
            <w:vAlign w:val="bottom"/>
          </w:tcPr>
          <w:p>
            <w:pPr>
              <w:ind w:left="560"/>
              <w:spacing w:after="0"/>
              <w:rPr>
                <w:sz w:val="20"/>
                <w:szCs w:val="20"/>
                <w:color w:val="auto"/>
              </w:rPr>
            </w:pPr>
            <w:r>
              <w:rPr>
                <w:rFonts w:ascii="Arial" w:cs="Arial" w:eastAsia="Arial" w:hAnsi="Arial"/>
                <w:sz w:val="16"/>
                <w:szCs w:val="16"/>
                <w:b w:val="1"/>
                <w:bCs w:val="1"/>
                <w:color w:val="16458B"/>
              </w:rPr>
              <w:t xml:space="preserve">•  </w:t>
            </w:r>
            <w:r>
              <w:rPr>
                <w:rFonts w:ascii="Arial" w:cs="Arial" w:eastAsia="Arial" w:hAnsi="Arial"/>
                <w:sz w:val="16"/>
                <w:szCs w:val="16"/>
                <w:color w:val="000000"/>
              </w:rPr>
              <w:t>Former Chairman of Board of the Federal Reserve Bank of</w:t>
            </w:r>
          </w:p>
        </w:tc>
      </w:tr>
      <w:tr>
        <w:trPr>
          <w:trHeight w:val="189"/>
        </w:trPr>
        <w:tc>
          <w:tcPr>
            <w:tcW w:w="120" w:type="dxa"/>
            <w:vAlign w:val="bottom"/>
          </w:tcPr>
          <w:p>
            <w:pPr>
              <w:spacing w:after="0"/>
              <w:rPr>
                <w:sz w:val="20"/>
                <w:szCs w:val="20"/>
                <w:color w:val="auto"/>
              </w:rPr>
            </w:pPr>
            <w:r>
              <w:rPr>
                <w:rFonts w:ascii="Arial" w:cs="Arial" w:eastAsia="Arial" w:hAnsi="Arial"/>
                <w:sz w:val="16"/>
                <w:szCs w:val="16"/>
                <w:b w:val="1"/>
                <w:bCs w:val="1"/>
                <w:color w:val="16458B"/>
              </w:rPr>
              <w:t>•</w:t>
            </w:r>
          </w:p>
        </w:tc>
        <w:tc>
          <w:tcPr>
            <w:tcW w:w="2720" w:type="dxa"/>
            <w:vAlign w:val="bottom"/>
          </w:tcPr>
          <w:p>
            <w:pPr>
              <w:ind w:left="80"/>
              <w:spacing w:after="0"/>
              <w:rPr>
                <w:sz w:val="20"/>
                <w:szCs w:val="20"/>
                <w:color w:val="auto"/>
              </w:rPr>
            </w:pPr>
            <w:r>
              <w:rPr>
                <w:rFonts w:ascii="Arial" w:cs="Arial" w:eastAsia="Arial" w:hAnsi="Arial"/>
                <w:sz w:val="16"/>
                <w:szCs w:val="16"/>
                <w:color w:val="auto"/>
              </w:rPr>
              <w:t>Fluor Corporation</w:t>
            </w:r>
          </w:p>
        </w:tc>
        <w:tc>
          <w:tcPr>
            <w:tcW w:w="4980" w:type="dxa"/>
            <w:vAlign w:val="bottom"/>
          </w:tcPr>
          <w:p>
            <w:pPr>
              <w:ind w:left="740"/>
              <w:spacing w:after="0"/>
              <w:rPr>
                <w:sz w:val="20"/>
                <w:szCs w:val="20"/>
                <w:color w:val="auto"/>
              </w:rPr>
            </w:pPr>
            <w:r>
              <w:rPr>
                <w:rFonts w:ascii="Arial" w:cs="Arial" w:eastAsia="Arial" w:hAnsi="Arial"/>
                <w:sz w:val="16"/>
                <w:szCs w:val="16"/>
                <w:color w:val="auto"/>
              </w:rPr>
              <w:t>Dallas</w:t>
            </w:r>
          </w:p>
        </w:tc>
      </w:tr>
      <w:tr>
        <w:trPr>
          <w:trHeight w:val="189"/>
        </w:trPr>
        <w:tc>
          <w:tcPr>
            <w:tcW w:w="120" w:type="dxa"/>
            <w:vAlign w:val="bottom"/>
          </w:tcPr>
          <w:p>
            <w:pPr>
              <w:spacing w:after="0"/>
              <w:rPr>
                <w:sz w:val="20"/>
                <w:szCs w:val="20"/>
                <w:color w:val="auto"/>
              </w:rPr>
            </w:pPr>
            <w:r>
              <w:rPr>
                <w:rFonts w:ascii="Arial" w:cs="Arial" w:eastAsia="Arial" w:hAnsi="Arial"/>
                <w:sz w:val="16"/>
                <w:szCs w:val="16"/>
                <w:b w:val="1"/>
                <w:bCs w:val="1"/>
                <w:color w:val="16458B"/>
              </w:rPr>
              <w:t>•</w:t>
            </w:r>
          </w:p>
        </w:tc>
        <w:tc>
          <w:tcPr>
            <w:tcW w:w="2720" w:type="dxa"/>
            <w:vAlign w:val="bottom"/>
          </w:tcPr>
          <w:p>
            <w:pPr>
              <w:ind w:left="80"/>
              <w:spacing w:after="0"/>
              <w:rPr>
                <w:sz w:val="20"/>
                <w:szCs w:val="20"/>
                <w:color w:val="auto"/>
              </w:rPr>
            </w:pPr>
            <w:r>
              <w:rPr>
                <w:rFonts w:ascii="Arial" w:cs="Arial" w:eastAsia="Arial" w:hAnsi="Arial"/>
                <w:sz w:val="16"/>
                <w:szCs w:val="16"/>
                <w:color w:val="auto"/>
              </w:rPr>
              <w:t>NuScale Power Corporation</w:t>
            </w:r>
          </w:p>
        </w:tc>
        <w:tc>
          <w:tcPr>
            <w:tcW w:w="4980" w:type="dxa"/>
            <w:vAlign w:val="bottom"/>
          </w:tcPr>
          <w:p>
            <w:pPr>
              <w:ind w:left="560"/>
              <w:spacing w:after="0"/>
              <w:rPr>
                <w:sz w:val="20"/>
                <w:szCs w:val="20"/>
                <w:color w:val="auto"/>
              </w:rPr>
            </w:pPr>
            <w:r>
              <w:rPr>
                <w:rFonts w:ascii="Arial" w:cs="Arial" w:eastAsia="Arial" w:hAnsi="Arial"/>
                <w:sz w:val="16"/>
                <w:szCs w:val="16"/>
                <w:b w:val="1"/>
                <w:bCs w:val="1"/>
                <w:color w:val="16458B"/>
              </w:rPr>
              <w:t xml:space="preserve">•  </w:t>
            </w:r>
            <w:r>
              <w:rPr>
                <w:rFonts w:ascii="Arial" w:cs="Arial" w:eastAsia="Arial" w:hAnsi="Arial"/>
                <w:sz w:val="16"/>
                <w:szCs w:val="16"/>
                <w:color w:val="000000"/>
              </w:rPr>
              <w:t>Former Chairman of National Petroleum Council (US)</w:t>
            </w:r>
          </w:p>
        </w:tc>
      </w:tr>
      <w:tr>
        <w:trPr>
          <w:trHeight w:val="189"/>
        </w:trPr>
        <w:tc>
          <w:tcPr>
            <w:tcW w:w="1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4980" w:type="dxa"/>
            <w:vAlign w:val="bottom"/>
          </w:tcPr>
          <w:p>
            <w:pPr>
              <w:ind w:left="560"/>
              <w:spacing w:after="0"/>
              <w:rPr>
                <w:sz w:val="20"/>
                <w:szCs w:val="20"/>
                <w:color w:val="auto"/>
              </w:rPr>
            </w:pPr>
            <w:r>
              <w:rPr>
                <w:rFonts w:ascii="Arial" w:cs="Arial" w:eastAsia="Arial" w:hAnsi="Arial"/>
                <w:sz w:val="16"/>
                <w:szCs w:val="16"/>
                <w:b w:val="1"/>
                <w:bCs w:val="1"/>
                <w:color w:val="16458B"/>
              </w:rPr>
              <w:t xml:space="preserve">•  </w:t>
            </w:r>
            <w:r>
              <w:rPr>
                <w:rFonts w:ascii="Arial" w:cs="Arial" w:eastAsia="Arial" w:hAnsi="Arial"/>
                <w:sz w:val="16"/>
                <w:szCs w:val="16"/>
                <w:color w:val="000000"/>
              </w:rPr>
              <w:t>Board service for multiple public companies in the energy</w:t>
            </w:r>
          </w:p>
        </w:tc>
      </w:tr>
      <w:tr>
        <w:trPr>
          <w:trHeight w:val="189"/>
        </w:trPr>
        <w:tc>
          <w:tcPr>
            <w:tcW w:w="2840" w:type="dxa"/>
            <w:vAlign w:val="bottom"/>
            <w:gridSpan w:val="2"/>
          </w:tcPr>
          <w:p>
            <w:pPr>
              <w:spacing w:after="0"/>
              <w:rPr>
                <w:sz w:val="20"/>
                <w:szCs w:val="20"/>
                <w:color w:val="auto"/>
              </w:rPr>
            </w:pPr>
            <w:r>
              <w:rPr>
                <w:rFonts w:ascii="Arial" w:cs="Arial" w:eastAsia="Arial" w:hAnsi="Arial"/>
                <w:sz w:val="16"/>
                <w:szCs w:val="16"/>
                <w:b w:val="1"/>
                <w:bCs w:val="1"/>
                <w:color w:val="auto"/>
              </w:rPr>
              <w:t>Former Public Director Roles</w:t>
            </w:r>
          </w:p>
        </w:tc>
        <w:tc>
          <w:tcPr>
            <w:tcW w:w="4980" w:type="dxa"/>
            <w:vAlign w:val="bottom"/>
          </w:tcPr>
          <w:p>
            <w:pPr>
              <w:ind w:left="740"/>
              <w:spacing w:after="0"/>
              <w:rPr>
                <w:sz w:val="20"/>
                <w:szCs w:val="20"/>
                <w:color w:val="auto"/>
              </w:rPr>
            </w:pPr>
            <w:r>
              <w:rPr>
                <w:rFonts w:ascii="Arial" w:cs="Arial" w:eastAsia="Arial" w:hAnsi="Arial"/>
                <w:sz w:val="16"/>
                <w:szCs w:val="16"/>
                <w:color w:val="auto"/>
              </w:rPr>
              <w:t>services industry, including NOV, Halliburton, and Cameron</w:t>
            </w:r>
          </w:p>
        </w:tc>
      </w:tr>
      <w:tr>
        <w:trPr>
          <w:trHeight w:val="189"/>
        </w:trPr>
        <w:tc>
          <w:tcPr>
            <w:tcW w:w="2840" w:type="dxa"/>
            <w:vAlign w:val="bottom"/>
            <w:gridSpan w:val="2"/>
          </w:tcPr>
          <w:p>
            <w:pPr>
              <w:spacing w:after="0"/>
              <w:rPr>
                <w:sz w:val="20"/>
                <w:szCs w:val="20"/>
                <w:color w:val="auto"/>
              </w:rPr>
            </w:pPr>
            <w:r>
              <w:rPr>
                <w:rFonts w:ascii="Arial" w:cs="Arial" w:eastAsia="Arial" w:hAnsi="Arial"/>
                <w:sz w:val="16"/>
                <w:szCs w:val="16"/>
                <w:b w:val="1"/>
                <w:bCs w:val="1"/>
                <w:color w:val="auto"/>
              </w:rPr>
              <w:t>During the Past Five Years</w:t>
            </w:r>
          </w:p>
        </w:tc>
        <w:tc>
          <w:tcPr>
            <w:tcW w:w="4980" w:type="dxa"/>
            <w:vAlign w:val="bottom"/>
          </w:tcPr>
          <w:p>
            <w:pPr>
              <w:ind w:left="740"/>
              <w:spacing w:after="0"/>
              <w:rPr>
                <w:sz w:val="20"/>
                <w:szCs w:val="20"/>
                <w:color w:val="auto"/>
              </w:rPr>
            </w:pPr>
            <w:r>
              <w:rPr>
                <w:rFonts w:ascii="Arial" w:cs="Arial" w:eastAsia="Arial" w:hAnsi="Arial"/>
                <w:sz w:val="16"/>
                <w:szCs w:val="16"/>
                <w:color w:val="auto"/>
              </w:rPr>
              <w:t>International</w:t>
            </w:r>
          </w:p>
        </w:tc>
      </w:tr>
      <w:tr>
        <w:trPr>
          <w:trHeight w:val="189"/>
        </w:trPr>
        <w:tc>
          <w:tcPr>
            <w:tcW w:w="120" w:type="dxa"/>
            <w:vAlign w:val="bottom"/>
          </w:tcPr>
          <w:p>
            <w:pPr>
              <w:spacing w:after="0"/>
              <w:rPr>
                <w:sz w:val="20"/>
                <w:szCs w:val="20"/>
                <w:color w:val="auto"/>
              </w:rPr>
            </w:pPr>
            <w:r>
              <w:rPr>
                <w:rFonts w:ascii="Arial" w:cs="Arial" w:eastAsia="Arial" w:hAnsi="Arial"/>
                <w:sz w:val="16"/>
                <w:szCs w:val="16"/>
                <w:b w:val="1"/>
                <w:bCs w:val="1"/>
                <w:color w:val="16458B"/>
              </w:rPr>
              <w:t>•</w:t>
            </w:r>
          </w:p>
        </w:tc>
        <w:tc>
          <w:tcPr>
            <w:tcW w:w="2720" w:type="dxa"/>
            <w:vAlign w:val="bottom"/>
          </w:tcPr>
          <w:p>
            <w:pPr>
              <w:ind w:left="80"/>
              <w:spacing w:after="0"/>
              <w:rPr>
                <w:sz w:val="20"/>
                <w:szCs w:val="20"/>
                <w:color w:val="auto"/>
              </w:rPr>
            </w:pPr>
            <w:r>
              <w:rPr>
                <w:rFonts w:ascii="Arial" w:cs="Arial" w:eastAsia="Arial" w:hAnsi="Arial"/>
                <w:sz w:val="16"/>
                <w:szCs w:val="16"/>
                <w:color w:val="auto"/>
              </w:rPr>
              <w:t>Alta Mesa Resources</w:t>
            </w:r>
          </w:p>
        </w:tc>
        <w:tc>
          <w:tcPr>
            <w:tcW w:w="4980" w:type="dxa"/>
            <w:vAlign w:val="bottom"/>
          </w:tcPr>
          <w:p>
            <w:pPr>
              <w:spacing w:after="0"/>
              <w:rPr>
                <w:sz w:val="16"/>
                <w:szCs w:val="16"/>
                <w:color w:val="auto"/>
              </w:rPr>
            </w:pPr>
          </w:p>
        </w:tc>
      </w:tr>
      <w:tr>
        <w:trPr>
          <w:trHeight w:val="223"/>
        </w:trPr>
        <w:tc>
          <w:tcPr>
            <w:tcW w:w="120" w:type="dxa"/>
            <w:vAlign w:val="bottom"/>
          </w:tcPr>
          <w:p>
            <w:pPr>
              <w:spacing w:after="0"/>
              <w:rPr>
                <w:sz w:val="20"/>
                <w:szCs w:val="20"/>
                <w:color w:val="auto"/>
              </w:rPr>
            </w:pPr>
            <w:r>
              <w:rPr>
                <w:rFonts w:ascii="Arial" w:cs="Arial" w:eastAsia="Arial" w:hAnsi="Arial"/>
                <w:sz w:val="16"/>
                <w:szCs w:val="16"/>
                <w:b w:val="1"/>
                <w:bCs w:val="1"/>
                <w:color w:val="16458B"/>
              </w:rPr>
              <w:t>•</w:t>
            </w:r>
          </w:p>
        </w:tc>
        <w:tc>
          <w:tcPr>
            <w:tcW w:w="2720" w:type="dxa"/>
            <w:vAlign w:val="bottom"/>
          </w:tcPr>
          <w:p>
            <w:pPr>
              <w:ind w:left="80"/>
              <w:spacing w:after="0"/>
              <w:rPr>
                <w:sz w:val="20"/>
                <w:szCs w:val="20"/>
                <w:color w:val="auto"/>
              </w:rPr>
            </w:pPr>
            <w:r>
              <w:rPr>
                <w:rFonts w:ascii="Arial" w:cs="Arial" w:eastAsia="Arial" w:hAnsi="Arial"/>
                <w:sz w:val="16"/>
                <w:szCs w:val="16"/>
                <w:color w:val="auto"/>
              </w:rPr>
              <w:t>NOV Inc.</w:t>
            </w:r>
          </w:p>
        </w:tc>
        <w:tc>
          <w:tcPr>
            <w:tcW w:w="49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both"/>
        <w:ind w:left="60" w:right="60"/>
        <w:spacing w:after="0" w:line="251" w:lineRule="auto"/>
        <w:rPr>
          <w:sz w:val="20"/>
          <w:szCs w:val="20"/>
          <w:color w:val="auto"/>
        </w:rPr>
      </w:pPr>
      <w:r>
        <w:rPr>
          <w:rFonts w:ascii="Arial" w:cs="Arial" w:eastAsia="Arial" w:hAnsi="Arial"/>
          <w:sz w:val="16"/>
          <w:szCs w:val="16"/>
          <w:color w:val="auto"/>
        </w:rPr>
        <w:t>JIM HACKETT has been the president of Tessellation Services, a privately held consulting services firm, since 2013. He was previously the executive chairman of Alta Mesa Resources, an onshore exploration and production company, from 2018 to March 2020, and was a partner and senior advisor at Riverstone Holdings, a private energy investment firm, from 2013 to March 2020. Prior to that, Hackett served as executive chairman and CEO of Anadarko Petroleum Corporation from 2003 to 2013. Since December 2021, he has been the non-executive chair of NuScale Power Corporation, where he also serves as chair of the organization and compensation committee and as a member of the audit committee. He has also been a director of Enterprise Products Holdings since 2014, where he serves as chair of the governance committee and as a member of the capital projects committee; and a director of Fluor Corporation since 2016, with prior service from 2001 to 2015, where he serves as chair of the organization and compensation committee and as a member of the executive and commercial strategies and operational risk committees. He has also been a faculty member at Rice University and The University of Texas at Austin since 2017, and he serves on the boards of trustees at Rice University and Baylor College of Medicine.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Reason for Nomination</w:t>
      </w:r>
    </w:p>
    <w:p>
      <w:pPr>
        <w:spacing w:after="0" w:line="21" w:lineRule="exact"/>
        <w:rPr>
          <w:sz w:val="20"/>
          <w:szCs w:val="20"/>
          <w:color w:val="auto"/>
        </w:rPr>
      </w:pPr>
    </w:p>
    <w:p>
      <w:pPr>
        <w:jc w:val="both"/>
        <w:ind w:left="60" w:right="60"/>
        <w:spacing w:after="0" w:line="252" w:lineRule="auto"/>
        <w:rPr>
          <w:sz w:val="20"/>
          <w:szCs w:val="20"/>
          <w:color w:val="auto"/>
        </w:rPr>
      </w:pPr>
      <w:r>
        <w:rPr>
          <w:rFonts w:ascii="Arial" w:cs="Arial" w:eastAsia="Arial" w:hAnsi="Arial"/>
          <w:sz w:val="16"/>
          <w:szCs w:val="16"/>
          <w:color w:val="auto"/>
        </w:rPr>
        <w:t>Mr. Hackett brings to the board extensive knowledge of the global energy industry, as the former Chairman and CEO of a global energy production and midstream company, as well as board chair and director service at numerous public companies serving the energy industry, and financial acumen as the former Chairman of the Board of the Federal Reserve Bank of Dallas. The Board benefits from his operational and financial leadership on business strategy as well as his insights into international energy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Olivier Le Peuch,</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SLB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20320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2032000"/>
                    </a:xfrm>
                    <a:prstGeom prst="rect">
                      <a:avLst/>
                    </a:prstGeom>
                    <a:noFill/>
                  </pic:spPr>
                </pic:pic>
              </a:graphicData>
            </a:graphic>
          </wp:anchor>
        </w:drawing>
      </w:r>
    </w:p>
    <w:p>
      <w:pPr>
        <w:spacing w:after="0" w:line="151" w:lineRule="exact"/>
        <w:rPr>
          <w:sz w:val="20"/>
          <w:szCs w:val="20"/>
          <w:color w:val="auto"/>
        </w:rPr>
      </w:pPr>
    </w:p>
    <w:tbl>
      <w:tblPr>
        <w:tblLayout w:type="fixed"/>
        <w:tblInd w:w="2960" w:type="dxa"/>
        <w:tblCellMar>
          <w:top w:w="0" w:type="dxa"/>
          <w:left w:w="0" w:type="dxa"/>
          <w:bottom w:w="0" w:type="dxa"/>
          <w:right w:w="0" w:type="dxa"/>
        </w:tblCellMar>
      </w:tblPr>
      <w:tr>
        <w:trPr>
          <w:trHeight w:val="189"/>
        </w:trPr>
        <w:tc>
          <w:tcPr>
            <w:tcW w:w="2780" w:type="dxa"/>
            <w:vAlign w:val="bottom"/>
          </w:tcPr>
          <w:p>
            <w:pPr>
              <w:spacing w:after="0"/>
              <w:rPr>
                <w:sz w:val="20"/>
                <w:szCs w:val="20"/>
                <w:color w:val="auto"/>
              </w:rPr>
            </w:pPr>
            <w:r>
              <w:rPr>
                <w:rFonts w:ascii="Arial" w:cs="Arial" w:eastAsia="Arial" w:hAnsi="Arial"/>
                <w:sz w:val="16"/>
                <w:szCs w:val="16"/>
                <w:b w:val="1"/>
                <w:bCs w:val="1"/>
                <w:color w:val="auto"/>
              </w:rPr>
              <w:t>Chief Executive Officer, SLB</w:t>
            </w:r>
          </w:p>
        </w:tc>
        <w:tc>
          <w:tcPr>
            <w:tcW w:w="5040" w:type="dxa"/>
            <w:vAlign w:val="bottom"/>
          </w:tcPr>
          <w:p>
            <w:pPr>
              <w:ind w:left="540"/>
              <w:spacing w:after="0"/>
              <w:rPr>
                <w:sz w:val="20"/>
                <w:szCs w:val="20"/>
                <w:color w:val="auto"/>
              </w:rPr>
            </w:pPr>
            <w:r>
              <w:rPr>
                <w:rFonts w:ascii="Arial" w:cs="Arial" w:eastAsia="Arial" w:hAnsi="Arial"/>
                <w:sz w:val="16"/>
                <w:szCs w:val="16"/>
                <w:b w:val="1"/>
                <w:bCs w:val="1"/>
                <w:color w:val="auto"/>
              </w:rPr>
              <w:t>SLB Board Committees</w:t>
            </w:r>
          </w:p>
        </w:tc>
        <w:tc>
          <w:tcPr>
            <w:tcW w:w="0" w:type="dxa"/>
            <w:vAlign w:val="bottom"/>
          </w:tcPr>
          <w:p>
            <w:pPr>
              <w:spacing w:after="0"/>
              <w:rPr>
                <w:sz w:val="1"/>
                <w:szCs w:val="1"/>
                <w:color w:val="auto"/>
              </w:rPr>
            </w:pPr>
          </w:p>
        </w:tc>
      </w:tr>
      <w:tr>
        <w:trPr>
          <w:trHeight w:val="223"/>
        </w:trPr>
        <w:tc>
          <w:tcPr>
            <w:tcW w:w="2780" w:type="dxa"/>
            <w:vAlign w:val="bottom"/>
            <w:vMerge w:val="restart"/>
          </w:tcPr>
          <w:p>
            <w:pPr>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2019</w:t>
            </w:r>
          </w:p>
        </w:tc>
        <w:tc>
          <w:tcPr>
            <w:tcW w:w="5040" w:type="dxa"/>
            <w:vAlign w:val="bottom"/>
          </w:tcPr>
          <w:p>
            <w:pPr>
              <w:ind w:left="540"/>
              <w:spacing w:after="0"/>
              <w:rPr>
                <w:sz w:val="20"/>
                <w:szCs w:val="20"/>
                <w:color w:val="auto"/>
              </w:rPr>
            </w:pPr>
            <w:r>
              <w:rPr>
                <w:rFonts w:ascii="Arial" w:cs="Arial" w:eastAsia="Arial" w:hAnsi="Arial"/>
                <w:sz w:val="16"/>
                <w:szCs w:val="16"/>
                <w:b w:val="1"/>
                <w:bCs w:val="1"/>
                <w:color w:val="16458B"/>
              </w:rPr>
              <w:t xml:space="preserve">•  </w:t>
            </w:r>
            <w:r>
              <w:rPr>
                <w:rFonts w:ascii="Arial" w:cs="Arial" w:eastAsia="Arial" w:hAnsi="Arial"/>
                <w:sz w:val="16"/>
                <w:szCs w:val="16"/>
                <w:color w:val="000000"/>
              </w:rPr>
              <w:t>None</w:t>
            </w:r>
          </w:p>
        </w:tc>
        <w:tc>
          <w:tcPr>
            <w:tcW w:w="0" w:type="dxa"/>
            <w:vAlign w:val="bottom"/>
          </w:tcPr>
          <w:p>
            <w:pPr>
              <w:spacing w:after="0"/>
              <w:rPr>
                <w:sz w:val="1"/>
                <w:szCs w:val="1"/>
                <w:color w:val="auto"/>
              </w:rPr>
            </w:pPr>
          </w:p>
        </w:tc>
      </w:tr>
      <w:tr>
        <w:trPr>
          <w:trHeight w:val="189"/>
        </w:trPr>
        <w:tc>
          <w:tcPr>
            <w:tcW w:w="2780" w:type="dxa"/>
            <w:vAlign w:val="bottom"/>
            <w:vMerge w:val="continue"/>
          </w:tcPr>
          <w:p>
            <w:pPr>
              <w:spacing w:after="0"/>
              <w:rPr>
                <w:sz w:val="16"/>
                <w:szCs w:val="16"/>
                <w:color w:val="auto"/>
              </w:rPr>
            </w:pPr>
          </w:p>
        </w:tc>
        <w:tc>
          <w:tcPr>
            <w:tcW w:w="5040" w:type="dxa"/>
            <w:vAlign w:val="bottom"/>
            <w:vMerge w:val="restart"/>
          </w:tcPr>
          <w:p>
            <w:pPr>
              <w:ind w:left="540"/>
              <w:spacing w:after="0"/>
              <w:rPr>
                <w:sz w:val="20"/>
                <w:szCs w:val="20"/>
                <w:color w:val="auto"/>
              </w:rPr>
            </w:pPr>
            <w:r>
              <w:rPr>
                <w:rFonts w:ascii="Arial" w:cs="Arial" w:eastAsia="Arial" w:hAnsi="Arial"/>
                <w:sz w:val="16"/>
                <w:szCs w:val="16"/>
                <w:b w:val="1"/>
                <w:bCs w:val="1"/>
                <w:color w:val="auto"/>
              </w:rPr>
              <w:t>Other Experience and Education</w:t>
            </w:r>
          </w:p>
        </w:tc>
        <w:tc>
          <w:tcPr>
            <w:tcW w:w="0" w:type="dxa"/>
            <w:vAlign w:val="bottom"/>
          </w:tcPr>
          <w:p>
            <w:pPr>
              <w:spacing w:after="0"/>
              <w:rPr>
                <w:sz w:val="1"/>
                <w:szCs w:val="1"/>
                <w:color w:val="auto"/>
              </w:rPr>
            </w:pPr>
          </w:p>
        </w:tc>
      </w:tr>
      <w:tr>
        <w:trPr>
          <w:trHeight w:val="155"/>
        </w:trPr>
        <w:tc>
          <w:tcPr>
            <w:tcW w:w="2780" w:type="dxa"/>
            <w:vAlign w:val="bottom"/>
          </w:tcPr>
          <w:p>
            <w:pPr>
              <w:spacing w:after="0"/>
              <w:rPr>
                <w:sz w:val="13"/>
                <w:szCs w:val="13"/>
                <w:color w:val="auto"/>
              </w:rPr>
            </w:pPr>
          </w:p>
        </w:tc>
        <w:tc>
          <w:tcPr>
            <w:tcW w:w="5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780" w:type="dxa"/>
            <w:vAlign w:val="bottom"/>
          </w:tcPr>
          <w:p>
            <w:pPr>
              <w:spacing w:after="0"/>
              <w:rPr>
                <w:sz w:val="20"/>
                <w:szCs w:val="20"/>
                <w:color w:val="auto"/>
              </w:rPr>
            </w:pPr>
            <w:r>
              <w:rPr>
                <w:rFonts w:ascii="Arial" w:cs="Arial" w:eastAsia="Arial" w:hAnsi="Arial"/>
                <w:sz w:val="16"/>
                <w:szCs w:val="16"/>
                <w:b w:val="1"/>
                <w:bCs w:val="1"/>
                <w:color w:val="auto"/>
              </w:rPr>
              <w:t>Other Current Public Boards</w:t>
            </w:r>
          </w:p>
        </w:tc>
        <w:tc>
          <w:tcPr>
            <w:tcW w:w="5040" w:type="dxa"/>
            <w:vAlign w:val="bottom"/>
          </w:tcPr>
          <w:p>
            <w:pPr>
              <w:ind w:left="540"/>
              <w:spacing w:after="0"/>
              <w:rPr>
                <w:sz w:val="20"/>
                <w:szCs w:val="20"/>
                <w:color w:val="auto"/>
              </w:rPr>
            </w:pPr>
            <w:r>
              <w:rPr>
                <w:rFonts w:ascii="Arial" w:cs="Arial" w:eastAsia="Arial" w:hAnsi="Arial"/>
                <w:sz w:val="16"/>
                <w:szCs w:val="16"/>
                <w:b w:val="1"/>
                <w:bCs w:val="1"/>
                <w:color w:val="16458B"/>
              </w:rPr>
              <w:t xml:space="preserve">•  </w:t>
            </w:r>
            <w:r>
              <w:rPr>
                <w:rFonts w:ascii="Arial" w:cs="Arial" w:eastAsia="Arial" w:hAnsi="Arial"/>
                <w:sz w:val="16"/>
                <w:szCs w:val="16"/>
                <w:color w:val="000000"/>
              </w:rPr>
              <w:t>Master’s Degree in Microelectronics, Bordeaux University of</w:t>
            </w:r>
          </w:p>
        </w:tc>
        <w:tc>
          <w:tcPr>
            <w:tcW w:w="0" w:type="dxa"/>
            <w:vAlign w:val="bottom"/>
          </w:tcPr>
          <w:p>
            <w:pPr>
              <w:spacing w:after="0"/>
              <w:rPr>
                <w:sz w:val="1"/>
                <w:szCs w:val="1"/>
                <w:color w:val="auto"/>
              </w:rPr>
            </w:pPr>
          </w:p>
        </w:tc>
      </w:tr>
      <w:tr>
        <w:trPr>
          <w:trHeight w:val="189"/>
        </w:trPr>
        <w:tc>
          <w:tcPr>
            <w:tcW w:w="2780" w:type="dxa"/>
            <w:vAlign w:val="bottom"/>
          </w:tcPr>
          <w:p>
            <w:pPr>
              <w:spacing w:after="0"/>
              <w:rPr>
                <w:sz w:val="20"/>
                <w:szCs w:val="20"/>
                <w:color w:val="auto"/>
              </w:rPr>
            </w:pPr>
            <w:r>
              <w:rPr>
                <w:rFonts w:ascii="Arial" w:cs="Arial" w:eastAsia="Arial" w:hAnsi="Arial"/>
                <w:sz w:val="16"/>
                <w:szCs w:val="16"/>
                <w:b w:val="1"/>
                <w:bCs w:val="1"/>
                <w:color w:val="16458B"/>
              </w:rPr>
              <w:t xml:space="preserve">•  </w:t>
            </w:r>
            <w:r>
              <w:rPr>
                <w:rFonts w:ascii="Arial" w:cs="Arial" w:eastAsia="Arial" w:hAnsi="Arial"/>
                <w:sz w:val="16"/>
                <w:szCs w:val="16"/>
                <w:color w:val="000000"/>
              </w:rPr>
              <w:t>None</w:t>
            </w:r>
          </w:p>
        </w:tc>
        <w:tc>
          <w:tcPr>
            <w:tcW w:w="5040" w:type="dxa"/>
            <w:vAlign w:val="bottom"/>
          </w:tcPr>
          <w:p>
            <w:pPr>
              <w:ind w:left="720"/>
              <w:spacing w:after="0"/>
              <w:rPr>
                <w:sz w:val="20"/>
                <w:szCs w:val="20"/>
                <w:color w:val="auto"/>
              </w:rPr>
            </w:pPr>
            <w:r>
              <w:rPr>
                <w:rFonts w:ascii="Arial" w:cs="Arial" w:eastAsia="Arial" w:hAnsi="Arial"/>
                <w:sz w:val="16"/>
                <w:szCs w:val="16"/>
                <w:color w:val="auto"/>
              </w:rPr>
              <w:t>Science</w:t>
            </w:r>
          </w:p>
        </w:tc>
        <w:tc>
          <w:tcPr>
            <w:tcW w:w="0" w:type="dxa"/>
            <w:vAlign w:val="bottom"/>
          </w:tcPr>
          <w:p>
            <w:pPr>
              <w:spacing w:after="0"/>
              <w:rPr>
                <w:sz w:val="1"/>
                <w:szCs w:val="1"/>
                <w:color w:val="auto"/>
              </w:rPr>
            </w:pPr>
          </w:p>
        </w:tc>
      </w:tr>
      <w:tr>
        <w:trPr>
          <w:trHeight w:val="223"/>
        </w:trPr>
        <w:tc>
          <w:tcPr>
            <w:tcW w:w="2780" w:type="dxa"/>
            <w:vAlign w:val="bottom"/>
            <w:vMerge w:val="restart"/>
          </w:tcPr>
          <w:p>
            <w:pPr>
              <w:spacing w:after="0"/>
              <w:rPr>
                <w:sz w:val="20"/>
                <w:szCs w:val="20"/>
                <w:color w:val="auto"/>
              </w:rPr>
            </w:pPr>
            <w:r>
              <w:rPr>
                <w:rFonts w:ascii="Arial" w:cs="Arial" w:eastAsia="Arial" w:hAnsi="Arial"/>
                <w:sz w:val="16"/>
                <w:szCs w:val="16"/>
                <w:b w:val="1"/>
                <w:bCs w:val="1"/>
                <w:color w:val="auto"/>
              </w:rPr>
              <w:t>Former Public Director Roles</w:t>
            </w:r>
          </w:p>
        </w:tc>
        <w:tc>
          <w:tcPr>
            <w:tcW w:w="5040" w:type="dxa"/>
            <w:vAlign w:val="bottom"/>
          </w:tcPr>
          <w:p>
            <w:pPr>
              <w:ind w:left="540"/>
              <w:spacing w:after="0"/>
              <w:rPr>
                <w:sz w:val="20"/>
                <w:szCs w:val="20"/>
                <w:color w:val="auto"/>
              </w:rPr>
            </w:pPr>
            <w:r>
              <w:rPr>
                <w:rFonts w:ascii="Arial" w:cs="Arial" w:eastAsia="Arial" w:hAnsi="Arial"/>
                <w:sz w:val="16"/>
                <w:szCs w:val="16"/>
                <w:b w:val="1"/>
                <w:bCs w:val="1"/>
                <w:color w:val="16458B"/>
              </w:rPr>
              <w:t xml:space="preserve">•  </w:t>
            </w:r>
            <w:r>
              <w:rPr>
                <w:rFonts w:ascii="Arial" w:cs="Arial" w:eastAsia="Arial" w:hAnsi="Arial"/>
                <w:sz w:val="16"/>
                <w:szCs w:val="16"/>
                <w:color w:val="000000"/>
              </w:rPr>
              <w:t>SLB training and expertise</w:t>
            </w:r>
          </w:p>
        </w:tc>
        <w:tc>
          <w:tcPr>
            <w:tcW w:w="0" w:type="dxa"/>
            <w:vAlign w:val="bottom"/>
          </w:tcPr>
          <w:p>
            <w:pPr>
              <w:spacing w:after="0"/>
              <w:rPr>
                <w:sz w:val="1"/>
                <w:szCs w:val="1"/>
                <w:color w:val="auto"/>
              </w:rPr>
            </w:pPr>
          </w:p>
        </w:tc>
      </w:tr>
      <w:tr>
        <w:trPr>
          <w:trHeight w:val="155"/>
        </w:trPr>
        <w:tc>
          <w:tcPr>
            <w:tcW w:w="2780" w:type="dxa"/>
            <w:vAlign w:val="bottom"/>
            <w:vMerge w:val="continue"/>
          </w:tcPr>
          <w:p>
            <w:pPr>
              <w:spacing w:after="0"/>
              <w:rPr>
                <w:sz w:val="13"/>
                <w:szCs w:val="13"/>
                <w:color w:val="auto"/>
              </w:rPr>
            </w:pPr>
          </w:p>
        </w:tc>
        <w:tc>
          <w:tcPr>
            <w:tcW w:w="5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780" w:type="dxa"/>
            <w:vAlign w:val="bottom"/>
          </w:tcPr>
          <w:p>
            <w:pPr>
              <w:spacing w:after="0"/>
              <w:rPr>
                <w:sz w:val="20"/>
                <w:szCs w:val="20"/>
                <w:color w:val="auto"/>
              </w:rPr>
            </w:pPr>
            <w:r>
              <w:rPr>
                <w:rFonts w:ascii="Arial" w:cs="Arial" w:eastAsia="Arial" w:hAnsi="Arial"/>
                <w:sz w:val="16"/>
                <w:szCs w:val="16"/>
                <w:b w:val="1"/>
                <w:bCs w:val="1"/>
                <w:color w:val="auto"/>
              </w:rPr>
              <w:t>During the Past Five Years</w:t>
            </w:r>
          </w:p>
        </w:tc>
        <w:tc>
          <w:tcPr>
            <w:tcW w:w="5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780" w:type="dxa"/>
            <w:vAlign w:val="bottom"/>
          </w:tcPr>
          <w:p>
            <w:pPr>
              <w:spacing w:after="0"/>
              <w:rPr>
                <w:sz w:val="20"/>
                <w:szCs w:val="20"/>
                <w:color w:val="auto"/>
              </w:rPr>
            </w:pPr>
            <w:r>
              <w:rPr>
                <w:rFonts w:ascii="Arial" w:cs="Arial" w:eastAsia="Arial" w:hAnsi="Arial"/>
                <w:sz w:val="16"/>
                <w:szCs w:val="16"/>
                <w:b w:val="1"/>
                <w:bCs w:val="1"/>
                <w:color w:val="16458B"/>
              </w:rPr>
              <w:t xml:space="preserve">•  </w:t>
            </w:r>
            <w:r>
              <w:rPr>
                <w:rFonts w:ascii="Arial" w:cs="Arial" w:eastAsia="Arial" w:hAnsi="Arial"/>
                <w:sz w:val="16"/>
                <w:szCs w:val="16"/>
                <w:color w:val="000000"/>
              </w:rPr>
              <w:t>None</w:t>
            </w:r>
          </w:p>
        </w:tc>
        <w:tc>
          <w:tcPr>
            <w:tcW w:w="50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819150</wp:posOffset>
            </wp:positionV>
            <wp:extent cx="713232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left="60" w:right="60"/>
        <w:spacing w:after="0" w:line="256" w:lineRule="auto"/>
        <w:rPr>
          <w:sz w:val="20"/>
          <w:szCs w:val="20"/>
          <w:color w:val="auto"/>
        </w:rPr>
      </w:pPr>
      <w:r>
        <w:rPr>
          <w:rFonts w:ascii="Arial" w:cs="Arial" w:eastAsia="Arial" w:hAnsi="Arial"/>
          <w:sz w:val="16"/>
          <w:szCs w:val="16"/>
          <w:color w:val="auto"/>
        </w:rPr>
        <w:t>OLIVIER LE PEUCH has been SLB’s Chief Executive Officer and a member of the Board since August 2019. He was SLB’s Chief Operating Officer from February 2019 to July 2019. Prior to that, he served in a variety of global management positions, including Executive Vice President, Reservoir and Infrastructure from May 2018 to February 2019, President of the Cameron Group from 2017 to May 2018, President of SLB Completions from 2014 to 2017, and Vice President of Engineering, Manufacturing, and Sustaining from 2010 to 2014. Earlier in his career, Mr. Le Peuch was GeoMarket Manager for the North Sea and President of Schlumberger Information Solutions. He has been with SLB since 1987 and began his career as an electrical engineer.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Reason for Nomination</w:t>
      </w:r>
    </w:p>
    <w:p>
      <w:pPr>
        <w:spacing w:after="0" w:line="21" w:lineRule="exact"/>
        <w:rPr>
          <w:sz w:val="20"/>
          <w:szCs w:val="20"/>
          <w:color w:val="auto"/>
        </w:rPr>
      </w:pPr>
    </w:p>
    <w:p>
      <w:pPr>
        <w:jc w:val="both"/>
        <w:ind w:left="60" w:right="60"/>
        <w:spacing w:after="0" w:line="256" w:lineRule="auto"/>
        <w:rPr>
          <w:sz w:val="20"/>
          <w:szCs w:val="20"/>
          <w:color w:val="auto"/>
        </w:rPr>
      </w:pPr>
      <w:r>
        <w:rPr>
          <w:rFonts w:ascii="Arial" w:cs="Arial" w:eastAsia="Arial" w:hAnsi="Arial"/>
          <w:sz w:val="16"/>
          <w:szCs w:val="16"/>
          <w:color w:val="auto"/>
        </w:rPr>
        <w:t>Mr. Le Peuch brings to the Board unparalleled knowledge of SLB’s operational activities worldwide and its technology differentiation as a result of his service in various global leadership positions at SLB. The Board believes that Mr. Le Peuch’s service as our CEO is an important link between management and the Board, enabling the Board to perform its oversight function with the benefit of his perspectives on SLB’s business and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224790</wp:posOffset>
            </wp:positionV>
            <wp:extent cx="471805" cy="28257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2024 Proxy Statement</w:t>
            </w:r>
          </w:p>
        </w:tc>
        <w:tc>
          <w:tcPr>
            <w:tcW w:w="3600" w:type="dxa"/>
            <w:vAlign w:val="bottom"/>
            <w:tcBorders>
              <w:bottom w:val="single" w:sz="8" w:color="auto"/>
            </w:tcBorders>
          </w:tcPr>
          <w:p>
            <w:pPr>
              <w:spacing w:after="0"/>
              <w:rPr>
                <w:sz w:val="12"/>
                <w:szCs w:val="12"/>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15</w:t>
            </w:r>
          </w:p>
        </w:tc>
        <w:tc>
          <w:tcPr>
            <w:tcW w:w="4480" w:type="dxa"/>
            <w:vAlign w:val="bottom"/>
            <w:tcBorders>
              <w:bottom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36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48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Samuel Leupold,</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202311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2023110"/>
                    </a:xfrm>
                    <a:prstGeom prst="rect">
                      <a:avLst/>
                    </a:prstGeom>
                    <a:noFill/>
                  </pic:spPr>
                </pic:pic>
              </a:graphicData>
            </a:graphic>
          </wp:anchor>
        </w:drawing>
      </w:r>
    </w:p>
    <w:p>
      <w:pPr>
        <w:spacing w:after="0" w:line="151" w:lineRule="exact"/>
        <w:rPr>
          <w:sz w:val="20"/>
          <w:szCs w:val="20"/>
          <w:color w:val="auto"/>
        </w:rPr>
      </w:pPr>
    </w:p>
    <w:tbl>
      <w:tblPr>
        <w:tblLayout w:type="fixed"/>
        <w:tblInd w:w="2960" w:type="dxa"/>
        <w:tblCellMar>
          <w:top w:w="0" w:type="dxa"/>
          <w:left w:w="0" w:type="dxa"/>
          <w:bottom w:w="0" w:type="dxa"/>
          <w:right w:w="0" w:type="dxa"/>
        </w:tblCellMar>
      </w:tblPr>
      <w:tr>
        <w:trPr>
          <w:trHeight w:val="189"/>
        </w:trPr>
        <w:tc>
          <w:tcPr>
            <w:tcW w:w="2860" w:type="dxa"/>
            <w:vAlign w:val="bottom"/>
          </w:tcPr>
          <w:p>
            <w:pPr>
              <w:spacing w:after="0"/>
              <w:rPr>
                <w:sz w:val="20"/>
                <w:szCs w:val="20"/>
                <w:color w:val="auto"/>
              </w:rPr>
            </w:pPr>
            <w:r>
              <w:rPr>
                <w:rFonts w:ascii="Arial" w:cs="Arial" w:eastAsia="Arial" w:hAnsi="Arial"/>
                <w:sz w:val="16"/>
                <w:szCs w:val="16"/>
                <w:b w:val="1"/>
                <w:bCs w:val="1"/>
                <w:color w:val="auto"/>
              </w:rPr>
              <w:t>Former Chief Executive Officer,</w:t>
            </w:r>
          </w:p>
        </w:tc>
        <w:tc>
          <w:tcPr>
            <w:tcW w:w="4900" w:type="dxa"/>
            <w:vAlign w:val="bottom"/>
            <w:gridSpan w:val="2"/>
          </w:tcPr>
          <w:p>
            <w:pPr>
              <w:ind w:left="460"/>
              <w:spacing w:after="0"/>
              <w:rPr>
                <w:sz w:val="20"/>
                <w:szCs w:val="20"/>
                <w:color w:val="auto"/>
              </w:rPr>
            </w:pPr>
            <w:r>
              <w:rPr>
                <w:rFonts w:ascii="Arial" w:cs="Arial" w:eastAsia="Arial" w:hAnsi="Arial"/>
                <w:sz w:val="16"/>
                <w:szCs w:val="16"/>
                <w:b w:val="1"/>
                <w:bCs w:val="1"/>
                <w:color w:val="auto"/>
              </w:rPr>
              <w:t>SLB Board Committees</w:t>
            </w:r>
          </w:p>
        </w:tc>
      </w:tr>
      <w:tr>
        <w:trPr>
          <w:trHeight w:val="189"/>
        </w:trPr>
        <w:tc>
          <w:tcPr>
            <w:tcW w:w="2860" w:type="dxa"/>
            <w:vAlign w:val="bottom"/>
          </w:tcPr>
          <w:p>
            <w:pPr>
              <w:spacing w:after="0"/>
              <w:rPr>
                <w:sz w:val="20"/>
                <w:szCs w:val="20"/>
                <w:color w:val="auto"/>
              </w:rPr>
            </w:pPr>
            <w:r>
              <w:rPr>
                <w:rFonts w:ascii="Arial" w:cs="Arial" w:eastAsia="Arial" w:hAnsi="Arial"/>
                <w:sz w:val="16"/>
                <w:szCs w:val="16"/>
                <w:b w:val="1"/>
                <w:bCs w:val="1"/>
                <w:color w:val="auto"/>
              </w:rPr>
              <w:t>Ørsted Wind Power A/S</w:t>
            </w:r>
          </w:p>
        </w:tc>
        <w:tc>
          <w:tcPr>
            <w:tcW w:w="580" w:type="dxa"/>
            <w:vAlign w:val="bottom"/>
          </w:tcPr>
          <w:p>
            <w:pPr>
              <w:ind w:left="460"/>
              <w:spacing w:after="0"/>
              <w:rPr>
                <w:sz w:val="20"/>
                <w:szCs w:val="20"/>
                <w:color w:val="auto"/>
              </w:rPr>
            </w:pPr>
            <w:r>
              <w:rPr>
                <w:rFonts w:ascii="Arial" w:cs="Arial" w:eastAsia="Arial" w:hAnsi="Arial"/>
                <w:sz w:val="16"/>
                <w:szCs w:val="16"/>
                <w:b w:val="1"/>
                <w:bCs w:val="1"/>
                <w:color w:val="16458B"/>
              </w:rPr>
              <w:t>•</w:t>
            </w:r>
          </w:p>
        </w:tc>
        <w:tc>
          <w:tcPr>
            <w:tcW w:w="4320" w:type="dxa"/>
            <w:vAlign w:val="bottom"/>
          </w:tcPr>
          <w:p>
            <w:pPr>
              <w:ind w:left="80"/>
              <w:spacing w:after="0"/>
              <w:rPr>
                <w:sz w:val="20"/>
                <w:szCs w:val="20"/>
                <w:color w:val="auto"/>
              </w:rPr>
            </w:pPr>
            <w:r>
              <w:rPr>
                <w:rFonts w:ascii="Arial" w:cs="Arial" w:eastAsia="Arial" w:hAnsi="Arial"/>
                <w:sz w:val="16"/>
                <w:szCs w:val="16"/>
                <w:color w:val="auto"/>
              </w:rPr>
              <w:t>Audit</w:t>
            </w:r>
          </w:p>
        </w:tc>
      </w:tr>
      <w:tr>
        <w:trPr>
          <w:trHeight w:val="189"/>
        </w:trPr>
        <w:tc>
          <w:tcPr>
            <w:tcW w:w="2860" w:type="dxa"/>
            <w:vAlign w:val="bottom"/>
          </w:tcPr>
          <w:p>
            <w:pPr>
              <w:spacing w:after="0"/>
              <w:rPr>
                <w:sz w:val="16"/>
                <w:szCs w:val="16"/>
                <w:color w:val="auto"/>
              </w:rPr>
            </w:pPr>
          </w:p>
        </w:tc>
        <w:tc>
          <w:tcPr>
            <w:tcW w:w="580" w:type="dxa"/>
            <w:vAlign w:val="bottom"/>
          </w:tcPr>
          <w:p>
            <w:pPr>
              <w:ind w:left="460"/>
              <w:spacing w:after="0"/>
              <w:rPr>
                <w:sz w:val="20"/>
                <w:szCs w:val="20"/>
                <w:color w:val="auto"/>
              </w:rPr>
            </w:pPr>
            <w:r>
              <w:rPr>
                <w:rFonts w:ascii="Arial" w:cs="Arial" w:eastAsia="Arial" w:hAnsi="Arial"/>
                <w:sz w:val="16"/>
                <w:szCs w:val="16"/>
                <w:b w:val="1"/>
                <w:bCs w:val="1"/>
                <w:color w:val="16458B"/>
              </w:rPr>
              <w:t>•</w:t>
            </w:r>
          </w:p>
        </w:tc>
        <w:tc>
          <w:tcPr>
            <w:tcW w:w="4320" w:type="dxa"/>
            <w:vAlign w:val="bottom"/>
          </w:tcPr>
          <w:p>
            <w:pPr>
              <w:ind w:left="80"/>
              <w:spacing w:after="0"/>
              <w:rPr>
                <w:sz w:val="20"/>
                <w:szCs w:val="20"/>
                <w:color w:val="auto"/>
              </w:rPr>
            </w:pPr>
            <w:r>
              <w:rPr>
                <w:rFonts w:ascii="Arial" w:cs="Arial" w:eastAsia="Arial" w:hAnsi="Arial"/>
                <w:sz w:val="16"/>
                <w:szCs w:val="16"/>
                <w:color w:val="auto"/>
              </w:rPr>
              <w:t>Finance</w:t>
            </w:r>
          </w:p>
        </w:tc>
      </w:tr>
      <w:tr>
        <w:trPr>
          <w:trHeight w:val="223"/>
        </w:trPr>
        <w:tc>
          <w:tcPr>
            <w:tcW w:w="2860" w:type="dxa"/>
            <w:vAlign w:val="bottom"/>
          </w:tcPr>
          <w:p>
            <w:pPr>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2021</w:t>
            </w:r>
          </w:p>
        </w:tc>
        <w:tc>
          <w:tcPr>
            <w:tcW w:w="4900" w:type="dxa"/>
            <w:vAlign w:val="bottom"/>
            <w:gridSpan w:val="2"/>
          </w:tcPr>
          <w:p>
            <w:pPr>
              <w:ind w:left="460"/>
              <w:spacing w:after="0"/>
              <w:rPr>
                <w:sz w:val="20"/>
                <w:szCs w:val="20"/>
                <w:color w:val="auto"/>
              </w:rPr>
            </w:pPr>
            <w:r>
              <w:rPr>
                <w:rFonts w:ascii="Arial" w:cs="Arial" w:eastAsia="Arial" w:hAnsi="Arial"/>
                <w:sz w:val="16"/>
                <w:szCs w:val="16"/>
                <w:b w:val="1"/>
                <w:bCs w:val="1"/>
                <w:color w:val="16458B"/>
              </w:rPr>
              <w:t xml:space="preserve">•  </w:t>
            </w:r>
            <w:r>
              <w:rPr>
                <w:rFonts w:ascii="Arial" w:cs="Arial" w:eastAsia="Arial" w:hAnsi="Arial"/>
                <w:sz w:val="16"/>
                <w:szCs w:val="16"/>
                <w:color w:val="000000"/>
              </w:rPr>
              <w:t>New Energy and Innovation</w:t>
            </w:r>
          </w:p>
        </w:tc>
      </w:tr>
      <w:tr>
        <w:trPr>
          <w:trHeight w:val="344"/>
        </w:trPr>
        <w:tc>
          <w:tcPr>
            <w:tcW w:w="2860" w:type="dxa"/>
            <w:vAlign w:val="bottom"/>
          </w:tcPr>
          <w:p>
            <w:pPr>
              <w:spacing w:after="0"/>
              <w:rPr>
                <w:sz w:val="20"/>
                <w:szCs w:val="20"/>
                <w:color w:val="auto"/>
              </w:rPr>
            </w:pPr>
            <w:r>
              <w:rPr>
                <w:rFonts w:ascii="Arial" w:cs="Arial" w:eastAsia="Arial" w:hAnsi="Arial"/>
                <w:sz w:val="16"/>
                <w:szCs w:val="16"/>
                <w:b w:val="1"/>
                <w:bCs w:val="1"/>
                <w:color w:val="auto"/>
              </w:rPr>
              <w:t>Other Current Public Boards</w:t>
            </w:r>
          </w:p>
        </w:tc>
        <w:tc>
          <w:tcPr>
            <w:tcW w:w="4900" w:type="dxa"/>
            <w:vAlign w:val="bottom"/>
            <w:gridSpan w:val="2"/>
          </w:tcPr>
          <w:p>
            <w:pPr>
              <w:ind w:left="460"/>
              <w:spacing w:after="0"/>
              <w:rPr>
                <w:sz w:val="20"/>
                <w:szCs w:val="20"/>
                <w:color w:val="auto"/>
              </w:rPr>
            </w:pPr>
            <w:r>
              <w:rPr>
                <w:rFonts w:ascii="Arial" w:cs="Arial" w:eastAsia="Arial" w:hAnsi="Arial"/>
                <w:sz w:val="16"/>
                <w:szCs w:val="16"/>
                <w:b w:val="1"/>
                <w:bCs w:val="1"/>
                <w:color w:val="auto"/>
              </w:rPr>
              <w:t>Other Experience and Education</w:t>
            </w:r>
          </w:p>
        </w:tc>
      </w:tr>
      <w:tr>
        <w:trPr>
          <w:trHeight w:val="189"/>
        </w:trPr>
        <w:tc>
          <w:tcPr>
            <w:tcW w:w="2860" w:type="dxa"/>
            <w:vAlign w:val="bottom"/>
          </w:tcPr>
          <w:p>
            <w:pPr>
              <w:spacing w:after="0"/>
              <w:rPr>
                <w:sz w:val="20"/>
                <w:szCs w:val="20"/>
                <w:color w:val="auto"/>
              </w:rPr>
            </w:pPr>
            <w:r>
              <w:rPr>
                <w:rFonts w:ascii="Arial" w:cs="Arial" w:eastAsia="Arial" w:hAnsi="Arial"/>
                <w:sz w:val="16"/>
                <w:szCs w:val="16"/>
                <w:b w:val="1"/>
                <w:bCs w:val="1"/>
                <w:color w:val="16458B"/>
              </w:rPr>
              <w:t xml:space="preserve">•  </w:t>
            </w:r>
            <w:r>
              <w:rPr>
                <w:rFonts w:ascii="Arial" w:cs="Arial" w:eastAsia="Arial" w:hAnsi="Arial"/>
                <w:sz w:val="16"/>
                <w:szCs w:val="16"/>
                <w:color w:val="000000"/>
              </w:rPr>
              <w:t>None</w:t>
            </w:r>
          </w:p>
        </w:tc>
        <w:tc>
          <w:tcPr>
            <w:tcW w:w="4900" w:type="dxa"/>
            <w:vAlign w:val="bottom"/>
            <w:gridSpan w:val="2"/>
          </w:tcPr>
          <w:p>
            <w:pPr>
              <w:ind w:left="460"/>
              <w:spacing w:after="0"/>
              <w:rPr>
                <w:sz w:val="20"/>
                <w:szCs w:val="20"/>
                <w:color w:val="auto"/>
              </w:rPr>
            </w:pPr>
            <w:r>
              <w:rPr>
                <w:rFonts w:ascii="Arial" w:cs="Arial" w:eastAsia="Arial" w:hAnsi="Arial"/>
                <w:sz w:val="16"/>
                <w:szCs w:val="16"/>
                <w:b w:val="1"/>
                <w:bCs w:val="1"/>
                <w:color w:val="16458B"/>
              </w:rPr>
              <w:t xml:space="preserve">•  </w:t>
            </w:r>
            <w:r>
              <w:rPr>
                <w:rFonts w:ascii="Arial" w:cs="Arial" w:eastAsia="Arial" w:hAnsi="Arial"/>
                <w:sz w:val="16"/>
                <w:szCs w:val="16"/>
                <w:color w:val="000000"/>
              </w:rPr>
              <w:t>Master’s Degree in Mechanical Engineering, Swiss Federal</w:t>
            </w:r>
          </w:p>
        </w:tc>
      </w:tr>
      <w:tr>
        <w:trPr>
          <w:trHeight w:val="189"/>
        </w:trPr>
        <w:tc>
          <w:tcPr>
            <w:tcW w:w="2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320" w:type="dxa"/>
            <w:vAlign w:val="bottom"/>
          </w:tcPr>
          <w:p>
            <w:pPr>
              <w:ind w:left="60"/>
              <w:spacing w:after="0"/>
              <w:rPr>
                <w:sz w:val="20"/>
                <w:szCs w:val="20"/>
                <w:color w:val="auto"/>
              </w:rPr>
            </w:pPr>
            <w:r>
              <w:rPr>
                <w:rFonts w:ascii="Arial" w:cs="Arial" w:eastAsia="Arial" w:hAnsi="Arial"/>
                <w:sz w:val="16"/>
                <w:szCs w:val="16"/>
                <w:color w:val="auto"/>
              </w:rPr>
              <w:t>Institute of Technology (Zurich)</w:t>
            </w:r>
          </w:p>
        </w:tc>
      </w:tr>
      <w:tr>
        <w:trPr>
          <w:trHeight w:val="189"/>
        </w:trPr>
        <w:tc>
          <w:tcPr>
            <w:tcW w:w="2860" w:type="dxa"/>
            <w:vAlign w:val="bottom"/>
          </w:tcPr>
          <w:p>
            <w:pPr>
              <w:spacing w:after="0"/>
              <w:rPr>
                <w:sz w:val="20"/>
                <w:szCs w:val="20"/>
                <w:color w:val="auto"/>
              </w:rPr>
            </w:pPr>
            <w:r>
              <w:rPr>
                <w:rFonts w:ascii="Arial" w:cs="Arial" w:eastAsia="Arial" w:hAnsi="Arial"/>
                <w:sz w:val="16"/>
                <w:szCs w:val="16"/>
                <w:b w:val="1"/>
                <w:bCs w:val="1"/>
                <w:color w:val="auto"/>
              </w:rPr>
              <w:t>Former Public Director Roles</w:t>
            </w:r>
          </w:p>
        </w:tc>
        <w:tc>
          <w:tcPr>
            <w:tcW w:w="580" w:type="dxa"/>
            <w:vAlign w:val="bottom"/>
          </w:tcPr>
          <w:p>
            <w:pPr>
              <w:ind w:left="460"/>
              <w:spacing w:after="0"/>
              <w:rPr>
                <w:sz w:val="20"/>
                <w:szCs w:val="20"/>
                <w:color w:val="auto"/>
              </w:rPr>
            </w:pPr>
            <w:r>
              <w:rPr>
                <w:rFonts w:ascii="Arial" w:cs="Arial" w:eastAsia="Arial" w:hAnsi="Arial"/>
                <w:sz w:val="16"/>
                <w:szCs w:val="16"/>
                <w:b w:val="1"/>
                <w:bCs w:val="1"/>
                <w:color w:val="16458B"/>
              </w:rPr>
              <w:t>•</w:t>
            </w:r>
          </w:p>
        </w:tc>
        <w:tc>
          <w:tcPr>
            <w:tcW w:w="4320" w:type="dxa"/>
            <w:vAlign w:val="bottom"/>
          </w:tcPr>
          <w:p>
            <w:pPr>
              <w:ind w:left="80"/>
              <w:spacing w:after="0"/>
              <w:rPr>
                <w:sz w:val="20"/>
                <w:szCs w:val="20"/>
                <w:color w:val="auto"/>
              </w:rPr>
            </w:pPr>
            <w:r>
              <w:rPr>
                <w:rFonts w:ascii="Arial" w:cs="Arial" w:eastAsia="Arial" w:hAnsi="Arial"/>
                <w:sz w:val="16"/>
                <w:szCs w:val="16"/>
                <w:color w:val="auto"/>
              </w:rPr>
              <w:t>MBA, INSEAD (Fontainebleau)</w:t>
            </w:r>
          </w:p>
        </w:tc>
      </w:tr>
      <w:tr>
        <w:trPr>
          <w:trHeight w:val="189"/>
        </w:trPr>
        <w:tc>
          <w:tcPr>
            <w:tcW w:w="2860" w:type="dxa"/>
            <w:vAlign w:val="bottom"/>
          </w:tcPr>
          <w:p>
            <w:pPr>
              <w:spacing w:after="0"/>
              <w:rPr>
                <w:sz w:val="20"/>
                <w:szCs w:val="20"/>
                <w:color w:val="auto"/>
              </w:rPr>
            </w:pPr>
            <w:r>
              <w:rPr>
                <w:rFonts w:ascii="Arial" w:cs="Arial" w:eastAsia="Arial" w:hAnsi="Arial"/>
                <w:sz w:val="16"/>
                <w:szCs w:val="16"/>
                <w:b w:val="1"/>
                <w:bCs w:val="1"/>
                <w:color w:val="auto"/>
              </w:rPr>
              <w:t>During the Past Five Years</w:t>
            </w:r>
          </w:p>
        </w:tc>
        <w:tc>
          <w:tcPr>
            <w:tcW w:w="4900" w:type="dxa"/>
            <w:vAlign w:val="bottom"/>
            <w:gridSpan w:val="2"/>
          </w:tcPr>
          <w:p>
            <w:pPr>
              <w:ind w:left="460"/>
              <w:spacing w:after="0"/>
              <w:rPr>
                <w:sz w:val="20"/>
                <w:szCs w:val="20"/>
                <w:color w:val="auto"/>
              </w:rPr>
            </w:pPr>
            <w:r>
              <w:rPr>
                <w:rFonts w:ascii="Arial" w:cs="Arial" w:eastAsia="Arial" w:hAnsi="Arial"/>
                <w:sz w:val="16"/>
                <w:szCs w:val="16"/>
                <w:b w:val="1"/>
                <w:bCs w:val="1"/>
                <w:color w:val="16458B"/>
              </w:rPr>
              <w:t xml:space="preserve">•  </w:t>
            </w:r>
            <w:r>
              <w:rPr>
                <w:rFonts w:ascii="Arial" w:cs="Arial" w:eastAsia="Arial" w:hAnsi="Arial"/>
                <w:sz w:val="16"/>
                <w:szCs w:val="16"/>
                <w:color w:val="000000"/>
              </w:rPr>
              <w:t>Energy transition and sustainability expertise</w:t>
            </w:r>
          </w:p>
        </w:tc>
      </w:tr>
      <w:tr>
        <w:trPr>
          <w:trHeight w:val="223"/>
        </w:trPr>
        <w:tc>
          <w:tcPr>
            <w:tcW w:w="2860" w:type="dxa"/>
            <w:vAlign w:val="bottom"/>
          </w:tcPr>
          <w:p>
            <w:pPr>
              <w:spacing w:after="0"/>
              <w:rPr>
                <w:sz w:val="20"/>
                <w:szCs w:val="20"/>
                <w:color w:val="auto"/>
              </w:rPr>
            </w:pPr>
            <w:r>
              <w:rPr>
                <w:rFonts w:ascii="Arial" w:cs="Arial" w:eastAsia="Arial" w:hAnsi="Arial"/>
                <w:sz w:val="16"/>
                <w:szCs w:val="16"/>
                <w:b w:val="1"/>
                <w:bCs w:val="1"/>
                <w:color w:val="16458B"/>
              </w:rPr>
              <w:t xml:space="preserve">•  </w:t>
            </w:r>
            <w:r>
              <w:rPr>
                <w:rFonts w:ascii="Arial" w:cs="Arial" w:eastAsia="Arial" w:hAnsi="Arial"/>
                <w:sz w:val="16"/>
                <w:szCs w:val="16"/>
                <w:color w:val="000000"/>
              </w:rPr>
              <w:t>Enel SpA</w:t>
            </w:r>
          </w:p>
        </w:tc>
        <w:tc>
          <w:tcPr>
            <w:tcW w:w="580" w:type="dxa"/>
            <w:vAlign w:val="bottom"/>
          </w:tcPr>
          <w:p>
            <w:pPr>
              <w:spacing w:after="0"/>
              <w:rPr>
                <w:sz w:val="19"/>
                <w:szCs w:val="19"/>
                <w:color w:val="auto"/>
              </w:rPr>
            </w:pPr>
          </w:p>
        </w:tc>
        <w:tc>
          <w:tcPr>
            <w:tcW w:w="43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690880</wp:posOffset>
            </wp:positionV>
            <wp:extent cx="713232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60" w:right="60"/>
        <w:spacing w:after="0" w:line="254" w:lineRule="auto"/>
        <w:rPr>
          <w:sz w:val="20"/>
          <w:szCs w:val="20"/>
          <w:color w:val="auto"/>
        </w:rPr>
      </w:pPr>
      <w:r>
        <w:rPr>
          <w:rFonts w:ascii="Arial" w:cs="Arial" w:eastAsia="Arial" w:hAnsi="Arial"/>
          <w:sz w:val="16"/>
          <w:szCs w:val="16"/>
          <w:color w:val="auto"/>
        </w:rPr>
        <w:t>SAMUEL LEUPOLD is the former chief executive officer of Ørsted Wind Power A/S, the principal subsidiary of Ørsted AS, a Danish renewable energy company, where he led Ørsted Wind Power to become the world’s leading developer, operator and owner of offshore wind assets during his tenure from 2013 to March 2018. Since May 2019, Mr. Leupold has served as an independent senior advisor supporting international clients in the energy and infrastructure sectors through his consultancy firm, Leupold Advisory. He has also served as chair of Corio Generation, a specialist offshore wind business and Macquarie Green Investment Group portfolio company, since March 2022, and as a director of Axpo Holding AG, Switzerland’s largest producer of renewable energy, since January 2024. Mr. Leupold previously served as a director of Enel SpA from May 2020 to May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Reason for Nomination</w:t>
      </w:r>
    </w:p>
    <w:p>
      <w:pPr>
        <w:spacing w:after="0" w:line="21" w:lineRule="exact"/>
        <w:rPr>
          <w:sz w:val="20"/>
          <w:szCs w:val="20"/>
          <w:color w:val="auto"/>
        </w:rPr>
      </w:pPr>
    </w:p>
    <w:p>
      <w:pPr>
        <w:jc w:val="both"/>
        <w:ind w:left="60" w:right="60"/>
        <w:spacing w:after="0" w:line="254" w:lineRule="auto"/>
        <w:rPr>
          <w:sz w:val="20"/>
          <w:szCs w:val="20"/>
          <w:color w:val="auto"/>
        </w:rPr>
      </w:pPr>
      <w:r>
        <w:rPr>
          <w:rFonts w:ascii="Arial" w:cs="Arial" w:eastAsia="Arial" w:hAnsi="Arial"/>
          <w:sz w:val="16"/>
          <w:szCs w:val="16"/>
          <w:color w:val="auto"/>
        </w:rPr>
        <w:t>Mr. Leupold brings to the Board operational experience as the former CEO of a renewable energy company, as well as significant energy transition experience focused on the relationship between new energy generation and infrastructure capabilities. The Board benefits from his expertise on these issues as SLB seeks to implement our net-zero ambition and our strategy to deploy sustainable technologies to provide access to energy for the benefit of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Tatiana Mitrova,</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1830705</wp:posOffset>
            </wp:positionH>
            <wp:positionV relativeFrom="paragraph">
              <wp:posOffset>57785</wp:posOffset>
            </wp:positionV>
            <wp:extent cx="530606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306060" cy="8255"/>
                    </a:xfrm>
                    <a:prstGeom prst="rect">
                      <a:avLst/>
                    </a:prstGeom>
                    <a:noFill/>
                  </pic:spPr>
                </pic:pic>
              </a:graphicData>
            </a:graphic>
          </wp:anchor>
        </w:drawing>
      </w:r>
    </w:p>
    <w:p>
      <w:pPr>
        <w:spacing w:after="0" w:line="151" w:lineRule="exact"/>
        <w:rPr>
          <w:sz w:val="20"/>
          <w:szCs w:val="20"/>
          <w:color w:val="auto"/>
        </w:rPr>
      </w:pPr>
    </w:p>
    <w:tbl>
      <w:tblPr>
        <w:tblLayout w:type="fixed"/>
        <w:tblInd w:w="2980" w:type="dxa"/>
        <w:tblCellMar>
          <w:top w:w="0" w:type="dxa"/>
          <w:left w:w="0" w:type="dxa"/>
          <w:bottom w:w="0" w:type="dxa"/>
          <w:right w:w="0" w:type="dxa"/>
        </w:tblCellMar>
      </w:tblPr>
      <w:tr>
        <w:trPr>
          <w:trHeight w:val="189"/>
        </w:trPr>
        <w:tc>
          <w:tcPr>
            <w:tcW w:w="3000" w:type="dxa"/>
            <w:vAlign w:val="bottom"/>
          </w:tcPr>
          <w:p>
            <w:pPr>
              <w:spacing w:after="0"/>
              <w:rPr>
                <w:sz w:val="20"/>
                <w:szCs w:val="20"/>
                <w:color w:val="auto"/>
              </w:rPr>
            </w:pPr>
            <w:r>
              <w:rPr>
                <w:rFonts w:ascii="Arial" w:cs="Arial" w:eastAsia="Arial" w:hAnsi="Arial"/>
                <w:sz w:val="16"/>
                <w:szCs w:val="16"/>
                <w:b w:val="1"/>
                <w:bCs w:val="1"/>
                <w:color w:val="auto"/>
              </w:rPr>
              <w:t>Research Fellow,</w:t>
            </w:r>
          </w:p>
        </w:tc>
        <w:tc>
          <w:tcPr>
            <w:tcW w:w="4960" w:type="dxa"/>
            <w:vAlign w:val="bottom"/>
            <w:gridSpan w:val="2"/>
          </w:tcPr>
          <w:p>
            <w:pPr>
              <w:ind w:left="380"/>
              <w:spacing w:after="0"/>
              <w:rPr>
                <w:sz w:val="20"/>
                <w:szCs w:val="20"/>
                <w:color w:val="auto"/>
              </w:rPr>
            </w:pPr>
            <w:r>
              <w:rPr>
                <w:rFonts w:ascii="Arial" w:cs="Arial" w:eastAsia="Arial" w:hAnsi="Arial"/>
                <w:sz w:val="16"/>
                <w:szCs w:val="16"/>
                <w:b w:val="1"/>
                <w:bCs w:val="1"/>
                <w:color w:val="auto"/>
              </w:rPr>
              <w:t>SLB Board Committees</w:t>
            </w:r>
          </w:p>
        </w:tc>
      </w:tr>
      <w:tr>
        <w:trPr>
          <w:trHeight w:val="189"/>
        </w:trPr>
        <w:tc>
          <w:tcPr>
            <w:tcW w:w="3000" w:type="dxa"/>
            <w:vAlign w:val="bottom"/>
          </w:tcPr>
          <w:p>
            <w:pPr>
              <w:spacing w:after="0"/>
              <w:rPr>
                <w:sz w:val="20"/>
                <w:szCs w:val="20"/>
                <w:color w:val="auto"/>
              </w:rPr>
            </w:pPr>
            <w:r>
              <w:rPr>
                <w:rFonts w:ascii="Arial" w:cs="Arial" w:eastAsia="Arial" w:hAnsi="Arial"/>
                <w:sz w:val="16"/>
                <w:szCs w:val="16"/>
                <w:b w:val="1"/>
                <w:bCs w:val="1"/>
                <w:color w:val="auto"/>
              </w:rPr>
              <w:t>Center on Global Energy Policy,</w:t>
            </w:r>
          </w:p>
        </w:tc>
        <w:tc>
          <w:tcPr>
            <w:tcW w:w="500" w:type="dxa"/>
            <w:vAlign w:val="bottom"/>
          </w:tcPr>
          <w:p>
            <w:pPr>
              <w:ind w:left="380"/>
              <w:spacing w:after="0"/>
              <w:rPr>
                <w:sz w:val="20"/>
                <w:szCs w:val="20"/>
                <w:color w:val="auto"/>
              </w:rPr>
            </w:pPr>
            <w:r>
              <w:rPr>
                <w:rFonts w:ascii="Arial" w:cs="Arial" w:eastAsia="Arial" w:hAnsi="Arial"/>
                <w:sz w:val="16"/>
                <w:szCs w:val="16"/>
                <w:b w:val="1"/>
                <w:bCs w:val="1"/>
                <w:color w:val="16458B"/>
              </w:rPr>
              <w:t>•</w:t>
            </w:r>
          </w:p>
        </w:tc>
        <w:tc>
          <w:tcPr>
            <w:tcW w:w="4460" w:type="dxa"/>
            <w:vAlign w:val="bottom"/>
          </w:tcPr>
          <w:p>
            <w:pPr>
              <w:ind w:left="60"/>
              <w:spacing w:after="0"/>
              <w:rPr>
                <w:sz w:val="20"/>
                <w:szCs w:val="20"/>
                <w:color w:val="auto"/>
              </w:rPr>
            </w:pPr>
            <w:r>
              <w:rPr>
                <w:rFonts w:ascii="Arial" w:cs="Arial" w:eastAsia="Arial" w:hAnsi="Arial"/>
                <w:sz w:val="16"/>
                <w:szCs w:val="16"/>
                <w:color w:val="auto"/>
              </w:rPr>
              <w:t>Audit</w:t>
            </w:r>
          </w:p>
        </w:tc>
      </w:tr>
      <w:tr>
        <w:trPr>
          <w:trHeight w:val="189"/>
        </w:trPr>
        <w:tc>
          <w:tcPr>
            <w:tcW w:w="3000" w:type="dxa"/>
            <w:vAlign w:val="bottom"/>
          </w:tcPr>
          <w:p>
            <w:pPr>
              <w:spacing w:after="0"/>
              <w:rPr>
                <w:sz w:val="20"/>
                <w:szCs w:val="20"/>
                <w:color w:val="auto"/>
              </w:rPr>
            </w:pPr>
            <w:r>
              <w:rPr>
                <w:rFonts w:ascii="Arial" w:cs="Arial" w:eastAsia="Arial" w:hAnsi="Arial"/>
                <w:sz w:val="16"/>
                <w:szCs w:val="16"/>
                <w:b w:val="1"/>
                <w:bCs w:val="1"/>
                <w:color w:val="auto"/>
              </w:rPr>
              <w:t>School of International and Public</w:t>
            </w:r>
          </w:p>
        </w:tc>
        <w:tc>
          <w:tcPr>
            <w:tcW w:w="500" w:type="dxa"/>
            <w:vAlign w:val="bottom"/>
          </w:tcPr>
          <w:p>
            <w:pPr>
              <w:ind w:left="380"/>
              <w:spacing w:after="0"/>
              <w:rPr>
                <w:sz w:val="20"/>
                <w:szCs w:val="20"/>
                <w:color w:val="auto"/>
              </w:rPr>
            </w:pPr>
            <w:r>
              <w:rPr>
                <w:rFonts w:ascii="Arial" w:cs="Arial" w:eastAsia="Arial" w:hAnsi="Arial"/>
                <w:sz w:val="16"/>
                <w:szCs w:val="16"/>
                <w:b w:val="1"/>
                <w:bCs w:val="1"/>
                <w:color w:val="16458B"/>
              </w:rPr>
              <w:t>•</w:t>
            </w:r>
          </w:p>
        </w:tc>
        <w:tc>
          <w:tcPr>
            <w:tcW w:w="4460" w:type="dxa"/>
            <w:vAlign w:val="bottom"/>
          </w:tcPr>
          <w:p>
            <w:pPr>
              <w:ind w:left="60"/>
              <w:spacing w:after="0"/>
              <w:rPr>
                <w:sz w:val="20"/>
                <w:szCs w:val="20"/>
                <w:color w:val="auto"/>
              </w:rPr>
            </w:pPr>
            <w:r>
              <w:rPr>
                <w:rFonts w:ascii="Arial" w:cs="Arial" w:eastAsia="Arial" w:hAnsi="Arial"/>
                <w:sz w:val="16"/>
                <w:szCs w:val="16"/>
                <w:color w:val="auto"/>
              </w:rPr>
              <w:t>Finance</w:t>
            </w:r>
          </w:p>
        </w:tc>
      </w:tr>
      <w:tr>
        <w:trPr>
          <w:trHeight w:val="223"/>
        </w:trPr>
        <w:tc>
          <w:tcPr>
            <w:tcW w:w="3000" w:type="dxa"/>
            <w:vAlign w:val="bottom"/>
          </w:tcPr>
          <w:p>
            <w:pPr>
              <w:spacing w:after="0"/>
              <w:rPr>
                <w:sz w:val="20"/>
                <w:szCs w:val="20"/>
                <w:color w:val="auto"/>
              </w:rPr>
            </w:pPr>
            <w:r>
              <w:rPr>
                <w:rFonts w:ascii="Arial" w:cs="Arial" w:eastAsia="Arial" w:hAnsi="Arial"/>
                <w:sz w:val="16"/>
                <w:szCs w:val="16"/>
                <w:b w:val="1"/>
                <w:bCs w:val="1"/>
                <w:color w:val="auto"/>
              </w:rPr>
              <w:t>Affairs at Columbia University</w:t>
            </w:r>
          </w:p>
        </w:tc>
        <w:tc>
          <w:tcPr>
            <w:tcW w:w="4960" w:type="dxa"/>
            <w:vAlign w:val="bottom"/>
            <w:gridSpan w:val="2"/>
          </w:tcPr>
          <w:p>
            <w:pPr>
              <w:ind w:left="380"/>
              <w:spacing w:after="0"/>
              <w:rPr>
                <w:sz w:val="20"/>
                <w:szCs w:val="20"/>
                <w:color w:val="auto"/>
              </w:rPr>
            </w:pPr>
            <w:r>
              <w:rPr>
                <w:rFonts w:ascii="Arial" w:cs="Arial" w:eastAsia="Arial" w:hAnsi="Arial"/>
                <w:sz w:val="16"/>
                <w:szCs w:val="16"/>
                <w:b w:val="1"/>
                <w:bCs w:val="1"/>
                <w:color w:val="16458B"/>
              </w:rPr>
              <w:t xml:space="preserve">•  </w:t>
            </w:r>
            <w:r>
              <w:rPr>
                <w:rFonts w:ascii="Arial" w:cs="Arial" w:eastAsia="Arial" w:hAnsi="Arial"/>
                <w:sz w:val="16"/>
                <w:szCs w:val="16"/>
                <w:color w:val="000000"/>
              </w:rPr>
              <w:t>New Energy and Innovation</w:t>
            </w:r>
          </w:p>
        </w:tc>
      </w:tr>
      <w:tr>
        <w:trPr>
          <w:trHeight w:val="344"/>
        </w:trPr>
        <w:tc>
          <w:tcPr>
            <w:tcW w:w="3000" w:type="dxa"/>
            <w:vAlign w:val="bottom"/>
          </w:tcPr>
          <w:p>
            <w:pPr>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2018</w:t>
            </w:r>
          </w:p>
        </w:tc>
        <w:tc>
          <w:tcPr>
            <w:tcW w:w="4960" w:type="dxa"/>
            <w:vAlign w:val="bottom"/>
            <w:gridSpan w:val="2"/>
          </w:tcPr>
          <w:p>
            <w:pPr>
              <w:ind w:left="380"/>
              <w:spacing w:after="0"/>
              <w:rPr>
                <w:sz w:val="20"/>
                <w:szCs w:val="20"/>
                <w:color w:val="auto"/>
              </w:rPr>
            </w:pPr>
            <w:r>
              <w:rPr>
                <w:rFonts w:ascii="Arial" w:cs="Arial" w:eastAsia="Arial" w:hAnsi="Arial"/>
                <w:sz w:val="16"/>
                <w:szCs w:val="16"/>
                <w:b w:val="1"/>
                <w:bCs w:val="1"/>
                <w:color w:val="auto"/>
              </w:rPr>
              <w:t>Other Experience and Education</w:t>
            </w:r>
          </w:p>
        </w:tc>
      </w:tr>
      <w:tr>
        <w:trPr>
          <w:trHeight w:val="189"/>
        </w:trPr>
        <w:tc>
          <w:tcPr>
            <w:tcW w:w="3000" w:type="dxa"/>
            <w:vAlign w:val="bottom"/>
          </w:tcPr>
          <w:p>
            <w:pPr>
              <w:spacing w:after="0"/>
              <w:rPr>
                <w:sz w:val="16"/>
                <w:szCs w:val="16"/>
                <w:color w:val="auto"/>
              </w:rPr>
            </w:pPr>
          </w:p>
        </w:tc>
        <w:tc>
          <w:tcPr>
            <w:tcW w:w="4960" w:type="dxa"/>
            <w:vAlign w:val="bottom"/>
            <w:gridSpan w:val="2"/>
          </w:tcPr>
          <w:p>
            <w:pPr>
              <w:ind w:left="380"/>
              <w:spacing w:after="0"/>
              <w:rPr>
                <w:sz w:val="20"/>
                <w:szCs w:val="20"/>
                <w:color w:val="auto"/>
              </w:rPr>
            </w:pPr>
            <w:r>
              <w:rPr>
                <w:rFonts w:ascii="Arial" w:cs="Arial" w:eastAsia="Arial" w:hAnsi="Arial"/>
                <w:sz w:val="16"/>
                <w:szCs w:val="16"/>
                <w:b w:val="1"/>
                <w:bCs w:val="1"/>
                <w:color w:val="16458B"/>
              </w:rPr>
              <w:t xml:space="preserve">•  </w:t>
            </w:r>
            <w:r>
              <w:rPr>
                <w:rFonts w:ascii="Arial" w:cs="Arial" w:eastAsia="Arial" w:hAnsi="Arial"/>
                <w:sz w:val="16"/>
                <w:szCs w:val="16"/>
                <w:color w:val="000000"/>
              </w:rPr>
              <w:t>PhD in Economics, Moscow State University</w:t>
            </w:r>
          </w:p>
        </w:tc>
      </w:tr>
      <w:tr>
        <w:trPr>
          <w:trHeight w:val="189"/>
        </w:trPr>
        <w:tc>
          <w:tcPr>
            <w:tcW w:w="3000" w:type="dxa"/>
            <w:vAlign w:val="bottom"/>
          </w:tcPr>
          <w:p>
            <w:pPr>
              <w:spacing w:after="0"/>
              <w:rPr>
                <w:sz w:val="20"/>
                <w:szCs w:val="20"/>
                <w:color w:val="auto"/>
              </w:rPr>
            </w:pPr>
            <w:r>
              <w:rPr>
                <w:rFonts w:ascii="Arial" w:cs="Arial" w:eastAsia="Arial" w:hAnsi="Arial"/>
                <w:sz w:val="16"/>
                <w:szCs w:val="16"/>
                <w:b w:val="1"/>
                <w:bCs w:val="1"/>
                <w:color w:val="auto"/>
              </w:rPr>
              <w:t>Other Current Public Boards</w:t>
            </w:r>
          </w:p>
        </w:tc>
        <w:tc>
          <w:tcPr>
            <w:tcW w:w="4960" w:type="dxa"/>
            <w:vAlign w:val="bottom"/>
            <w:gridSpan w:val="2"/>
          </w:tcPr>
          <w:p>
            <w:pPr>
              <w:ind w:left="380"/>
              <w:spacing w:after="0"/>
              <w:rPr>
                <w:sz w:val="20"/>
                <w:szCs w:val="20"/>
                <w:color w:val="auto"/>
              </w:rPr>
            </w:pPr>
            <w:r>
              <w:rPr>
                <w:rFonts w:ascii="Arial" w:cs="Arial" w:eastAsia="Arial" w:hAnsi="Arial"/>
                <w:sz w:val="16"/>
                <w:szCs w:val="16"/>
                <w:b w:val="1"/>
                <w:bCs w:val="1"/>
                <w:color w:val="16458B"/>
              </w:rPr>
              <w:t xml:space="preserve">•  </w:t>
            </w:r>
            <w:r>
              <w:rPr>
                <w:rFonts w:ascii="Arial" w:cs="Arial" w:eastAsia="Arial" w:hAnsi="Arial"/>
                <w:sz w:val="16"/>
                <w:szCs w:val="16"/>
                <w:color w:val="000000"/>
              </w:rPr>
              <w:t>Senior Visiting Research Fellow at Oxford Institute for Energy</w:t>
            </w:r>
          </w:p>
        </w:tc>
      </w:tr>
      <w:tr>
        <w:trPr>
          <w:trHeight w:val="223"/>
        </w:trPr>
        <w:tc>
          <w:tcPr>
            <w:tcW w:w="3000" w:type="dxa"/>
            <w:vAlign w:val="bottom"/>
          </w:tcPr>
          <w:p>
            <w:pPr>
              <w:spacing w:after="0"/>
              <w:rPr>
                <w:sz w:val="20"/>
                <w:szCs w:val="20"/>
                <w:color w:val="auto"/>
              </w:rPr>
            </w:pPr>
            <w:r>
              <w:rPr>
                <w:rFonts w:ascii="Arial" w:cs="Arial" w:eastAsia="Arial" w:hAnsi="Arial"/>
                <w:sz w:val="16"/>
                <w:szCs w:val="16"/>
                <w:b w:val="1"/>
                <w:bCs w:val="1"/>
                <w:color w:val="16458B"/>
              </w:rPr>
              <w:t xml:space="preserve">•  </w:t>
            </w:r>
            <w:r>
              <w:rPr>
                <w:rFonts w:ascii="Arial" w:cs="Arial" w:eastAsia="Arial" w:hAnsi="Arial"/>
                <w:sz w:val="16"/>
                <w:szCs w:val="16"/>
                <w:color w:val="000000"/>
              </w:rPr>
              <w:t>None</w:t>
            </w:r>
          </w:p>
        </w:tc>
        <w:tc>
          <w:tcPr>
            <w:tcW w:w="500" w:type="dxa"/>
            <w:vAlign w:val="bottom"/>
          </w:tcPr>
          <w:p>
            <w:pPr>
              <w:spacing w:after="0"/>
              <w:rPr>
                <w:sz w:val="19"/>
                <w:szCs w:val="19"/>
                <w:color w:val="auto"/>
              </w:rPr>
            </w:pPr>
          </w:p>
        </w:tc>
        <w:tc>
          <w:tcPr>
            <w:tcW w:w="4460" w:type="dxa"/>
            <w:vAlign w:val="bottom"/>
          </w:tcPr>
          <w:p>
            <w:pPr>
              <w:ind w:left="60"/>
              <w:spacing w:after="0"/>
              <w:rPr>
                <w:sz w:val="20"/>
                <w:szCs w:val="20"/>
                <w:color w:val="auto"/>
              </w:rPr>
            </w:pPr>
            <w:r>
              <w:rPr>
                <w:rFonts w:ascii="Arial" w:cs="Arial" w:eastAsia="Arial" w:hAnsi="Arial"/>
                <w:sz w:val="16"/>
                <w:szCs w:val="16"/>
                <w:color w:val="auto"/>
              </w:rPr>
              <w:t>Studies</w:t>
            </w:r>
          </w:p>
        </w:tc>
      </w:tr>
    </w:tbl>
    <w:p>
      <w:pPr>
        <w:spacing w:after="0" w:line="155" w:lineRule="exact"/>
        <w:rPr>
          <w:sz w:val="20"/>
          <w:szCs w:val="20"/>
          <w:color w:val="auto"/>
        </w:rPr>
      </w:pPr>
    </w:p>
    <w:p>
      <w:pPr>
        <w:ind w:left="2980"/>
        <w:spacing w:after="0"/>
        <w:rPr>
          <w:sz w:val="20"/>
          <w:szCs w:val="20"/>
          <w:color w:val="auto"/>
        </w:rPr>
      </w:pPr>
      <w:r>
        <w:rPr>
          <w:rFonts w:ascii="Arial" w:cs="Arial" w:eastAsia="Arial" w:hAnsi="Arial"/>
          <w:sz w:val="16"/>
          <w:szCs w:val="16"/>
          <w:b w:val="1"/>
          <w:bCs w:val="1"/>
          <w:color w:val="auto"/>
        </w:rPr>
        <w:t>Former Public Director Roles</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6"/>
          <w:szCs w:val="16"/>
          <w:b w:val="1"/>
          <w:bCs w:val="1"/>
          <w:color w:val="auto"/>
        </w:rPr>
        <w:t>During the Past Five Years</w:t>
      </w:r>
    </w:p>
    <w:p>
      <w:pPr>
        <w:spacing w:after="0" w:line="5" w:lineRule="exact"/>
        <w:rPr>
          <w:sz w:val="20"/>
          <w:szCs w:val="20"/>
          <w:color w:val="auto"/>
        </w:rPr>
      </w:pPr>
    </w:p>
    <w:p>
      <w:pPr>
        <w:ind w:left="3160" w:hanging="187"/>
        <w:spacing w:after="0"/>
        <w:tabs>
          <w:tab w:leader="none" w:pos="3160" w:val="left"/>
        </w:tabs>
        <w:numPr>
          <w:ilvl w:val="0"/>
          <w:numId w:val="9"/>
        </w:numPr>
        <w:rPr>
          <w:rFonts w:ascii="Arial" w:cs="Arial" w:eastAsia="Arial" w:hAnsi="Arial"/>
          <w:sz w:val="16"/>
          <w:szCs w:val="16"/>
          <w:b w:val="1"/>
          <w:bCs w:val="1"/>
          <w:color w:val="16458B"/>
        </w:rPr>
      </w:pPr>
      <w:r>
        <w:rPr>
          <w:rFonts w:ascii="Arial" w:cs="Arial" w:eastAsia="Arial" w:hAnsi="Arial"/>
          <w:sz w:val="16"/>
          <w:szCs w:val="16"/>
          <w:color w:val="auto"/>
        </w:rPr>
        <w:t>PAO Novatek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439420</wp:posOffset>
            </wp:positionV>
            <wp:extent cx="713232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60" w:right="60"/>
        <w:spacing w:after="0" w:line="254" w:lineRule="auto"/>
        <w:rPr>
          <w:sz w:val="20"/>
          <w:szCs w:val="20"/>
          <w:color w:val="auto"/>
        </w:rPr>
      </w:pPr>
      <w:r>
        <w:rPr>
          <w:rFonts w:ascii="Arial" w:cs="Arial" w:eastAsia="Arial" w:hAnsi="Arial"/>
          <w:sz w:val="16"/>
          <w:szCs w:val="16"/>
          <w:color w:val="auto"/>
        </w:rPr>
        <w:t>TATIANA MITROVA has been a research fellow at the Center on Global Energy Policy at the School of International and Public Affairs at Columbia University since 2016. She has also been a visiting professor at the Paris School of International Affairs, part of the Paris Institute of Political Studies, since 2014. From 2017 to December 2020, she served as executive director of the Energy Centre of the Moscow School of Management SKOLKOVO, a graduate business school, where she also served as a professor until February 2022. She was also the head of research in the Oil and Gas Department in the Energy Research Institute of the Russian Academy of Sciences from 2011 to February 2022, and an assistant professor at the Gubkin Russian State University of Oil and Gas from 2008 to February 2022. She was previously a director of PAO Novatek from April 2020 to September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Reason for Nomination</w:t>
      </w:r>
    </w:p>
    <w:p>
      <w:pPr>
        <w:spacing w:after="0" w:line="21" w:lineRule="exact"/>
        <w:rPr>
          <w:sz w:val="20"/>
          <w:szCs w:val="20"/>
          <w:color w:val="auto"/>
        </w:rPr>
      </w:pPr>
    </w:p>
    <w:p>
      <w:pPr>
        <w:jc w:val="both"/>
        <w:ind w:left="60" w:right="60"/>
        <w:spacing w:after="0" w:line="252" w:lineRule="auto"/>
        <w:rPr>
          <w:sz w:val="20"/>
          <w:szCs w:val="20"/>
          <w:color w:val="auto"/>
        </w:rPr>
      </w:pPr>
      <w:r>
        <w:rPr>
          <w:rFonts w:ascii="Arial" w:cs="Arial" w:eastAsia="Arial" w:hAnsi="Arial"/>
          <w:sz w:val="16"/>
          <w:szCs w:val="16"/>
          <w:color w:val="auto"/>
        </w:rPr>
        <w:t>Dr. Mitrova brings to the Board valuable expertise regarding energy market dynamics and the various factors affecting supply and demand for SLB’s products and services, as well as expertise relating to sustainability, decarbonization, and the new energy economy. The Board values Dr. Mitrova’s knowledge of international energy markets and related risks, as well as her ties to the academic community. Her global economic perspective provides insight into emerging markets and trends, and is useful for the development of SLB’s global business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471170" cy="28257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71170" cy="28257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jc w:val="both"/>
        <w:ind w:left="5540"/>
        <w:spacing w:after="0"/>
        <w:tabs>
          <w:tab w:leader="none" w:pos="9540" w:val="left"/>
        </w:tabs>
        <w:rPr>
          <w:sz w:val="20"/>
          <w:szCs w:val="20"/>
          <w:color w:val="auto"/>
        </w:rPr>
      </w:pPr>
      <w:r>
        <w:rPr>
          <w:rFonts w:ascii="Arial" w:cs="Arial" w:eastAsia="Arial" w:hAnsi="Arial"/>
          <w:sz w:val="16"/>
          <w:szCs w:val="16"/>
          <w:b w:val="1"/>
          <w:bCs w:val="1"/>
          <w:color w:val="auto"/>
        </w:rPr>
        <w:t>16</w:t>
      </w:r>
      <w:r>
        <w:rPr>
          <w:sz w:val="20"/>
          <w:szCs w:val="20"/>
          <w:color w:val="auto"/>
        </w:rPr>
        <w:tab/>
      </w:r>
      <w:r>
        <w:rPr>
          <w:rFonts w:ascii="Arial" w:cs="Arial" w:eastAsia="Arial" w:hAnsi="Arial"/>
          <w:sz w:val="16"/>
          <w:szCs w:val="16"/>
          <w:b w:val="1"/>
          <w:bCs w:val="1"/>
          <w:color w:val="636466"/>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-29845</wp:posOffset>
            </wp:positionV>
            <wp:extent cx="54178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342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Maria Moræus Hanssen,</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203136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2031365"/>
                    </a:xfrm>
                    <a:prstGeom prst="rect">
                      <a:avLst/>
                    </a:prstGeom>
                    <a:noFill/>
                  </pic:spPr>
                </pic:pic>
              </a:graphicData>
            </a:graphic>
          </wp:anchor>
        </w:drawing>
      </w:r>
    </w:p>
    <w:p>
      <w:pPr>
        <w:spacing w:after="0" w:line="151" w:lineRule="exact"/>
        <w:rPr>
          <w:sz w:val="20"/>
          <w:szCs w:val="20"/>
          <w:color w:val="auto"/>
        </w:rPr>
      </w:pPr>
    </w:p>
    <w:tbl>
      <w:tblPr>
        <w:tblLayout w:type="fixed"/>
        <w:tblInd w:w="2960" w:type="dxa"/>
        <w:tblCellMar>
          <w:top w:w="0" w:type="dxa"/>
          <w:left w:w="0" w:type="dxa"/>
          <w:bottom w:w="0" w:type="dxa"/>
          <w:right w:w="0" w:type="dxa"/>
        </w:tblCellMar>
      </w:tblPr>
      <w:tr>
        <w:trPr>
          <w:trHeight w:val="189"/>
        </w:trPr>
        <w:tc>
          <w:tcPr>
            <w:tcW w:w="3180" w:type="dxa"/>
            <w:vAlign w:val="bottom"/>
            <w:gridSpan w:val="2"/>
          </w:tcPr>
          <w:p>
            <w:pPr>
              <w:spacing w:after="0"/>
              <w:rPr>
                <w:sz w:val="20"/>
                <w:szCs w:val="20"/>
                <w:color w:val="auto"/>
              </w:rPr>
            </w:pPr>
            <w:r>
              <w:rPr>
                <w:rFonts w:ascii="Arial" w:cs="Arial" w:eastAsia="Arial" w:hAnsi="Arial"/>
                <w:sz w:val="16"/>
                <w:szCs w:val="16"/>
                <w:b w:val="1"/>
                <w:bCs w:val="1"/>
                <w:color w:val="auto"/>
              </w:rPr>
              <w:t>Former Deputy Chief Executive Officer</w:t>
            </w:r>
          </w:p>
        </w:tc>
        <w:tc>
          <w:tcPr>
            <w:tcW w:w="5060" w:type="dxa"/>
            <w:vAlign w:val="bottom"/>
            <w:gridSpan w:val="2"/>
          </w:tcPr>
          <w:p>
            <w:pPr>
              <w:ind w:left="220"/>
              <w:spacing w:after="0"/>
              <w:rPr>
                <w:sz w:val="20"/>
                <w:szCs w:val="20"/>
                <w:color w:val="auto"/>
              </w:rPr>
            </w:pPr>
            <w:r>
              <w:rPr>
                <w:rFonts w:ascii="Arial" w:cs="Arial" w:eastAsia="Arial" w:hAnsi="Arial"/>
                <w:sz w:val="16"/>
                <w:szCs w:val="16"/>
                <w:b w:val="1"/>
                <w:bCs w:val="1"/>
                <w:color w:val="auto"/>
              </w:rPr>
              <w:t>SLB Board Committees</w:t>
            </w:r>
          </w:p>
        </w:tc>
        <w:tc>
          <w:tcPr>
            <w:tcW w:w="0" w:type="dxa"/>
            <w:vAlign w:val="bottom"/>
          </w:tcPr>
          <w:p>
            <w:pPr>
              <w:spacing w:after="0"/>
              <w:rPr>
                <w:sz w:val="1"/>
                <w:szCs w:val="1"/>
                <w:color w:val="auto"/>
              </w:rPr>
            </w:pPr>
          </w:p>
        </w:tc>
      </w:tr>
      <w:tr>
        <w:trPr>
          <w:trHeight w:val="189"/>
        </w:trPr>
        <w:tc>
          <w:tcPr>
            <w:tcW w:w="3180" w:type="dxa"/>
            <w:vAlign w:val="bottom"/>
            <w:gridSpan w:val="2"/>
          </w:tcPr>
          <w:p>
            <w:pPr>
              <w:spacing w:after="0"/>
              <w:rPr>
                <w:sz w:val="20"/>
                <w:szCs w:val="20"/>
                <w:color w:val="auto"/>
              </w:rPr>
            </w:pPr>
            <w:r>
              <w:rPr>
                <w:rFonts w:ascii="Arial" w:cs="Arial" w:eastAsia="Arial" w:hAnsi="Arial"/>
                <w:sz w:val="16"/>
                <w:szCs w:val="16"/>
                <w:b w:val="1"/>
                <w:bCs w:val="1"/>
                <w:color w:val="auto"/>
              </w:rPr>
              <w:t>and Chief Operating Officer,</w:t>
            </w:r>
          </w:p>
        </w:tc>
        <w:tc>
          <w:tcPr>
            <w:tcW w:w="5060" w:type="dxa"/>
            <w:vAlign w:val="bottom"/>
            <w:gridSpan w:val="2"/>
          </w:tcPr>
          <w:p>
            <w:pPr>
              <w:ind w:left="220"/>
              <w:spacing w:after="0"/>
              <w:rPr>
                <w:sz w:val="20"/>
                <w:szCs w:val="20"/>
                <w:color w:val="auto"/>
              </w:rPr>
            </w:pPr>
            <w:r>
              <w:rPr>
                <w:rFonts w:ascii="Arial" w:cs="Arial" w:eastAsia="Arial" w:hAnsi="Arial"/>
                <w:sz w:val="16"/>
                <w:szCs w:val="16"/>
                <w:b w:val="1"/>
                <w:bCs w:val="1"/>
                <w:color w:val="16458B"/>
              </w:rPr>
              <w:t xml:space="preserve">•  </w:t>
            </w:r>
            <w:r>
              <w:rPr>
                <w:rFonts w:ascii="Arial" w:cs="Arial" w:eastAsia="Arial" w:hAnsi="Arial"/>
                <w:sz w:val="16"/>
                <w:szCs w:val="16"/>
                <w:color w:val="000000"/>
              </w:rPr>
              <w:t>New Energy and Innovation, Chair</w:t>
            </w:r>
          </w:p>
        </w:tc>
        <w:tc>
          <w:tcPr>
            <w:tcW w:w="0" w:type="dxa"/>
            <w:vAlign w:val="bottom"/>
          </w:tcPr>
          <w:p>
            <w:pPr>
              <w:spacing w:after="0"/>
              <w:rPr>
                <w:sz w:val="1"/>
                <w:szCs w:val="1"/>
                <w:color w:val="auto"/>
              </w:rPr>
            </w:pPr>
          </w:p>
        </w:tc>
      </w:tr>
      <w:tr>
        <w:trPr>
          <w:trHeight w:val="189"/>
        </w:trPr>
        <w:tc>
          <w:tcPr>
            <w:tcW w:w="3180" w:type="dxa"/>
            <w:vAlign w:val="bottom"/>
            <w:gridSpan w:val="2"/>
          </w:tcPr>
          <w:p>
            <w:pPr>
              <w:spacing w:after="0"/>
              <w:rPr>
                <w:sz w:val="20"/>
                <w:szCs w:val="20"/>
                <w:color w:val="auto"/>
              </w:rPr>
            </w:pPr>
            <w:r>
              <w:rPr>
                <w:rFonts w:ascii="Arial" w:cs="Arial" w:eastAsia="Arial" w:hAnsi="Arial"/>
                <w:sz w:val="16"/>
                <w:szCs w:val="16"/>
                <w:b w:val="1"/>
                <w:bCs w:val="1"/>
                <w:color w:val="auto"/>
              </w:rPr>
              <w:t>Wintershall Dea GmbH</w:t>
            </w:r>
          </w:p>
        </w:tc>
        <w:tc>
          <w:tcPr>
            <w:tcW w:w="340" w:type="dxa"/>
            <w:vAlign w:val="bottom"/>
          </w:tcPr>
          <w:p>
            <w:pPr>
              <w:ind w:left="220"/>
              <w:spacing w:after="0"/>
              <w:rPr>
                <w:sz w:val="20"/>
                <w:szCs w:val="20"/>
                <w:color w:val="auto"/>
              </w:rPr>
            </w:pPr>
            <w:r>
              <w:rPr>
                <w:rFonts w:ascii="Arial" w:cs="Arial" w:eastAsia="Arial" w:hAnsi="Arial"/>
                <w:sz w:val="16"/>
                <w:szCs w:val="16"/>
                <w:b w:val="1"/>
                <w:bCs w:val="1"/>
                <w:color w:val="16458B"/>
              </w:rPr>
              <w:t>•</w:t>
            </w:r>
          </w:p>
        </w:tc>
        <w:tc>
          <w:tcPr>
            <w:tcW w:w="4720" w:type="dxa"/>
            <w:vAlign w:val="bottom"/>
          </w:tcPr>
          <w:p>
            <w:pPr>
              <w:ind w:left="60"/>
              <w:spacing w:after="0"/>
              <w:rPr>
                <w:sz w:val="20"/>
                <w:szCs w:val="20"/>
                <w:color w:val="auto"/>
              </w:rPr>
            </w:pPr>
            <w:r>
              <w:rPr>
                <w:rFonts w:ascii="Arial" w:cs="Arial" w:eastAsia="Arial" w:hAnsi="Arial"/>
                <w:sz w:val="16"/>
                <w:szCs w:val="16"/>
                <w:color w:val="auto"/>
              </w:rPr>
              <w:t>Compensation</w:t>
            </w:r>
          </w:p>
        </w:tc>
        <w:tc>
          <w:tcPr>
            <w:tcW w:w="0" w:type="dxa"/>
            <w:vAlign w:val="bottom"/>
          </w:tcPr>
          <w:p>
            <w:pPr>
              <w:spacing w:after="0"/>
              <w:rPr>
                <w:sz w:val="1"/>
                <w:szCs w:val="1"/>
                <w:color w:val="auto"/>
              </w:rPr>
            </w:pPr>
          </w:p>
        </w:tc>
      </w:tr>
      <w:tr>
        <w:trPr>
          <w:trHeight w:val="223"/>
        </w:trPr>
        <w:tc>
          <w:tcPr>
            <w:tcW w:w="3180" w:type="dxa"/>
            <w:vAlign w:val="bottom"/>
            <w:gridSpan w:val="2"/>
            <w:vMerge w:val="restart"/>
          </w:tcPr>
          <w:p>
            <w:pPr>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2020</w:t>
            </w:r>
          </w:p>
        </w:tc>
        <w:tc>
          <w:tcPr>
            <w:tcW w:w="340" w:type="dxa"/>
            <w:vAlign w:val="bottom"/>
          </w:tcPr>
          <w:p>
            <w:pPr>
              <w:ind w:left="220"/>
              <w:spacing w:after="0"/>
              <w:rPr>
                <w:sz w:val="20"/>
                <w:szCs w:val="20"/>
                <w:color w:val="auto"/>
              </w:rPr>
            </w:pPr>
            <w:r>
              <w:rPr>
                <w:rFonts w:ascii="Arial" w:cs="Arial" w:eastAsia="Arial" w:hAnsi="Arial"/>
                <w:sz w:val="16"/>
                <w:szCs w:val="16"/>
                <w:b w:val="1"/>
                <w:bCs w:val="1"/>
                <w:color w:val="16458B"/>
              </w:rPr>
              <w:t>•</w:t>
            </w:r>
          </w:p>
        </w:tc>
        <w:tc>
          <w:tcPr>
            <w:tcW w:w="4720" w:type="dxa"/>
            <w:vAlign w:val="bottom"/>
          </w:tcPr>
          <w:p>
            <w:pPr>
              <w:ind w:left="60"/>
              <w:spacing w:after="0"/>
              <w:rPr>
                <w:sz w:val="20"/>
                <w:szCs w:val="20"/>
                <w:color w:val="auto"/>
              </w:rPr>
            </w:pPr>
            <w:r>
              <w:rPr>
                <w:rFonts w:ascii="Arial" w:cs="Arial" w:eastAsia="Arial" w:hAnsi="Arial"/>
                <w:sz w:val="16"/>
                <w:szCs w:val="16"/>
                <w:color w:val="auto"/>
              </w:rPr>
              <w:t>Nominating and Governance</w:t>
            </w:r>
          </w:p>
        </w:tc>
        <w:tc>
          <w:tcPr>
            <w:tcW w:w="0" w:type="dxa"/>
            <w:vAlign w:val="bottom"/>
          </w:tcPr>
          <w:p>
            <w:pPr>
              <w:spacing w:after="0"/>
              <w:rPr>
                <w:sz w:val="1"/>
                <w:szCs w:val="1"/>
                <w:color w:val="auto"/>
              </w:rPr>
            </w:pPr>
          </w:p>
        </w:tc>
      </w:tr>
      <w:tr>
        <w:trPr>
          <w:trHeight w:val="189"/>
        </w:trPr>
        <w:tc>
          <w:tcPr>
            <w:tcW w:w="3180" w:type="dxa"/>
            <w:vAlign w:val="bottom"/>
            <w:gridSpan w:val="2"/>
            <w:vMerge w:val="continue"/>
          </w:tcPr>
          <w:p>
            <w:pPr>
              <w:spacing w:after="0"/>
              <w:rPr>
                <w:sz w:val="16"/>
                <w:szCs w:val="16"/>
                <w:color w:val="auto"/>
              </w:rPr>
            </w:pPr>
          </w:p>
        </w:tc>
        <w:tc>
          <w:tcPr>
            <w:tcW w:w="506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Other Experience and Education</w:t>
            </w:r>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50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180" w:type="dxa"/>
            <w:vAlign w:val="bottom"/>
            <w:gridSpan w:val="2"/>
          </w:tcPr>
          <w:p>
            <w:pPr>
              <w:spacing w:after="0"/>
              <w:rPr>
                <w:sz w:val="20"/>
                <w:szCs w:val="20"/>
                <w:color w:val="auto"/>
              </w:rPr>
            </w:pPr>
            <w:r>
              <w:rPr>
                <w:rFonts w:ascii="Arial" w:cs="Arial" w:eastAsia="Arial" w:hAnsi="Arial"/>
                <w:sz w:val="16"/>
                <w:szCs w:val="16"/>
                <w:b w:val="1"/>
                <w:bCs w:val="1"/>
                <w:color w:val="auto"/>
              </w:rPr>
              <w:t>Other Current Public Boards</w:t>
            </w:r>
          </w:p>
        </w:tc>
        <w:tc>
          <w:tcPr>
            <w:tcW w:w="5060" w:type="dxa"/>
            <w:vAlign w:val="bottom"/>
            <w:gridSpan w:val="2"/>
          </w:tcPr>
          <w:p>
            <w:pPr>
              <w:ind w:left="220"/>
              <w:spacing w:after="0"/>
              <w:rPr>
                <w:sz w:val="20"/>
                <w:szCs w:val="20"/>
                <w:color w:val="auto"/>
              </w:rPr>
            </w:pPr>
            <w:r>
              <w:rPr>
                <w:rFonts w:ascii="Arial" w:cs="Arial" w:eastAsia="Arial" w:hAnsi="Arial"/>
                <w:sz w:val="16"/>
                <w:szCs w:val="16"/>
                <w:b w:val="1"/>
                <w:bCs w:val="1"/>
                <w:color w:val="16458B"/>
              </w:rPr>
              <w:t xml:space="preserve">•  </w:t>
            </w:r>
            <w:r>
              <w:rPr>
                <w:rFonts w:ascii="Arial" w:cs="Arial" w:eastAsia="Arial" w:hAnsi="Arial"/>
                <w:sz w:val="16"/>
                <w:szCs w:val="16"/>
                <w:color w:val="000000"/>
              </w:rPr>
              <w:t>Former CEO of multiple E&amp;P companies</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20"/>
                <w:szCs w:val="20"/>
                <w:color w:val="auto"/>
              </w:rPr>
            </w:pPr>
            <w:r>
              <w:rPr>
                <w:rFonts w:ascii="Arial" w:cs="Arial" w:eastAsia="Arial" w:hAnsi="Arial"/>
                <w:sz w:val="16"/>
                <w:szCs w:val="16"/>
                <w:b w:val="1"/>
                <w:bCs w:val="1"/>
                <w:color w:val="16458B"/>
              </w:rPr>
              <w:t>•</w:t>
            </w:r>
          </w:p>
        </w:tc>
        <w:tc>
          <w:tcPr>
            <w:tcW w:w="3060" w:type="dxa"/>
            <w:vAlign w:val="bottom"/>
          </w:tcPr>
          <w:p>
            <w:pPr>
              <w:ind w:left="80"/>
              <w:spacing w:after="0"/>
              <w:rPr>
                <w:sz w:val="20"/>
                <w:szCs w:val="20"/>
                <w:color w:val="auto"/>
              </w:rPr>
            </w:pPr>
            <w:r>
              <w:rPr>
                <w:rFonts w:ascii="Arial" w:cs="Arial" w:eastAsia="Arial" w:hAnsi="Arial"/>
                <w:sz w:val="16"/>
                <w:szCs w:val="16"/>
                <w:color w:val="auto"/>
              </w:rPr>
              <w:t>Kosmos Energy</w:t>
            </w:r>
          </w:p>
        </w:tc>
        <w:tc>
          <w:tcPr>
            <w:tcW w:w="5060" w:type="dxa"/>
            <w:vAlign w:val="bottom"/>
            <w:gridSpan w:val="2"/>
          </w:tcPr>
          <w:p>
            <w:pPr>
              <w:ind w:left="220"/>
              <w:spacing w:after="0"/>
              <w:rPr>
                <w:sz w:val="20"/>
                <w:szCs w:val="20"/>
                <w:color w:val="auto"/>
              </w:rPr>
            </w:pPr>
            <w:r>
              <w:rPr>
                <w:rFonts w:ascii="Arial" w:cs="Arial" w:eastAsia="Arial" w:hAnsi="Arial"/>
                <w:sz w:val="16"/>
                <w:szCs w:val="16"/>
                <w:b w:val="1"/>
                <w:bCs w:val="1"/>
                <w:color w:val="16458B"/>
              </w:rPr>
              <w:t xml:space="preserve">•  </w:t>
            </w:r>
            <w:r>
              <w:rPr>
                <w:rFonts w:ascii="Arial" w:cs="Arial" w:eastAsia="Arial" w:hAnsi="Arial"/>
                <w:sz w:val="16"/>
                <w:szCs w:val="16"/>
                <w:color w:val="000000"/>
              </w:rPr>
              <w:t>Master’s Degrees in Petroleum Engineering, Norwegian</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20"/>
                <w:szCs w:val="20"/>
                <w:color w:val="auto"/>
              </w:rPr>
            </w:pPr>
            <w:r>
              <w:rPr>
                <w:rFonts w:ascii="Arial" w:cs="Arial" w:eastAsia="Arial" w:hAnsi="Arial"/>
                <w:sz w:val="16"/>
                <w:szCs w:val="16"/>
                <w:b w:val="1"/>
                <w:bCs w:val="1"/>
                <w:color w:val="16458B"/>
              </w:rPr>
              <w:t>•</w:t>
            </w:r>
          </w:p>
        </w:tc>
        <w:tc>
          <w:tcPr>
            <w:tcW w:w="3060" w:type="dxa"/>
            <w:vAlign w:val="bottom"/>
          </w:tcPr>
          <w:p>
            <w:pPr>
              <w:ind w:left="80"/>
              <w:spacing w:after="0"/>
              <w:rPr>
                <w:sz w:val="20"/>
                <w:szCs w:val="20"/>
                <w:color w:val="auto"/>
              </w:rPr>
            </w:pPr>
            <w:r>
              <w:rPr>
                <w:rFonts w:ascii="Arial" w:cs="Arial" w:eastAsia="Arial" w:hAnsi="Arial"/>
                <w:sz w:val="16"/>
                <w:szCs w:val="16"/>
                <w:color w:val="auto"/>
              </w:rPr>
              <w:t>Scatec ASA</w:t>
            </w:r>
          </w:p>
        </w:tc>
        <w:tc>
          <w:tcPr>
            <w:tcW w:w="340" w:type="dxa"/>
            <w:vAlign w:val="bottom"/>
          </w:tcPr>
          <w:p>
            <w:pPr>
              <w:spacing w:after="0"/>
              <w:rPr>
                <w:sz w:val="16"/>
                <w:szCs w:val="16"/>
                <w:color w:val="auto"/>
              </w:rPr>
            </w:pPr>
          </w:p>
        </w:tc>
        <w:tc>
          <w:tcPr>
            <w:tcW w:w="4720" w:type="dxa"/>
            <w:vAlign w:val="bottom"/>
          </w:tcPr>
          <w:p>
            <w:pPr>
              <w:ind w:left="60"/>
              <w:spacing w:after="0"/>
              <w:rPr>
                <w:sz w:val="20"/>
                <w:szCs w:val="20"/>
                <w:color w:val="auto"/>
              </w:rPr>
            </w:pPr>
            <w:r>
              <w:rPr>
                <w:rFonts w:ascii="Arial" w:cs="Arial" w:eastAsia="Arial" w:hAnsi="Arial"/>
                <w:sz w:val="16"/>
                <w:szCs w:val="16"/>
                <w:color w:val="auto"/>
              </w:rPr>
              <w:t>University of Science and Technology, and Petroleum Economics</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720" w:type="dxa"/>
            <w:vAlign w:val="bottom"/>
          </w:tcPr>
          <w:p>
            <w:pPr>
              <w:ind w:left="60"/>
              <w:spacing w:after="0"/>
              <w:rPr>
                <w:sz w:val="20"/>
                <w:szCs w:val="20"/>
                <w:color w:val="auto"/>
              </w:rPr>
            </w:pPr>
            <w:r>
              <w:rPr>
                <w:rFonts w:ascii="Arial" w:cs="Arial" w:eastAsia="Arial" w:hAnsi="Arial"/>
                <w:sz w:val="16"/>
                <w:szCs w:val="16"/>
                <w:color w:val="auto"/>
              </w:rPr>
              <w:t>and Management, IFP School</w:t>
            </w:r>
          </w:p>
        </w:tc>
        <w:tc>
          <w:tcPr>
            <w:tcW w:w="0" w:type="dxa"/>
            <w:vAlign w:val="bottom"/>
          </w:tcPr>
          <w:p>
            <w:pPr>
              <w:spacing w:after="0"/>
              <w:rPr>
                <w:sz w:val="1"/>
                <w:szCs w:val="1"/>
                <w:color w:val="auto"/>
              </w:rPr>
            </w:pPr>
          </w:p>
        </w:tc>
      </w:tr>
      <w:tr>
        <w:trPr>
          <w:trHeight w:val="189"/>
        </w:trPr>
        <w:tc>
          <w:tcPr>
            <w:tcW w:w="3180" w:type="dxa"/>
            <w:vAlign w:val="bottom"/>
            <w:gridSpan w:val="2"/>
          </w:tcPr>
          <w:p>
            <w:pPr>
              <w:spacing w:after="0"/>
              <w:rPr>
                <w:sz w:val="20"/>
                <w:szCs w:val="20"/>
                <w:color w:val="auto"/>
              </w:rPr>
            </w:pPr>
            <w:r>
              <w:rPr>
                <w:rFonts w:ascii="Arial" w:cs="Arial" w:eastAsia="Arial" w:hAnsi="Arial"/>
                <w:sz w:val="16"/>
                <w:szCs w:val="16"/>
                <w:b w:val="1"/>
                <w:bCs w:val="1"/>
                <w:color w:val="auto"/>
              </w:rPr>
              <w:t>Former Public Director Roles</w:t>
            </w:r>
          </w:p>
        </w:tc>
        <w:tc>
          <w:tcPr>
            <w:tcW w:w="5060" w:type="dxa"/>
            <w:vAlign w:val="bottom"/>
            <w:gridSpan w:val="2"/>
          </w:tcPr>
          <w:p>
            <w:pPr>
              <w:ind w:left="220"/>
              <w:spacing w:after="0"/>
              <w:rPr>
                <w:sz w:val="20"/>
                <w:szCs w:val="20"/>
                <w:color w:val="auto"/>
              </w:rPr>
            </w:pPr>
            <w:r>
              <w:rPr>
                <w:rFonts w:ascii="Arial" w:cs="Arial" w:eastAsia="Arial" w:hAnsi="Arial"/>
                <w:sz w:val="16"/>
                <w:szCs w:val="16"/>
                <w:b w:val="1"/>
                <w:bCs w:val="1"/>
                <w:color w:val="16458B"/>
              </w:rPr>
              <w:t xml:space="preserve">•  </w:t>
            </w:r>
            <w:r>
              <w:rPr>
                <w:rFonts w:ascii="Arial" w:cs="Arial" w:eastAsia="Arial" w:hAnsi="Arial"/>
                <w:sz w:val="16"/>
                <w:szCs w:val="16"/>
                <w:color w:val="000000"/>
              </w:rPr>
              <w:t>Corporate director certificate from Harvard Business School</w:t>
            </w:r>
          </w:p>
        </w:tc>
        <w:tc>
          <w:tcPr>
            <w:tcW w:w="0" w:type="dxa"/>
            <w:vAlign w:val="bottom"/>
          </w:tcPr>
          <w:p>
            <w:pPr>
              <w:spacing w:after="0"/>
              <w:rPr>
                <w:sz w:val="1"/>
                <w:szCs w:val="1"/>
                <w:color w:val="auto"/>
              </w:rPr>
            </w:pPr>
          </w:p>
        </w:tc>
      </w:tr>
      <w:tr>
        <w:trPr>
          <w:trHeight w:val="205"/>
        </w:trPr>
        <w:tc>
          <w:tcPr>
            <w:tcW w:w="3180" w:type="dxa"/>
            <w:vAlign w:val="bottom"/>
            <w:gridSpan w:val="2"/>
          </w:tcPr>
          <w:p>
            <w:pPr>
              <w:spacing w:after="0"/>
              <w:rPr>
                <w:sz w:val="20"/>
                <w:szCs w:val="20"/>
                <w:color w:val="auto"/>
              </w:rPr>
            </w:pPr>
            <w:r>
              <w:rPr>
                <w:rFonts w:ascii="Arial" w:cs="Arial" w:eastAsia="Arial" w:hAnsi="Arial"/>
                <w:sz w:val="16"/>
                <w:szCs w:val="16"/>
                <w:b w:val="1"/>
                <w:bCs w:val="1"/>
                <w:color w:val="auto"/>
              </w:rPr>
              <w:t>During the Past Five Years</w:t>
            </w:r>
          </w:p>
        </w:tc>
        <w:tc>
          <w:tcPr>
            <w:tcW w:w="340" w:type="dxa"/>
            <w:vAlign w:val="bottom"/>
          </w:tcPr>
          <w:p>
            <w:pPr>
              <w:spacing w:after="0"/>
              <w:rPr>
                <w:sz w:val="17"/>
                <w:szCs w:val="17"/>
                <w:color w:val="auto"/>
              </w:rPr>
            </w:pPr>
          </w:p>
        </w:tc>
        <w:tc>
          <w:tcPr>
            <w:tcW w:w="4720" w:type="dxa"/>
            <w:vAlign w:val="bottom"/>
          </w:tcPr>
          <w:p>
            <w:pPr>
              <w:ind w:left="60"/>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bl>
    <w:p>
      <w:pPr>
        <w:ind w:left="3160" w:hanging="200"/>
        <w:spacing w:after="0"/>
        <w:tabs>
          <w:tab w:leader="none" w:pos="3160" w:val="left"/>
        </w:tabs>
        <w:numPr>
          <w:ilvl w:val="0"/>
          <w:numId w:val="10"/>
        </w:numPr>
        <w:rPr>
          <w:rFonts w:ascii="Arial" w:cs="Arial" w:eastAsia="Arial" w:hAnsi="Arial"/>
          <w:sz w:val="16"/>
          <w:szCs w:val="16"/>
          <w:b w:val="1"/>
          <w:bCs w:val="1"/>
          <w:color w:val="16458B"/>
        </w:rPr>
      </w:pPr>
      <w:r>
        <w:rPr>
          <w:rFonts w:ascii="Arial" w:cs="Arial" w:eastAsia="Arial" w:hAnsi="Arial"/>
          <w:sz w:val="16"/>
          <w:szCs w:val="16"/>
          <w:color w:val="auto"/>
        </w:rPr>
        <w:t>Alfa Laval AB</w:t>
      </w:r>
    </w:p>
    <w:p>
      <w:pPr>
        <w:spacing w:after="0" w:line="5" w:lineRule="exact"/>
        <w:rPr>
          <w:rFonts w:ascii="Arial" w:cs="Arial" w:eastAsia="Arial" w:hAnsi="Arial"/>
          <w:sz w:val="16"/>
          <w:szCs w:val="16"/>
          <w:b w:val="1"/>
          <w:bCs w:val="1"/>
          <w:color w:val="16458B"/>
        </w:rPr>
      </w:pPr>
    </w:p>
    <w:p>
      <w:pPr>
        <w:ind w:left="3160" w:hanging="200"/>
        <w:spacing w:after="0"/>
        <w:tabs>
          <w:tab w:leader="none" w:pos="3160" w:val="left"/>
        </w:tabs>
        <w:numPr>
          <w:ilvl w:val="0"/>
          <w:numId w:val="10"/>
        </w:numPr>
        <w:rPr>
          <w:rFonts w:ascii="Arial" w:cs="Arial" w:eastAsia="Arial" w:hAnsi="Arial"/>
          <w:sz w:val="16"/>
          <w:szCs w:val="16"/>
          <w:b w:val="1"/>
          <w:bCs w:val="1"/>
          <w:color w:val="16458B"/>
        </w:rPr>
      </w:pPr>
      <w:r>
        <w:rPr>
          <w:rFonts w:ascii="Arial" w:cs="Arial" w:eastAsia="Arial" w:hAnsi="Arial"/>
          <w:sz w:val="16"/>
          <w:szCs w:val="16"/>
          <w:color w:val="auto"/>
        </w:rPr>
        <w:t>Yara International ASA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jc w:val="both"/>
        <w:ind w:left="60" w:right="60"/>
        <w:spacing w:after="0" w:line="252" w:lineRule="auto"/>
        <w:rPr>
          <w:sz w:val="20"/>
          <w:szCs w:val="20"/>
          <w:color w:val="auto"/>
        </w:rPr>
      </w:pPr>
      <w:r>
        <w:rPr>
          <w:rFonts w:ascii="Arial" w:cs="Arial" w:eastAsia="Arial" w:hAnsi="Arial"/>
          <w:sz w:val="16"/>
          <w:szCs w:val="16"/>
          <w:color w:val="auto"/>
        </w:rPr>
        <w:t>MARIA MORÆUS HANSSEN is the former Deputy CEO and Chief Operating Officer of Wintershall Dea GmbH, a German-based energy producer, having served in that role from May 2019 to December 2019 following the merger between DEA Deutsche Erdoel AG (DEA) and Wintershall Holding GmbH. Prior to that, she served as CEO of DEA and chair of its management board from 2018 until April 2019. Before joining DEA, she served as CEO of ENGIE E&amp;P International SA and head of the E&amp;P business unit for the ENGIE Group in Paris from 2015 to 2017. Ms. Moræus Hanssen served in various management and operations roles at Aker from 2008 to 2013, Statoil (now Equinor) from 2007 to 2008, and Norsk Hydro from 1992 to 2007. She has served on the boards of Scatec ASA since April 2020, Kosmos Energy since April 2023, and Å Energi since June 2023, and also serves in director and chair roles on various private company and non-profit boards. She previously served as deputy chairman and audit committee chair of Yara International from 2015 to May 2019, and as a director of Alfa Laval AB from May 2019 to May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Reason for Nomination</w:t>
      </w:r>
    </w:p>
    <w:p>
      <w:pPr>
        <w:spacing w:after="0" w:line="21" w:lineRule="exact"/>
        <w:rPr>
          <w:sz w:val="20"/>
          <w:szCs w:val="20"/>
          <w:color w:val="auto"/>
        </w:rPr>
      </w:pPr>
    </w:p>
    <w:p>
      <w:pPr>
        <w:jc w:val="both"/>
        <w:ind w:left="60" w:right="60"/>
        <w:spacing w:after="0" w:line="256" w:lineRule="auto"/>
        <w:rPr>
          <w:sz w:val="20"/>
          <w:szCs w:val="20"/>
          <w:color w:val="auto"/>
        </w:rPr>
      </w:pPr>
      <w:r>
        <w:rPr>
          <w:rFonts w:ascii="Arial" w:cs="Arial" w:eastAsia="Arial" w:hAnsi="Arial"/>
          <w:sz w:val="16"/>
          <w:szCs w:val="16"/>
          <w:color w:val="auto"/>
        </w:rPr>
        <w:t>Ms. Moræus Hanssen brings to the Board leadership and operational expertise as the former CEO of several European energy companies. The Board values her insight into the domestic and international energy policies of Norway, Germany, France, and other countries that are strategically important to SLB, as well as her experience addressing risks related to the energy transition.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Vanitha Narayanan,</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2040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2040255"/>
                    </a:xfrm>
                    <a:prstGeom prst="rect">
                      <a:avLst/>
                    </a:prstGeom>
                    <a:noFill/>
                  </pic:spPr>
                </pic:pic>
              </a:graphicData>
            </a:graphic>
          </wp:anchor>
        </w:drawing>
      </w:r>
    </w:p>
    <w:p>
      <w:pPr>
        <w:spacing w:after="0" w:line="151" w:lineRule="exact"/>
        <w:rPr>
          <w:sz w:val="20"/>
          <w:szCs w:val="20"/>
          <w:color w:val="auto"/>
        </w:rPr>
      </w:pPr>
    </w:p>
    <w:tbl>
      <w:tblPr>
        <w:tblLayout w:type="fixed"/>
        <w:tblInd w:w="2960" w:type="dxa"/>
        <w:tblCellMar>
          <w:top w:w="0" w:type="dxa"/>
          <w:left w:w="0" w:type="dxa"/>
          <w:bottom w:w="0" w:type="dxa"/>
          <w:right w:w="0" w:type="dxa"/>
        </w:tblCellMar>
      </w:tblPr>
      <w:tr>
        <w:trPr>
          <w:trHeight w:val="189"/>
        </w:trPr>
        <w:tc>
          <w:tcPr>
            <w:tcW w:w="2940" w:type="dxa"/>
            <w:vAlign w:val="bottom"/>
            <w:gridSpan w:val="2"/>
          </w:tcPr>
          <w:p>
            <w:pPr>
              <w:spacing w:after="0"/>
              <w:rPr>
                <w:sz w:val="20"/>
                <w:szCs w:val="20"/>
                <w:color w:val="auto"/>
              </w:rPr>
            </w:pPr>
            <w:r>
              <w:rPr>
                <w:rFonts w:ascii="Arial" w:cs="Arial" w:eastAsia="Arial" w:hAnsi="Arial"/>
                <w:sz w:val="16"/>
                <w:szCs w:val="16"/>
                <w:b w:val="1"/>
                <w:bCs w:val="1"/>
                <w:color w:val="auto"/>
              </w:rPr>
              <w:t>Former Chairman and Managing</w:t>
            </w:r>
          </w:p>
        </w:tc>
        <w:tc>
          <w:tcPr>
            <w:tcW w:w="5240" w:type="dxa"/>
            <w:vAlign w:val="bottom"/>
          </w:tcPr>
          <w:p>
            <w:pPr>
              <w:ind w:left="460"/>
              <w:spacing w:after="0"/>
              <w:rPr>
                <w:sz w:val="20"/>
                <w:szCs w:val="20"/>
                <w:color w:val="auto"/>
              </w:rPr>
            </w:pPr>
            <w:r>
              <w:rPr>
                <w:rFonts w:ascii="Arial" w:cs="Arial" w:eastAsia="Arial" w:hAnsi="Arial"/>
                <w:sz w:val="16"/>
                <w:szCs w:val="16"/>
                <w:b w:val="1"/>
                <w:bCs w:val="1"/>
                <w:color w:val="auto"/>
              </w:rPr>
              <w:t>SLB Board Committees</w:t>
            </w:r>
          </w:p>
        </w:tc>
        <w:tc>
          <w:tcPr>
            <w:tcW w:w="0" w:type="dxa"/>
            <w:vAlign w:val="bottom"/>
          </w:tcPr>
          <w:p>
            <w:pPr>
              <w:spacing w:after="0"/>
              <w:rPr>
                <w:sz w:val="1"/>
                <w:szCs w:val="1"/>
                <w:color w:val="auto"/>
              </w:rPr>
            </w:pPr>
          </w:p>
        </w:tc>
      </w:tr>
      <w:tr>
        <w:trPr>
          <w:trHeight w:val="189"/>
        </w:trPr>
        <w:tc>
          <w:tcPr>
            <w:tcW w:w="2940" w:type="dxa"/>
            <w:vAlign w:val="bottom"/>
            <w:gridSpan w:val="2"/>
          </w:tcPr>
          <w:p>
            <w:pPr>
              <w:spacing w:after="0"/>
              <w:rPr>
                <w:sz w:val="20"/>
                <w:szCs w:val="20"/>
                <w:color w:val="auto"/>
              </w:rPr>
            </w:pPr>
            <w:r>
              <w:rPr>
                <w:rFonts w:ascii="Arial" w:cs="Arial" w:eastAsia="Arial" w:hAnsi="Arial"/>
                <w:sz w:val="16"/>
                <w:szCs w:val="16"/>
                <w:b w:val="1"/>
                <w:bCs w:val="1"/>
                <w:color w:val="auto"/>
              </w:rPr>
              <w:t>Director, IBM India</w:t>
            </w:r>
          </w:p>
        </w:tc>
        <w:tc>
          <w:tcPr>
            <w:tcW w:w="5240" w:type="dxa"/>
            <w:vAlign w:val="bottom"/>
          </w:tcPr>
          <w:p>
            <w:pPr>
              <w:ind w:left="460"/>
              <w:spacing w:after="0"/>
              <w:rPr>
                <w:sz w:val="20"/>
                <w:szCs w:val="20"/>
                <w:color w:val="auto"/>
              </w:rPr>
            </w:pPr>
            <w:r>
              <w:rPr>
                <w:rFonts w:ascii="Arial" w:cs="Arial" w:eastAsia="Arial" w:hAnsi="Arial"/>
                <w:sz w:val="16"/>
                <w:szCs w:val="16"/>
                <w:b w:val="1"/>
                <w:bCs w:val="1"/>
                <w:color w:val="16458B"/>
              </w:rPr>
              <w:t xml:space="preserve">•  </w:t>
            </w:r>
            <w:r>
              <w:rPr>
                <w:rFonts w:ascii="Arial" w:cs="Arial" w:eastAsia="Arial" w:hAnsi="Arial"/>
                <w:sz w:val="16"/>
                <w:szCs w:val="16"/>
                <w:color w:val="000000"/>
              </w:rPr>
              <w:t>Nominating and Governance, Chair</w:t>
            </w:r>
          </w:p>
        </w:tc>
        <w:tc>
          <w:tcPr>
            <w:tcW w:w="0" w:type="dxa"/>
            <w:vAlign w:val="bottom"/>
          </w:tcPr>
          <w:p>
            <w:pPr>
              <w:spacing w:after="0"/>
              <w:rPr>
                <w:sz w:val="1"/>
                <w:szCs w:val="1"/>
                <w:color w:val="auto"/>
              </w:rPr>
            </w:pPr>
          </w:p>
        </w:tc>
      </w:tr>
      <w:tr>
        <w:trPr>
          <w:trHeight w:val="223"/>
        </w:trPr>
        <w:tc>
          <w:tcPr>
            <w:tcW w:w="2940" w:type="dxa"/>
            <w:vAlign w:val="bottom"/>
            <w:gridSpan w:val="2"/>
            <w:vMerge w:val="restart"/>
          </w:tcPr>
          <w:p>
            <w:pPr>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2021</w:t>
            </w:r>
          </w:p>
        </w:tc>
        <w:tc>
          <w:tcPr>
            <w:tcW w:w="5240" w:type="dxa"/>
            <w:vAlign w:val="bottom"/>
          </w:tcPr>
          <w:p>
            <w:pPr>
              <w:ind w:left="460"/>
              <w:spacing w:after="0"/>
              <w:rPr>
                <w:sz w:val="20"/>
                <w:szCs w:val="20"/>
                <w:color w:val="auto"/>
              </w:rPr>
            </w:pPr>
            <w:r>
              <w:rPr>
                <w:rFonts w:ascii="Arial" w:cs="Arial" w:eastAsia="Arial" w:hAnsi="Arial"/>
                <w:sz w:val="16"/>
                <w:szCs w:val="16"/>
                <w:b w:val="1"/>
                <w:bCs w:val="1"/>
                <w:color w:val="16458B"/>
              </w:rPr>
              <w:t xml:space="preserve">•  </w:t>
            </w:r>
            <w:r>
              <w:rPr>
                <w:rFonts w:ascii="Arial" w:cs="Arial" w:eastAsia="Arial" w:hAnsi="Arial"/>
                <w:sz w:val="16"/>
                <w:szCs w:val="16"/>
                <w:color w:val="000000"/>
              </w:rPr>
              <w:t>Compensation</w:t>
            </w:r>
          </w:p>
        </w:tc>
        <w:tc>
          <w:tcPr>
            <w:tcW w:w="0" w:type="dxa"/>
            <w:vAlign w:val="bottom"/>
          </w:tcPr>
          <w:p>
            <w:pPr>
              <w:spacing w:after="0"/>
              <w:rPr>
                <w:sz w:val="1"/>
                <w:szCs w:val="1"/>
                <w:color w:val="auto"/>
              </w:rPr>
            </w:pPr>
          </w:p>
        </w:tc>
      </w:tr>
      <w:tr>
        <w:trPr>
          <w:trHeight w:val="189"/>
        </w:trPr>
        <w:tc>
          <w:tcPr>
            <w:tcW w:w="2940" w:type="dxa"/>
            <w:vAlign w:val="bottom"/>
            <w:gridSpan w:val="2"/>
            <w:vMerge w:val="continue"/>
          </w:tcPr>
          <w:p>
            <w:pPr>
              <w:spacing w:after="0"/>
              <w:rPr>
                <w:sz w:val="16"/>
                <w:szCs w:val="16"/>
                <w:color w:val="auto"/>
              </w:rPr>
            </w:pPr>
          </w:p>
        </w:tc>
        <w:tc>
          <w:tcPr>
            <w:tcW w:w="5240" w:type="dxa"/>
            <w:vAlign w:val="bottom"/>
            <w:vMerge w:val="restart"/>
          </w:tcPr>
          <w:p>
            <w:pPr>
              <w:ind w:left="460"/>
              <w:spacing w:after="0"/>
              <w:rPr>
                <w:sz w:val="20"/>
                <w:szCs w:val="20"/>
                <w:color w:val="auto"/>
              </w:rPr>
            </w:pPr>
            <w:r>
              <w:rPr>
                <w:rFonts w:ascii="Arial" w:cs="Arial" w:eastAsia="Arial" w:hAnsi="Arial"/>
                <w:sz w:val="16"/>
                <w:szCs w:val="16"/>
                <w:b w:val="1"/>
                <w:bCs w:val="1"/>
                <w:color w:val="auto"/>
              </w:rPr>
              <w:t>Other Experience and Education</w:t>
            </w:r>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5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940" w:type="dxa"/>
            <w:vAlign w:val="bottom"/>
            <w:gridSpan w:val="2"/>
          </w:tcPr>
          <w:p>
            <w:pPr>
              <w:spacing w:after="0"/>
              <w:rPr>
                <w:sz w:val="20"/>
                <w:szCs w:val="20"/>
                <w:color w:val="auto"/>
              </w:rPr>
            </w:pPr>
            <w:r>
              <w:rPr>
                <w:rFonts w:ascii="Arial" w:cs="Arial" w:eastAsia="Arial" w:hAnsi="Arial"/>
                <w:sz w:val="16"/>
                <w:szCs w:val="16"/>
                <w:b w:val="1"/>
                <w:bCs w:val="1"/>
                <w:color w:val="auto"/>
              </w:rPr>
              <w:t>Other Current Public Boards</w:t>
            </w:r>
          </w:p>
        </w:tc>
        <w:tc>
          <w:tcPr>
            <w:tcW w:w="5240" w:type="dxa"/>
            <w:vAlign w:val="bottom"/>
          </w:tcPr>
          <w:p>
            <w:pPr>
              <w:ind w:left="460"/>
              <w:spacing w:after="0"/>
              <w:rPr>
                <w:sz w:val="20"/>
                <w:szCs w:val="20"/>
                <w:color w:val="auto"/>
              </w:rPr>
            </w:pPr>
            <w:r>
              <w:rPr>
                <w:rFonts w:ascii="Arial" w:cs="Arial" w:eastAsia="Arial" w:hAnsi="Arial"/>
                <w:sz w:val="16"/>
                <w:szCs w:val="16"/>
                <w:b w:val="1"/>
                <w:bCs w:val="1"/>
                <w:color w:val="16458B"/>
              </w:rPr>
              <w:t xml:space="preserve">•  </w:t>
            </w:r>
            <w:r>
              <w:rPr>
                <w:rFonts w:ascii="Arial" w:cs="Arial" w:eastAsia="Arial" w:hAnsi="Arial"/>
                <w:sz w:val="16"/>
                <w:szCs w:val="16"/>
                <w:color w:val="000000"/>
              </w:rPr>
              <w:t>MBA, University of Houston</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20"/>
                <w:szCs w:val="20"/>
                <w:color w:val="auto"/>
              </w:rPr>
            </w:pPr>
            <w:r>
              <w:rPr>
                <w:rFonts w:ascii="Arial" w:cs="Arial" w:eastAsia="Arial" w:hAnsi="Arial"/>
                <w:sz w:val="16"/>
                <w:szCs w:val="16"/>
                <w:b w:val="1"/>
                <w:bCs w:val="1"/>
                <w:color w:val="16458B"/>
              </w:rPr>
              <w:t>•</w:t>
            </w:r>
          </w:p>
        </w:tc>
        <w:tc>
          <w:tcPr>
            <w:tcW w:w="2820" w:type="dxa"/>
            <w:vAlign w:val="bottom"/>
          </w:tcPr>
          <w:p>
            <w:pPr>
              <w:ind w:left="80"/>
              <w:spacing w:after="0"/>
              <w:rPr>
                <w:sz w:val="20"/>
                <w:szCs w:val="20"/>
                <w:color w:val="auto"/>
              </w:rPr>
            </w:pPr>
            <w:r>
              <w:rPr>
                <w:rFonts w:ascii="Arial" w:cs="Arial" w:eastAsia="Arial" w:hAnsi="Arial"/>
                <w:sz w:val="16"/>
                <w:szCs w:val="16"/>
                <w:color w:val="auto"/>
              </w:rPr>
              <w:t>ReNew Energy Global</w:t>
            </w:r>
          </w:p>
        </w:tc>
        <w:tc>
          <w:tcPr>
            <w:tcW w:w="5240" w:type="dxa"/>
            <w:vAlign w:val="bottom"/>
          </w:tcPr>
          <w:p>
            <w:pPr>
              <w:ind w:left="460"/>
              <w:spacing w:after="0"/>
              <w:rPr>
                <w:sz w:val="20"/>
                <w:szCs w:val="20"/>
                <w:color w:val="auto"/>
              </w:rPr>
            </w:pPr>
            <w:r>
              <w:rPr>
                <w:rFonts w:ascii="Arial" w:cs="Arial" w:eastAsia="Arial" w:hAnsi="Arial"/>
                <w:sz w:val="16"/>
                <w:szCs w:val="16"/>
                <w:b w:val="1"/>
                <w:bCs w:val="1"/>
                <w:color w:val="16458B"/>
              </w:rPr>
              <w:t xml:space="preserve">•  </w:t>
            </w:r>
            <w:r>
              <w:rPr>
                <w:rFonts w:ascii="Arial" w:cs="Arial" w:eastAsia="Arial" w:hAnsi="Arial"/>
                <w:sz w:val="16"/>
                <w:szCs w:val="16"/>
                <w:color w:val="000000"/>
              </w:rPr>
              <w:t>First woman chairperson of American Chamber of Commerce in</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20"/>
                <w:szCs w:val="20"/>
                <w:color w:val="auto"/>
              </w:rPr>
            </w:pPr>
            <w:r>
              <w:rPr>
                <w:rFonts w:ascii="Arial" w:cs="Arial" w:eastAsia="Arial" w:hAnsi="Arial"/>
                <w:sz w:val="16"/>
                <w:szCs w:val="16"/>
                <w:b w:val="1"/>
                <w:bCs w:val="1"/>
                <w:color w:val="16458B"/>
              </w:rPr>
              <w:t>•</w:t>
            </w:r>
          </w:p>
        </w:tc>
        <w:tc>
          <w:tcPr>
            <w:tcW w:w="2820" w:type="dxa"/>
            <w:vAlign w:val="bottom"/>
          </w:tcPr>
          <w:p>
            <w:pPr>
              <w:ind w:left="80"/>
              <w:spacing w:after="0"/>
              <w:rPr>
                <w:sz w:val="20"/>
                <w:szCs w:val="20"/>
                <w:color w:val="auto"/>
              </w:rPr>
            </w:pPr>
            <w:r>
              <w:rPr>
                <w:rFonts w:ascii="Arial" w:cs="Arial" w:eastAsia="Arial" w:hAnsi="Arial"/>
                <w:sz w:val="16"/>
                <w:szCs w:val="16"/>
                <w:color w:val="auto"/>
              </w:rPr>
              <w:t>HCL Technologies</w:t>
            </w:r>
          </w:p>
        </w:tc>
        <w:tc>
          <w:tcPr>
            <w:tcW w:w="5240" w:type="dxa"/>
            <w:vAlign w:val="bottom"/>
          </w:tcPr>
          <w:p>
            <w:pPr>
              <w:ind w:left="640"/>
              <w:spacing w:after="0"/>
              <w:rPr>
                <w:sz w:val="20"/>
                <w:szCs w:val="20"/>
                <w:color w:val="auto"/>
              </w:rPr>
            </w:pPr>
            <w:r>
              <w:rPr>
                <w:rFonts w:ascii="Arial" w:cs="Arial" w:eastAsia="Arial" w:hAnsi="Arial"/>
                <w:sz w:val="16"/>
                <w:szCs w:val="16"/>
                <w:color w:val="auto"/>
              </w:rPr>
              <w:t>India (AMCHAM India)</w:t>
            </w: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Former Public Director Roles</w:t>
      </w:r>
    </w:p>
    <w:p>
      <w:pPr>
        <w:spacing w:after="0" w:line="21"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During the Past Five Years</w:t>
      </w:r>
    </w:p>
    <w:p>
      <w:pPr>
        <w:spacing w:after="0" w:line="5" w:lineRule="exact"/>
        <w:rPr>
          <w:sz w:val="20"/>
          <w:szCs w:val="20"/>
          <w:color w:val="auto"/>
        </w:rPr>
      </w:pPr>
    </w:p>
    <w:p>
      <w:pPr>
        <w:ind w:left="3160" w:hanging="200"/>
        <w:spacing w:after="0"/>
        <w:tabs>
          <w:tab w:leader="none" w:pos="3160" w:val="left"/>
        </w:tabs>
        <w:numPr>
          <w:ilvl w:val="0"/>
          <w:numId w:val="11"/>
        </w:numPr>
        <w:rPr>
          <w:rFonts w:ascii="Arial" w:cs="Arial" w:eastAsia="Arial" w:hAnsi="Arial"/>
          <w:sz w:val="16"/>
          <w:szCs w:val="16"/>
          <w:b w:val="1"/>
          <w:bCs w:val="1"/>
          <w:color w:val="16458B"/>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601980</wp:posOffset>
            </wp:positionV>
            <wp:extent cx="713232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60" w:right="60"/>
        <w:spacing w:after="0" w:line="253" w:lineRule="auto"/>
        <w:rPr>
          <w:sz w:val="20"/>
          <w:szCs w:val="20"/>
          <w:color w:val="auto"/>
        </w:rPr>
      </w:pPr>
      <w:r>
        <w:rPr>
          <w:rFonts w:ascii="Arial" w:cs="Arial" w:eastAsia="Arial" w:hAnsi="Arial"/>
          <w:sz w:val="16"/>
          <w:szCs w:val="16"/>
          <w:color w:val="auto"/>
        </w:rPr>
        <w:t>VANITHA NARAYANAN is the former Chairman and Managing Director of IBM India, a subsidiary of IBM, a multinational information technology corporation. Over her career spanning three decades at IBM, she held senior executive positions with responsibility for digital businesses in the United States, Asia-Pacific, and India regions, including as Chairman of IBM India from January 2017 to March 2018 and Managing Director from 2013 to 2016. During her tenure, IBM India was one of IBM’s fastest-growing markets. Most recently, Ms. Narayanan led a strategic 5G partnership as Managing Director for one of IBM’s telecommunications clients from April 2018 until her retirement in 2020. Since August 2020, she has served as a director of ReNew Energy Global, one of the largest renewable power companies in India, where she chairs the remuneration committee and serves as a member of the audit and finance committees. She has also been a director of HCL Technologies since July 2021, where she chairs the nomination and remuneration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Reason for Nomination</w:t>
      </w:r>
    </w:p>
    <w:p>
      <w:pPr>
        <w:spacing w:after="0" w:line="21" w:lineRule="exact"/>
        <w:rPr>
          <w:sz w:val="20"/>
          <w:szCs w:val="20"/>
          <w:color w:val="auto"/>
        </w:rPr>
      </w:pPr>
    </w:p>
    <w:p>
      <w:pPr>
        <w:jc w:val="both"/>
        <w:ind w:left="60" w:right="60"/>
        <w:spacing w:after="0" w:line="265" w:lineRule="auto"/>
        <w:rPr>
          <w:sz w:val="20"/>
          <w:szCs w:val="20"/>
          <w:color w:val="auto"/>
        </w:rPr>
      </w:pPr>
      <w:r>
        <w:rPr>
          <w:rFonts w:ascii="Arial" w:cs="Arial" w:eastAsia="Arial" w:hAnsi="Arial"/>
          <w:sz w:val="16"/>
          <w:szCs w:val="16"/>
          <w:color w:val="auto"/>
        </w:rPr>
        <w:t>Ms. Narayanan brings to the Board a wealth of global leadership and technology experience, particularly in India and other Asian markets. The Board values Ms. Narayanan’s digital expertise leading global technology businesses as SLB continues to implement its digital and AI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220980</wp:posOffset>
            </wp:positionV>
            <wp:extent cx="471805" cy="28257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2024 Proxy Statement</w:t>
            </w:r>
          </w:p>
        </w:tc>
        <w:tc>
          <w:tcPr>
            <w:tcW w:w="3600" w:type="dxa"/>
            <w:vAlign w:val="bottom"/>
            <w:tcBorders>
              <w:bottom w:val="single" w:sz="8" w:color="auto"/>
            </w:tcBorders>
          </w:tcPr>
          <w:p>
            <w:pPr>
              <w:spacing w:after="0"/>
              <w:rPr>
                <w:sz w:val="12"/>
                <w:szCs w:val="12"/>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17</w:t>
            </w:r>
          </w:p>
        </w:tc>
        <w:tc>
          <w:tcPr>
            <w:tcW w:w="4480" w:type="dxa"/>
            <w:vAlign w:val="bottom"/>
            <w:tcBorders>
              <w:bottom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36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48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Jeff Sheets,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2040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2040255"/>
                    </a:xfrm>
                    <a:prstGeom prst="rect">
                      <a:avLst/>
                    </a:prstGeom>
                    <a:noFill/>
                  </pic:spPr>
                </pic:pic>
              </a:graphicData>
            </a:graphic>
          </wp:anchor>
        </w:drawing>
      </w:r>
    </w:p>
    <w:p>
      <w:pPr>
        <w:spacing w:after="0" w:line="151" w:lineRule="exact"/>
        <w:rPr>
          <w:sz w:val="20"/>
          <w:szCs w:val="20"/>
          <w:color w:val="auto"/>
        </w:rPr>
      </w:pPr>
    </w:p>
    <w:tbl>
      <w:tblPr>
        <w:tblLayout w:type="fixed"/>
        <w:tblInd w:w="2960" w:type="dxa"/>
        <w:tblCellMar>
          <w:top w:w="0" w:type="dxa"/>
          <w:left w:w="0" w:type="dxa"/>
          <w:bottom w:w="0" w:type="dxa"/>
          <w:right w:w="0" w:type="dxa"/>
        </w:tblCellMar>
      </w:tblPr>
      <w:tr>
        <w:trPr>
          <w:trHeight w:val="189"/>
        </w:trPr>
        <w:tc>
          <w:tcPr>
            <w:tcW w:w="3220" w:type="dxa"/>
            <w:vAlign w:val="bottom"/>
            <w:gridSpan w:val="2"/>
          </w:tcPr>
          <w:p>
            <w:pPr>
              <w:spacing w:after="0"/>
              <w:rPr>
                <w:sz w:val="20"/>
                <w:szCs w:val="20"/>
                <w:color w:val="auto"/>
              </w:rPr>
            </w:pPr>
            <w:r>
              <w:rPr>
                <w:rFonts w:ascii="Arial" w:cs="Arial" w:eastAsia="Arial" w:hAnsi="Arial"/>
                <w:sz w:val="16"/>
                <w:szCs w:val="16"/>
                <w:b w:val="1"/>
                <w:bCs w:val="1"/>
                <w:color w:val="auto"/>
              </w:rPr>
              <w:t>Former EVP and Chief Financial Officer,</w:t>
            </w:r>
          </w:p>
        </w:tc>
        <w:tc>
          <w:tcPr>
            <w:tcW w:w="5060" w:type="dxa"/>
            <w:vAlign w:val="bottom"/>
            <w:gridSpan w:val="2"/>
          </w:tcPr>
          <w:p>
            <w:pPr>
              <w:ind w:left="180"/>
              <w:spacing w:after="0"/>
              <w:rPr>
                <w:sz w:val="20"/>
                <w:szCs w:val="20"/>
                <w:color w:val="auto"/>
              </w:rPr>
            </w:pPr>
            <w:r>
              <w:rPr>
                <w:rFonts w:ascii="Arial" w:cs="Arial" w:eastAsia="Arial" w:hAnsi="Arial"/>
                <w:sz w:val="16"/>
                <w:szCs w:val="16"/>
                <w:b w:val="1"/>
                <w:bCs w:val="1"/>
                <w:color w:val="auto"/>
              </w:rPr>
              <w:t>SLB Board Committees</w:t>
            </w:r>
          </w:p>
        </w:tc>
        <w:tc>
          <w:tcPr>
            <w:tcW w:w="0" w:type="dxa"/>
            <w:vAlign w:val="bottom"/>
          </w:tcPr>
          <w:p>
            <w:pPr>
              <w:spacing w:after="0"/>
              <w:rPr>
                <w:sz w:val="1"/>
                <w:szCs w:val="1"/>
                <w:color w:val="auto"/>
              </w:rPr>
            </w:pPr>
          </w:p>
        </w:tc>
      </w:tr>
      <w:tr>
        <w:trPr>
          <w:trHeight w:val="189"/>
        </w:trPr>
        <w:tc>
          <w:tcPr>
            <w:tcW w:w="3220" w:type="dxa"/>
            <w:vAlign w:val="bottom"/>
            <w:gridSpan w:val="2"/>
          </w:tcPr>
          <w:p>
            <w:pPr>
              <w:spacing w:after="0"/>
              <w:rPr>
                <w:sz w:val="20"/>
                <w:szCs w:val="20"/>
                <w:color w:val="auto"/>
              </w:rPr>
            </w:pPr>
            <w:r>
              <w:rPr>
                <w:rFonts w:ascii="Arial" w:cs="Arial" w:eastAsia="Arial" w:hAnsi="Arial"/>
                <w:sz w:val="16"/>
                <w:szCs w:val="16"/>
                <w:b w:val="1"/>
                <w:bCs w:val="1"/>
                <w:color w:val="auto"/>
              </w:rPr>
              <w:t>ConocoPhillips</w:t>
            </w:r>
          </w:p>
        </w:tc>
        <w:tc>
          <w:tcPr>
            <w:tcW w:w="300" w:type="dxa"/>
            <w:vAlign w:val="bottom"/>
          </w:tcPr>
          <w:p>
            <w:pPr>
              <w:ind w:left="180"/>
              <w:spacing w:after="0"/>
              <w:rPr>
                <w:sz w:val="20"/>
                <w:szCs w:val="20"/>
                <w:color w:val="auto"/>
              </w:rPr>
            </w:pPr>
            <w:r>
              <w:rPr>
                <w:rFonts w:ascii="Arial" w:cs="Arial" w:eastAsia="Arial" w:hAnsi="Arial"/>
                <w:sz w:val="16"/>
                <w:szCs w:val="16"/>
                <w:b w:val="1"/>
                <w:bCs w:val="1"/>
                <w:color w:val="16458B"/>
              </w:rPr>
              <w:t>•</w:t>
            </w:r>
          </w:p>
        </w:tc>
        <w:tc>
          <w:tcPr>
            <w:tcW w:w="4760" w:type="dxa"/>
            <w:vAlign w:val="bottom"/>
          </w:tcPr>
          <w:p>
            <w:pPr>
              <w:ind w:left="60"/>
              <w:spacing w:after="0"/>
              <w:rPr>
                <w:sz w:val="20"/>
                <w:szCs w:val="20"/>
                <w:color w:val="auto"/>
              </w:rPr>
            </w:pPr>
            <w:r>
              <w:rPr>
                <w:rFonts w:ascii="Arial" w:cs="Arial" w:eastAsia="Arial" w:hAnsi="Arial"/>
                <w:sz w:val="16"/>
                <w:szCs w:val="16"/>
                <w:color w:val="auto"/>
              </w:rPr>
              <w:t>Compensation, Chair</w:t>
            </w:r>
          </w:p>
        </w:tc>
        <w:tc>
          <w:tcPr>
            <w:tcW w:w="0" w:type="dxa"/>
            <w:vAlign w:val="bottom"/>
          </w:tcPr>
          <w:p>
            <w:pPr>
              <w:spacing w:after="0"/>
              <w:rPr>
                <w:sz w:val="1"/>
                <w:szCs w:val="1"/>
                <w:color w:val="auto"/>
              </w:rPr>
            </w:pPr>
          </w:p>
        </w:tc>
      </w:tr>
      <w:tr>
        <w:trPr>
          <w:trHeight w:val="223"/>
        </w:trPr>
        <w:tc>
          <w:tcPr>
            <w:tcW w:w="3220" w:type="dxa"/>
            <w:vAlign w:val="bottom"/>
            <w:gridSpan w:val="2"/>
            <w:vMerge w:val="restart"/>
          </w:tcPr>
          <w:p>
            <w:pPr>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2019</w:t>
            </w:r>
          </w:p>
        </w:tc>
        <w:tc>
          <w:tcPr>
            <w:tcW w:w="300" w:type="dxa"/>
            <w:vAlign w:val="bottom"/>
          </w:tcPr>
          <w:p>
            <w:pPr>
              <w:ind w:left="180"/>
              <w:spacing w:after="0"/>
              <w:rPr>
                <w:sz w:val="20"/>
                <w:szCs w:val="20"/>
                <w:color w:val="auto"/>
              </w:rPr>
            </w:pPr>
            <w:r>
              <w:rPr>
                <w:rFonts w:ascii="Arial" w:cs="Arial" w:eastAsia="Arial" w:hAnsi="Arial"/>
                <w:sz w:val="16"/>
                <w:szCs w:val="16"/>
                <w:b w:val="1"/>
                <w:bCs w:val="1"/>
                <w:color w:val="16458B"/>
              </w:rPr>
              <w:t>•</w:t>
            </w:r>
          </w:p>
        </w:tc>
        <w:tc>
          <w:tcPr>
            <w:tcW w:w="4760" w:type="dxa"/>
            <w:vAlign w:val="bottom"/>
          </w:tcPr>
          <w:p>
            <w:pPr>
              <w:ind w:left="60"/>
              <w:spacing w:after="0"/>
              <w:rPr>
                <w:sz w:val="20"/>
                <w:szCs w:val="20"/>
                <w:color w:val="auto"/>
              </w:rPr>
            </w:pPr>
            <w:r>
              <w:rPr>
                <w:rFonts w:ascii="Arial" w:cs="Arial" w:eastAsia="Arial" w:hAnsi="Arial"/>
                <w:sz w:val="16"/>
                <w:szCs w:val="16"/>
                <w:color w:val="auto"/>
              </w:rPr>
              <w:t>Audit</w:t>
            </w:r>
          </w:p>
        </w:tc>
        <w:tc>
          <w:tcPr>
            <w:tcW w:w="0" w:type="dxa"/>
            <w:vAlign w:val="bottom"/>
          </w:tcPr>
          <w:p>
            <w:pPr>
              <w:spacing w:after="0"/>
              <w:rPr>
                <w:sz w:val="1"/>
                <w:szCs w:val="1"/>
                <w:color w:val="auto"/>
              </w:rPr>
            </w:pPr>
          </w:p>
        </w:tc>
      </w:tr>
      <w:tr>
        <w:trPr>
          <w:trHeight w:val="189"/>
        </w:trPr>
        <w:tc>
          <w:tcPr>
            <w:tcW w:w="3220" w:type="dxa"/>
            <w:vAlign w:val="bottom"/>
            <w:gridSpan w:val="2"/>
            <w:vMerge w:val="continue"/>
          </w:tcPr>
          <w:p>
            <w:pPr>
              <w:spacing w:after="0"/>
              <w:rPr>
                <w:sz w:val="16"/>
                <w:szCs w:val="16"/>
                <w:color w:val="auto"/>
              </w:rPr>
            </w:pPr>
          </w:p>
        </w:tc>
        <w:tc>
          <w:tcPr>
            <w:tcW w:w="506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Other Experience and Education</w:t>
            </w:r>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50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220" w:type="dxa"/>
            <w:vAlign w:val="bottom"/>
            <w:gridSpan w:val="2"/>
          </w:tcPr>
          <w:p>
            <w:pPr>
              <w:spacing w:after="0"/>
              <w:rPr>
                <w:sz w:val="20"/>
                <w:szCs w:val="20"/>
                <w:color w:val="auto"/>
              </w:rPr>
            </w:pPr>
            <w:r>
              <w:rPr>
                <w:rFonts w:ascii="Arial" w:cs="Arial" w:eastAsia="Arial" w:hAnsi="Arial"/>
                <w:sz w:val="16"/>
                <w:szCs w:val="16"/>
                <w:b w:val="1"/>
                <w:bCs w:val="1"/>
                <w:color w:val="auto"/>
              </w:rPr>
              <w:t>Other Current Public Boards</w:t>
            </w:r>
          </w:p>
        </w:tc>
        <w:tc>
          <w:tcPr>
            <w:tcW w:w="5060" w:type="dxa"/>
            <w:vAlign w:val="bottom"/>
            <w:gridSpan w:val="2"/>
          </w:tcPr>
          <w:p>
            <w:pPr>
              <w:ind w:left="180"/>
              <w:spacing w:after="0"/>
              <w:rPr>
                <w:sz w:val="20"/>
                <w:szCs w:val="20"/>
                <w:color w:val="auto"/>
              </w:rPr>
            </w:pPr>
            <w:r>
              <w:rPr>
                <w:rFonts w:ascii="Arial" w:cs="Arial" w:eastAsia="Arial" w:hAnsi="Arial"/>
                <w:sz w:val="16"/>
                <w:szCs w:val="16"/>
                <w:b w:val="1"/>
                <w:bCs w:val="1"/>
                <w:color w:val="16458B"/>
              </w:rPr>
              <w:t xml:space="preserve">•  </w:t>
            </w:r>
            <w:r>
              <w:rPr>
                <w:rFonts w:ascii="Arial" w:cs="Arial" w:eastAsia="Arial" w:hAnsi="Arial"/>
                <w:sz w:val="16"/>
                <w:szCs w:val="16"/>
                <w:color w:val="000000"/>
              </w:rPr>
              <w:t>MBA, University of Houston</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20"/>
                <w:szCs w:val="20"/>
                <w:color w:val="auto"/>
              </w:rPr>
            </w:pPr>
            <w:r>
              <w:rPr>
                <w:rFonts w:ascii="Arial" w:cs="Arial" w:eastAsia="Arial" w:hAnsi="Arial"/>
                <w:sz w:val="16"/>
                <w:szCs w:val="16"/>
                <w:b w:val="1"/>
                <w:bCs w:val="1"/>
                <w:color w:val="16458B"/>
              </w:rPr>
              <w:t>•</w:t>
            </w:r>
          </w:p>
        </w:tc>
        <w:tc>
          <w:tcPr>
            <w:tcW w:w="3100" w:type="dxa"/>
            <w:vAlign w:val="bottom"/>
          </w:tcPr>
          <w:p>
            <w:pPr>
              <w:ind w:left="80"/>
              <w:spacing w:after="0"/>
              <w:rPr>
                <w:sz w:val="20"/>
                <w:szCs w:val="20"/>
                <w:color w:val="auto"/>
              </w:rPr>
            </w:pPr>
            <w:r>
              <w:rPr>
                <w:rFonts w:ascii="Arial" w:cs="Arial" w:eastAsia="Arial" w:hAnsi="Arial"/>
                <w:sz w:val="16"/>
                <w:szCs w:val="16"/>
                <w:color w:val="auto"/>
              </w:rPr>
              <w:t>Enerplus Corporation</w:t>
            </w:r>
          </w:p>
        </w:tc>
        <w:tc>
          <w:tcPr>
            <w:tcW w:w="5060" w:type="dxa"/>
            <w:vAlign w:val="bottom"/>
            <w:gridSpan w:val="2"/>
          </w:tcPr>
          <w:p>
            <w:pPr>
              <w:ind w:left="180"/>
              <w:spacing w:after="0"/>
              <w:rPr>
                <w:sz w:val="20"/>
                <w:szCs w:val="20"/>
                <w:color w:val="auto"/>
              </w:rPr>
            </w:pPr>
            <w:r>
              <w:rPr>
                <w:rFonts w:ascii="Arial" w:cs="Arial" w:eastAsia="Arial" w:hAnsi="Arial"/>
                <w:sz w:val="16"/>
                <w:szCs w:val="16"/>
                <w:b w:val="1"/>
                <w:bCs w:val="1"/>
                <w:color w:val="16458B"/>
              </w:rPr>
              <w:t xml:space="preserve">•  </w:t>
            </w:r>
            <w:r>
              <w:rPr>
                <w:rFonts w:ascii="Arial" w:cs="Arial" w:eastAsia="Arial" w:hAnsi="Arial"/>
                <w:sz w:val="16"/>
                <w:szCs w:val="16"/>
                <w:color w:val="000000"/>
              </w:rPr>
              <w:t>Bachelor of Science in Chemical Engineering, Missouri University</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20"/>
                <w:szCs w:val="20"/>
                <w:color w:val="auto"/>
              </w:rPr>
            </w:pPr>
            <w:r>
              <w:rPr>
                <w:rFonts w:ascii="Arial" w:cs="Arial" w:eastAsia="Arial" w:hAnsi="Arial"/>
                <w:sz w:val="16"/>
                <w:szCs w:val="16"/>
                <w:b w:val="1"/>
                <w:bCs w:val="1"/>
                <w:color w:val="16458B"/>
              </w:rPr>
              <w:t>•</w:t>
            </w:r>
          </w:p>
        </w:tc>
        <w:tc>
          <w:tcPr>
            <w:tcW w:w="3100" w:type="dxa"/>
            <w:vAlign w:val="bottom"/>
          </w:tcPr>
          <w:p>
            <w:pPr>
              <w:ind w:left="80"/>
              <w:spacing w:after="0"/>
              <w:rPr>
                <w:sz w:val="20"/>
                <w:szCs w:val="20"/>
                <w:color w:val="auto"/>
              </w:rPr>
            </w:pPr>
            <w:r>
              <w:rPr>
                <w:rFonts w:ascii="Arial" w:cs="Arial" w:eastAsia="Arial" w:hAnsi="Arial"/>
                <w:sz w:val="16"/>
                <w:szCs w:val="16"/>
                <w:color w:val="auto"/>
              </w:rPr>
              <w:t>Westlake Corporation</w:t>
            </w:r>
          </w:p>
        </w:tc>
        <w:tc>
          <w:tcPr>
            <w:tcW w:w="300" w:type="dxa"/>
            <w:vAlign w:val="bottom"/>
          </w:tcPr>
          <w:p>
            <w:pPr>
              <w:spacing w:after="0"/>
              <w:rPr>
                <w:sz w:val="19"/>
                <w:szCs w:val="19"/>
                <w:color w:val="auto"/>
              </w:rPr>
            </w:pPr>
          </w:p>
        </w:tc>
        <w:tc>
          <w:tcPr>
            <w:tcW w:w="4760" w:type="dxa"/>
            <w:vAlign w:val="bottom"/>
          </w:tcPr>
          <w:p>
            <w:pPr>
              <w:ind w:left="60"/>
              <w:spacing w:after="0"/>
              <w:rPr>
                <w:sz w:val="20"/>
                <w:szCs w:val="20"/>
                <w:color w:val="auto"/>
              </w:rPr>
            </w:pPr>
            <w:r>
              <w:rPr>
                <w:rFonts w:ascii="Arial" w:cs="Arial" w:eastAsia="Arial" w:hAnsi="Arial"/>
                <w:sz w:val="16"/>
                <w:szCs w:val="16"/>
                <w:color w:val="auto"/>
              </w:rPr>
              <w:t>of Science and Technology</w:t>
            </w: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Former Public Director Roles</w:t>
      </w:r>
    </w:p>
    <w:p>
      <w:pPr>
        <w:spacing w:after="0" w:line="21"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During the Past Five Years</w:t>
      </w:r>
    </w:p>
    <w:p>
      <w:pPr>
        <w:spacing w:after="0" w:line="5" w:lineRule="exact"/>
        <w:rPr>
          <w:sz w:val="20"/>
          <w:szCs w:val="20"/>
          <w:color w:val="auto"/>
        </w:rPr>
      </w:pPr>
    </w:p>
    <w:p>
      <w:pPr>
        <w:ind w:left="3160" w:hanging="200"/>
        <w:spacing w:after="0"/>
        <w:tabs>
          <w:tab w:leader="none" w:pos="3160" w:val="left"/>
        </w:tabs>
        <w:numPr>
          <w:ilvl w:val="0"/>
          <w:numId w:val="12"/>
        </w:numPr>
        <w:rPr>
          <w:rFonts w:ascii="Arial" w:cs="Arial" w:eastAsia="Arial" w:hAnsi="Arial"/>
          <w:sz w:val="16"/>
          <w:szCs w:val="16"/>
          <w:b w:val="1"/>
          <w:bCs w:val="1"/>
          <w:color w:val="16458B"/>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601980</wp:posOffset>
            </wp:positionV>
            <wp:extent cx="713232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60" w:right="60"/>
        <w:spacing w:after="0" w:line="253" w:lineRule="auto"/>
        <w:rPr>
          <w:sz w:val="20"/>
          <w:szCs w:val="20"/>
          <w:color w:val="auto"/>
        </w:rPr>
      </w:pPr>
      <w:r>
        <w:rPr>
          <w:rFonts w:ascii="Arial" w:cs="Arial" w:eastAsia="Arial" w:hAnsi="Arial"/>
          <w:sz w:val="16"/>
          <w:szCs w:val="16"/>
          <w:color w:val="auto"/>
        </w:rPr>
        <w:t>JEFF SHEETS is the former EVP and Chief Financial Officer of ConocoPhillips Company, a public international energy company, having served in that role from 2010 until his retirement in 2016. Prior to that, Mr. Sheets served at ConocoPhillips and its predecessor companies for more than 36 years in a variety of finance, engineering, and strategic planning roles. Since 2017, Mr. Sheets has served as a director of Enerplus Corporation, a Canadian energy company, where he chairs the audit and risk management committee and is a member of the compensation committee. He also has served since January 2018 as a director of Westlake Corporation, an international manufacturer and supplier of petrochemicals and related products, where he chairs the nominating and governance committee and is a member of the audit, compensation, and corporate risk committees. Mr. Sheets is a member of the Board of Trustees at the Missouri University of Science and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Reason for Nomination</w:t>
      </w:r>
    </w:p>
    <w:p>
      <w:pPr>
        <w:spacing w:after="0" w:line="21" w:lineRule="exact"/>
        <w:rPr>
          <w:sz w:val="20"/>
          <w:szCs w:val="20"/>
          <w:color w:val="auto"/>
        </w:rPr>
      </w:pPr>
    </w:p>
    <w:p>
      <w:pPr>
        <w:jc w:val="both"/>
        <w:ind w:left="60" w:right="60"/>
        <w:spacing w:after="0" w:line="256" w:lineRule="auto"/>
        <w:rPr>
          <w:sz w:val="20"/>
          <w:szCs w:val="20"/>
          <w:color w:val="auto"/>
        </w:rPr>
      </w:pPr>
      <w:r>
        <w:rPr>
          <w:rFonts w:ascii="Arial" w:cs="Arial" w:eastAsia="Arial" w:hAnsi="Arial"/>
          <w:sz w:val="16"/>
          <w:szCs w:val="16"/>
          <w:color w:val="auto"/>
        </w:rPr>
        <w:t>Mr. Sheets brings to the Board financial and operational expertise as a former chief financial officer of a major energy company. The Board benefits from Mr. Sheets’ expertise in developing and implementing corporate strategy in the energy industry, as well as his significant finance, capital management and allocation, and mergers and acquisitions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Ulrich Spiesshofer,</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202311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2023110"/>
                    </a:xfrm>
                    <a:prstGeom prst="rect">
                      <a:avLst/>
                    </a:prstGeom>
                    <a:noFill/>
                  </pic:spPr>
                </pic:pic>
              </a:graphicData>
            </a:graphic>
          </wp:anchor>
        </w:drawing>
      </w:r>
    </w:p>
    <w:p>
      <w:pPr>
        <w:spacing w:after="0" w:line="151" w:lineRule="exact"/>
        <w:rPr>
          <w:sz w:val="20"/>
          <w:szCs w:val="20"/>
          <w:color w:val="auto"/>
        </w:rPr>
      </w:pPr>
    </w:p>
    <w:tbl>
      <w:tblPr>
        <w:tblLayout w:type="fixed"/>
        <w:tblInd w:w="2960" w:type="dxa"/>
        <w:tblCellMar>
          <w:top w:w="0" w:type="dxa"/>
          <w:left w:w="0" w:type="dxa"/>
          <w:bottom w:w="0" w:type="dxa"/>
          <w:right w:w="0" w:type="dxa"/>
        </w:tblCellMar>
      </w:tblPr>
      <w:tr>
        <w:trPr>
          <w:trHeight w:val="189"/>
        </w:trPr>
        <w:tc>
          <w:tcPr>
            <w:tcW w:w="2820" w:type="dxa"/>
            <w:vAlign w:val="bottom"/>
          </w:tcPr>
          <w:p>
            <w:pPr>
              <w:spacing w:after="0"/>
              <w:rPr>
                <w:sz w:val="20"/>
                <w:szCs w:val="20"/>
                <w:color w:val="auto"/>
              </w:rPr>
            </w:pPr>
            <w:r>
              <w:rPr>
                <w:rFonts w:ascii="Arial" w:cs="Arial" w:eastAsia="Arial" w:hAnsi="Arial"/>
                <w:sz w:val="16"/>
                <w:szCs w:val="16"/>
                <w:b w:val="1"/>
                <w:bCs w:val="1"/>
                <w:color w:val="auto"/>
              </w:rPr>
              <w:t>Former President and CEO,</w:t>
            </w:r>
          </w:p>
        </w:tc>
        <w:tc>
          <w:tcPr>
            <w:tcW w:w="5260" w:type="dxa"/>
            <w:vAlign w:val="bottom"/>
          </w:tcPr>
          <w:p>
            <w:pPr>
              <w:ind w:left="580"/>
              <w:spacing w:after="0"/>
              <w:rPr>
                <w:sz w:val="20"/>
                <w:szCs w:val="20"/>
                <w:color w:val="auto"/>
              </w:rPr>
            </w:pPr>
            <w:r>
              <w:rPr>
                <w:rFonts w:ascii="Arial" w:cs="Arial" w:eastAsia="Arial" w:hAnsi="Arial"/>
                <w:sz w:val="16"/>
                <w:szCs w:val="16"/>
                <w:b w:val="1"/>
                <w:bCs w:val="1"/>
                <w:color w:val="auto"/>
              </w:rPr>
              <w:t>SLB Board Committees</w:t>
            </w:r>
          </w:p>
        </w:tc>
        <w:tc>
          <w:tcPr>
            <w:tcW w:w="0" w:type="dxa"/>
            <w:vAlign w:val="bottom"/>
          </w:tcPr>
          <w:p>
            <w:pPr>
              <w:spacing w:after="0"/>
              <w:rPr>
                <w:sz w:val="1"/>
                <w:szCs w:val="1"/>
                <w:color w:val="auto"/>
              </w:rPr>
            </w:pPr>
          </w:p>
        </w:tc>
      </w:tr>
      <w:tr>
        <w:trPr>
          <w:trHeight w:val="189"/>
        </w:trPr>
        <w:tc>
          <w:tcPr>
            <w:tcW w:w="2820" w:type="dxa"/>
            <w:vAlign w:val="bottom"/>
          </w:tcPr>
          <w:p>
            <w:pPr>
              <w:spacing w:after="0"/>
              <w:rPr>
                <w:sz w:val="20"/>
                <w:szCs w:val="20"/>
                <w:color w:val="auto"/>
              </w:rPr>
            </w:pPr>
            <w:r>
              <w:rPr>
                <w:rFonts w:ascii="Arial" w:cs="Arial" w:eastAsia="Arial" w:hAnsi="Arial"/>
                <w:sz w:val="16"/>
                <w:szCs w:val="16"/>
                <w:b w:val="1"/>
                <w:bCs w:val="1"/>
                <w:color w:val="auto"/>
              </w:rPr>
              <w:t>ABB Ltd.</w:t>
            </w:r>
          </w:p>
        </w:tc>
        <w:tc>
          <w:tcPr>
            <w:tcW w:w="5260" w:type="dxa"/>
            <w:vAlign w:val="bottom"/>
          </w:tcPr>
          <w:p>
            <w:pPr>
              <w:ind w:left="580"/>
              <w:spacing w:after="0"/>
              <w:rPr>
                <w:sz w:val="20"/>
                <w:szCs w:val="20"/>
                <w:color w:val="auto"/>
              </w:rPr>
            </w:pPr>
            <w:r>
              <w:rPr>
                <w:rFonts w:ascii="Arial" w:cs="Arial" w:eastAsia="Arial" w:hAnsi="Arial"/>
                <w:sz w:val="16"/>
                <w:szCs w:val="16"/>
                <w:b w:val="1"/>
                <w:bCs w:val="1"/>
                <w:color w:val="16458B"/>
              </w:rPr>
              <w:t xml:space="preserve">•  </w:t>
            </w:r>
            <w:r>
              <w:rPr>
                <w:rFonts w:ascii="Arial" w:cs="Arial" w:eastAsia="Arial" w:hAnsi="Arial"/>
                <w:sz w:val="16"/>
                <w:szCs w:val="16"/>
                <w:color w:val="000000"/>
              </w:rPr>
              <w:t>Compensation</w:t>
            </w:r>
          </w:p>
        </w:tc>
        <w:tc>
          <w:tcPr>
            <w:tcW w:w="0" w:type="dxa"/>
            <w:vAlign w:val="bottom"/>
          </w:tcPr>
          <w:p>
            <w:pPr>
              <w:spacing w:after="0"/>
              <w:rPr>
                <w:sz w:val="1"/>
                <w:szCs w:val="1"/>
                <w:color w:val="auto"/>
              </w:rPr>
            </w:pPr>
          </w:p>
        </w:tc>
      </w:tr>
      <w:tr>
        <w:trPr>
          <w:trHeight w:val="223"/>
        </w:trPr>
        <w:tc>
          <w:tcPr>
            <w:tcW w:w="2820" w:type="dxa"/>
            <w:vAlign w:val="bottom"/>
            <w:vMerge w:val="restart"/>
          </w:tcPr>
          <w:p>
            <w:pPr>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2021</w:t>
            </w:r>
          </w:p>
        </w:tc>
        <w:tc>
          <w:tcPr>
            <w:tcW w:w="5260" w:type="dxa"/>
            <w:vAlign w:val="bottom"/>
          </w:tcPr>
          <w:p>
            <w:pPr>
              <w:ind w:left="580"/>
              <w:spacing w:after="0"/>
              <w:rPr>
                <w:sz w:val="20"/>
                <w:szCs w:val="20"/>
                <w:color w:val="auto"/>
              </w:rPr>
            </w:pPr>
            <w:r>
              <w:rPr>
                <w:rFonts w:ascii="Arial" w:cs="Arial" w:eastAsia="Arial" w:hAnsi="Arial"/>
                <w:sz w:val="16"/>
                <w:szCs w:val="16"/>
                <w:b w:val="1"/>
                <w:bCs w:val="1"/>
                <w:color w:val="16458B"/>
              </w:rPr>
              <w:t xml:space="preserve">•  </w:t>
            </w:r>
            <w:r>
              <w:rPr>
                <w:rFonts w:ascii="Arial" w:cs="Arial" w:eastAsia="Arial" w:hAnsi="Arial"/>
                <w:sz w:val="16"/>
                <w:szCs w:val="16"/>
                <w:color w:val="000000"/>
              </w:rPr>
              <w:t>New Energy and Innovation</w:t>
            </w:r>
          </w:p>
        </w:tc>
        <w:tc>
          <w:tcPr>
            <w:tcW w:w="0" w:type="dxa"/>
            <w:vAlign w:val="bottom"/>
          </w:tcPr>
          <w:p>
            <w:pPr>
              <w:spacing w:after="0"/>
              <w:rPr>
                <w:sz w:val="1"/>
                <w:szCs w:val="1"/>
                <w:color w:val="auto"/>
              </w:rPr>
            </w:pPr>
          </w:p>
        </w:tc>
      </w:tr>
      <w:tr>
        <w:trPr>
          <w:trHeight w:val="189"/>
        </w:trPr>
        <w:tc>
          <w:tcPr>
            <w:tcW w:w="2820" w:type="dxa"/>
            <w:vAlign w:val="bottom"/>
            <w:vMerge w:val="continue"/>
          </w:tcPr>
          <w:p>
            <w:pPr>
              <w:spacing w:after="0"/>
              <w:rPr>
                <w:sz w:val="16"/>
                <w:szCs w:val="16"/>
                <w:color w:val="auto"/>
              </w:rPr>
            </w:pPr>
          </w:p>
        </w:tc>
        <w:tc>
          <w:tcPr>
            <w:tcW w:w="5260" w:type="dxa"/>
            <w:vAlign w:val="bottom"/>
            <w:vMerge w:val="restart"/>
          </w:tcPr>
          <w:p>
            <w:pPr>
              <w:ind w:left="580"/>
              <w:spacing w:after="0"/>
              <w:rPr>
                <w:sz w:val="20"/>
                <w:szCs w:val="20"/>
                <w:color w:val="auto"/>
              </w:rPr>
            </w:pPr>
            <w:r>
              <w:rPr>
                <w:rFonts w:ascii="Arial" w:cs="Arial" w:eastAsia="Arial" w:hAnsi="Arial"/>
                <w:sz w:val="16"/>
                <w:szCs w:val="16"/>
                <w:b w:val="1"/>
                <w:bCs w:val="1"/>
                <w:color w:val="auto"/>
              </w:rPr>
              <w:t>Other Experience and Education</w:t>
            </w:r>
          </w:p>
        </w:tc>
        <w:tc>
          <w:tcPr>
            <w:tcW w:w="0" w:type="dxa"/>
            <w:vAlign w:val="bottom"/>
          </w:tcPr>
          <w:p>
            <w:pPr>
              <w:spacing w:after="0"/>
              <w:rPr>
                <w:sz w:val="1"/>
                <w:szCs w:val="1"/>
                <w:color w:val="auto"/>
              </w:rPr>
            </w:pPr>
          </w:p>
        </w:tc>
      </w:tr>
      <w:tr>
        <w:trPr>
          <w:trHeight w:val="155"/>
        </w:trPr>
        <w:tc>
          <w:tcPr>
            <w:tcW w:w="2820" w:type="dxa"/>
            <w:vAlign w:val="bottom"/>
          </w:tcPr>
          <w:p>
            <w:pPr>
              <w:spacing w:after="0"/>
              <w:rPr>
                <w:sz w:val="13"/>
                <w:szCs w:val="13"/>
                <w:color w:val="auto"/>
              </w:rPr>
            </w:pPr>
          </w:p>
        </w:tc>
        <w:tc>
          <w:tcPr>
            <w:tcW w:w="5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820" w:type="dxa"/>
            <w:vAlign w:val="bottom"/>
          </w:tcPr>
          <w:p>
            <w:pPr>
              <w:spacing w:after="0"/>
              <w:rPr>
                <w:sz w:val="20"/>
                <w:szCs w:val="20"/>
                <w:color w:val="auto"/>
              </w:rPr>
            </w:pPr>
            <w:r>
              <w:rPr>
                <w:rFonts w:ascii="Arial" w:cs="Arial" w:eastAsia="Arial" w:hAnsi="Arial"/>
                <w:sz w:val="16"/>
                <w:szCs w:val="16"/>
                <w:b w:val="1"/>
                <w:bCs w:val="1"/>
                <w:color w:val="auto"/>
              </w:rPr>
              <w:t>Other Current Public Boards</w:t>
            </w:r>
          </w:p>
        </w:tc>
        <w:tc>
          <w:tcPr>
            <w:tcW w:w="5260" w:type="dxa"/>
            <w:vAlign w:val="bottom"/>
          </w:tcPr>
          <w:p>
            <w:pPr>
              <w:ind w:left="580"/>
              <w:spacing w:after="0"/>
              <w:rPr>
                <w:sz w:val="20"/>
                <w:szCs w:val="20"/>
                <w:color w:val="auto"/>
              </w:rPr>
            </w:pPr>
            <w:r>
              <w:rPr>
                <w:rFonts w:ascii="Arial" w:cs="Arial" w:eastAsia="Arial" w:hAnsi="Arial"/>
                <w:sz w:val="16"/>
                <w:szCs w:val="16"/>
                <w:b w:val="1"/>
                <w:bCs w:val="1"/>
                <w:color w:val="16458B"/>
              </w:rPr>
              <w:t xml:space="preserve">•  </w:t>
            </w:r>
            <w:r>
              <w:rPr>
                <w:rFonts w:ascii="Arial" w:cs="Arial" w:eastAsia="Arial" w:hAnsi="Arial"/>
                <w:sz w:val="16"/>
                <w:szCs w:val="16"/>
                <w:color w:val="000000"/>
              </w:rPr>
              <w:t>PhD in Economics, Universität Stuttgart</w:t>
            </w:r>
          </w:p>
        </w:tc>
        <w:tc>
          <w:tcPr>
            <w:tcW w:w="0" w:type="dxa"/>
            <w:vAlign w:val="bottom"/>
          </w:tcPr>
          <w:p>
            <w:pPr>
              <w:spacing w:after="0"/>
              <w:rPr>
                <w:sz w:val="1"/>
                <w:szCs w:val="1"/>
                <w:color w:val="auto"/>
              </w:rPr>
            </w:pPr>
          </w:p>
        </w:tc>
      </w:tr>
      <w:tr>
        <w:trPr>
          <w:trHeight w:val="189"/>
        </w:trPr>
        <w:tc>
          <w:tcPr>
            <w:tcW w:w="2820" w:type="dxa"/>
            <w:vAlign w:val="bottom"/>
          </w:tcPr>
          <w:p>
            <w:pPr>
              <w:spacing w:after="0"/>
              <w:rPr>
                <w:sz w:val="20"/>
                <w:szCs w:val="20"/>
                <w:color w:val="auto"/>
              </w:rPr>
            </w:pPr>
            <w:r>
              <w:rPr>
                <w:rFonts w:ascii="Arial" w:cs="Arial" w:eastAsia="Arial" w:hAnsi="Arial"/>
                <w:sz w:val="16"/>
                <w:szCs w:val="16"/>
                <w:b w:val="1"/>
                <w:bCs w:val="1"/>
                <w:color w:val="16458B"/>
              </w:rPr>
              <w:t xml:space="preserve">•  </w:t>
            </w:r>
            <w:r>
              <w:rPr>
                <w:rFonts w:ascii="Arial" w:cs="Arial" w:eastAsia="Arial" w:hAnsi="Arial"/>
                <w:sz w:val="16"/>
                <w:szCs w:val="16"/>
                <w:color w:val="000000"/>
              </w:rPr>
              <w:t>Infineon Technologies</w:t>
            </w:r>
          </w:p>
        </w:tc>
        <w:tc>
          <w:tcPr>
            <w:tcW w:w="5260" w:type="dxa"/>
            <w:vAlign w:val="bottom"/>
          </w:tcPr>
          <w:p>
            <w:pPr>
              <w:ind w:left="580"/>
              <w:spacing w:after="0"/>
              <w:rPr>
                <w:sz w:val="20"/>
                <w:szCs w:val="20"/>
                <w:color w:val="auto"/>
              </w:rPr>
            </w:pPr>
            <w:r>
              <w:rPr>
                <w:rFonts w:ascii="Arial" w:cs="Arial" w:eastAsia="Arial" w:hAnsi="Arial"/>
                <w:sz w:val="16"/>
                <w:szCs w:val="16"/>
                <w:b w:val="1"/>
                <w:bCs w:val="1"/>
                <w:color w:val="16458B"/>
              </w:rPr>
              <w:t xml:space="preserve">•  </w:t>
            </w:r>
            <w:r>
              <w:rPr>
                <w:rFonts w:ascii="Arial" w:cs="Arial" w:eastAsia="Arial" w:hAnsi="Arial"/>
                <w:sz w:val="16"/>
                <w:szCs w:val="16"/>
                <w:color w:val="000000"/>
              </w:rPr>
              <w:t>Master’s Degree in Management and Engineering, Universität</w:t>
            </w:r>
          </w:p>
        </w:tc>
        <w:tc>
          <w:tcPr>
            <w:tcW w:w="0" w:type="dxa"/>
            <w:vAlign w:val="bottom"/>
          </w:tcPr>
          <w:p>
            <w:pPr>
              <w:spacing w:after="0"/>
              <w:rPr>
                <w:sz w:val="1"/>
                <w:szCs w:val="1"/>
                <w:color w:val="auto"/>
              </w:rPr>
            </w:pPr>
          </w:p>
        </w:tc>
      </w:tr>
      <w:tr>
        <w:trPr>
          <w:trHeight w:val="189"/>
        </w:trPr>
        <w:tc>
          <w:tcPr>
            <w:tcW w:w="2820" w:type="dxa"/>
            <w:vAlign w:val="bottom"/>
          </w:tcPr>
          <w:p>
            <w:pPr>
              <w:spacing w:after="0"/>
              <w:rPr>
                <w:sz w:val="16"/>
                <w:szCs w:val="16"/>
                <w:color w:val="auto"/>
              </w:rPr>
            </w:pPr>
          </w:p>
        </w:tc>
        <w:tc>
          <w:tcPr>
            <w:tcW w:w="5260" w:type="dxa"/>
            <w:vAlign w:val="bottom"/>
          </w:tcPr>
          <w:p>
            <w:pPr>
              <w:ind w:left="760"/>
              <w:spacing w:after="0"/>
              <w:rPr>
                <w:sz w:val="20"/>
                <w:szCs w:val="20"/>
                <w:color w:val="auto"/>
              </w:rPr>
            </w:pPr>
            <w:r>
              <w:rPr>
                <w:rFonts w:ascii="Arial" w:cs="Arial" w:eastAsia="Arial" w:hAnsi="Arial"/>
                <w:sz w:val="16"/>
                <w:szCs w:val="16"/>
                <w:color w:val="auto"/>
              </w:rPr>
              <w:t>Stuttgart</w:t>
            </w:r>
          </w:p>
        </w:tc>
        <w:tc>
          <w:tcPr>
            <w:tcW w:w="0" w:type="dxa"/>
            <w:vAlign w:val="bottom"/>
          </w:tcPr>
          <w:p>
            <w:pPr>
              <w:spacing w:after="0"/>
              <w:rPr>
                <w:sz w:val="1"/>
                <w:szCs w:val="1"/>
                <w:color w:val="auto"/>
              </w:rPr>
            </w:pPr>
          </w:p>
        </w:tc>
      </w:tr>
      <w:tr>
        <w:trPr>
          <w:trHeight w:val="189"/>
        </w:trPr>
        <w:tc>
          <w:tcPr>
            <w:tcW w:w="2820" w:type="dxa"/>
            <w:vAlign w:val="bottom"/>
          </w:tcPr>
          <w:p>
            <w:pPr>
              <w:spacing w:after="0"/>
              <w:rPr>
                <w:sz w:val="20"/>
                <w:szCs w:val="20"/>
                <w:color w:val="auto"/>
              </w:rPr>
            </w:pPr>
            <w:r>
              <w:rPr>
                <w:rFonts w:ascii="Arial" w:cs="Arial" w:eastAsia="Arial" w:hAnsi="Arial"/>
                <w:sz w:val="16"/>
                <w:szCs w:val="16"/>
                <w:b w:val="1"/>
                <w:bCs w:val="1"/>
                <w:color w:val="auto"/>
              </w:rPr>
              <w:t>Former Public Director Roles</w:t>
            </w:r>
          </w:p>
        </w:tc>
        <w:tc>
          <w:tcPr>
            <w:tcW w:w="5260" w:type="dxa"/>
            <w:vAlign w:val="bottom"/>
          </w:tcPr>
          <w:p>
            <w:pPr>
              <w:ind w:left="580"/>
              <w:spacing w:after="0"/>
              <w:rPr>
                <w:sz w:val="20"/>
                <w:szCs w:val="20"/>
                <w:color w:val="auto"/>
              </w:rPr>
            </w:pPr>
            <w:r>
              <w:rPr>
                <w:rFonts w:ascii="Arial" w:cs="Arial" w:eastAsia="Arial" w:hAnsi="Arial"/>
                <w:sz w:val="16"/>
                <w:szCs w:val="16"/>
                <w:b w:val="1"/>
                <w:bCs w:val="1"/>
                <w:color w:val="16458B"/>
              </w:rPr>
              <w:t xml:space="preserve">•  </w:t>
            </w:r>
            <w:r>
              <w:rPr>
                <w:rFonts w:ascii="Arial" w:cs="Arial" w:eastAsia="Arial" w:hAnsi="Arial"/>
                <w:sz w:val="16"/>
                <w:szCs w:val="16"/>
                <w:color w:val="000000"/>
              </w:rPr>
              <w:t>Digital transformation, restructuring, and portfolio management</w:t>
            </w:r>
          </w:p>
        </w:tc>
        <w:tc>
          <w:tcPr>
            <w:tcW w:w="0" w:type="dxa"/>
            <w:vAlign w:val="bottom"/>
          </w:tcPr>
          <w:p>
            <w:pPr>
              <w:spacing w:after="0"/>
              <w:rPr>
                <w:sz w:val="1"/>
                <w:szCs w:val="1"/>
                <w:color w:val="auto"/>
              </w:rPr>
            </w:pPr>
          </w:p>
        </w:tc>
      </w:tr>
      <w:tr>
        <w:trPr>
          <w:trHeight w:val="189"/>
        </w:trPr>
        <w:tc>
          <w:tcPr>
            <w:tcW w:w="2820" w:type="dxa"/>
            <w:vAlign w:val="bottom"/>
          </w:tcPr>
          <w:p>
            <w:pPr>
              <w:spacing w:after="0"/>
              <w:rPr>
                <w:sz w:val="20"/>
                <w:szCs w:val="20"/>
                <w:color w:val="auto"/>
              </w:rPr>
            </w:pPr>
            <w:r>
              <w:rPr>
                <w:rFonts w:ascii="Arial" w:cs="Arial" w:eastAsia="Arial" w:hAnsi="Arial"/>
                <w:sz w:val="16"/>
                <w:szCs w:val="16"/>
                <w:b w:val="1"/>
                <w:bCs w:val="1"/>
                <w:color w:val="auto"/>
              </w:rPr>
              <w:t>During the Past Five Years</w:t>
            </w:r>
          </w:p>
        </w:tc>
        <w:tc>
          <w:tcPr>
            <w:tcW w:w="5260" w:type="dxa"/>
            <w:vAlign w:val="bottom"/>
          </w:tcPr>
          <w:p>
            <w:pPr>
              <w:ind w:left="760"/>
              <w:spacing w:after="0"/>
              <w:rPr>
                <w:sz w:val="20"/>
                <w:szCs w:val="20"/>
                <w:color w:val="auto"/>
              </w:rPr>
            </w:pPr>
            <w:r>
              <w:rPr>
                <w:rFonts w:ascii="Arial" w:cs="Arial" w:eastAsia="Arial" w:hAnsi="Arial"/>
                <w:sz w:val="16"/>
                <w:szCs w:val="16"/>
                <w:color w:val="auto"/>
              </w:rPr>
              <w:t>expertise</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20"/>
                <w:szCs w:val="20"/>
                <w:color w:val="auto"/>
              </w:rPr>
            </w:pPr>
            <w:r>
              <w:rPr>
                <w:rFonts w:ascii="Arial" w:cs="Arial" w:eastAsia="Arial" w:hAnsi="Arial"/>
                <w:sz w:val="16"/>
                <w:szCs w:val="16"/>
                <w:b w:val="1"/>
                <w:bCs w:val="1"/>
                <w:color w:val="16458B"/>
              </w:rPr>
              <w:t xml:space="preserve">•  </w:t>
            </w:r>
            <w:r>
              <w:rPr>
                <w:rFonts w:ascii="Arial" w:cs="Arial" w:eastAsia="Arial" w:hAnsi="Arial"/>
                <w:sz w:val="16"/>
                <w:szCs w:val="16"/>
                <w:color w:val="000000"/>
              </w:rPr>
              <w:t>None</w:t>
            </w:r>
          </w:p>
        </w:tc>
        <w:tc>
          <w:tcPr>
            <w:tcW w:w="5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690880</wp:posOffset>
            </wp:positionV>
            <wp:extent cx="713232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60" w:right="60"/>
        <w:spacing w:after="0" w:line="253" w:lineRule="auto"/>
        <w:rPr>
          <w:sz w:val="20"/>
          <w:szCs w:val="20"/>
          <w:color w:val="auto"/>
        </w:rPr>
      </w:pPr>
      <w:r>
        <w:rPr>
          <w:rFonts w:ascii="Arial" w:cs="Arial" w:eastAsia="Arial" w:hAnsi="Arial"/>
          <w:sz w:val="16"/>
          <w:szCs w:val="16"/>
          <w:color w:val="auto"/>
        </w:rPr>
        <w:t>ULRICH SPIESSHOFER is the former president and Chief Executive Officer of ABB Ltd., a multinational technology-focused corporation, having served in that role from 2013 to April 2019 and as an ABB executive committee member from 2005 to April 2019. Under Dr. Spiesshofer’s leadership, ABB transformed into a global leader in digital industries and a respected technology company at the nexus of industrial products and services, robotics, and software. Since June 2020, he has served as a senior advisor at The Blackstone Group L.P. (Blackstone), and in this capacity he has chaired the advisory boards of Interplex Ltd since January 2023, Sabre Industries since January 2021, and Schenck Process from May 2021 to September 2023, and he has served as a director of TDI-USA Holdings LLC since December 2021—all Blackstone portfolio companies. He has also served as a director of Infineon Technologies since February 2020, where he is a member of the strategy and technology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Reason for Nomination</w:t>
      </w:r>
    </w:p>
    <w:p>
      <w:pPr>
        <w:spacing w:after="0" w:line="21" w:lineRule="exact"/>
        <w:rPr>
          <w:sz w:val="20"/>
          <w:szCs w:val="20"/>
          <w:color w:val="auto"/>
        </w:rPr>
      </w:pPr>
    </w:p>
    <w:p>
      <w:pPr>
        <w:jc w:val="both"/>
        <w:ind w:left="60" w:right="60"/>
        <w:spacing w:after="0" w:line="256" w:lineRule="auto"/>
        <w:rPr>
          <w:sz w:val="20"/>
          <w:szCs w:val="20"/>
          <w:color w:val="auto"/>
        </w:rPr>
      </w:pPr>
      <w:r>
        <w:rPr>
          <w:rFonts w:ascii="Arial" w:cs="Arial" w:eastAsia="Arial" w:hAnsi="Arial"/>
          <w:sz w:val="16"/>
          <w:szCs w:val="16"/>
          <w:color w:val="auto"/>
        </w:rPr>
        <w:t>Dr. Spiesshofer brings to the Board more than 30 years of global leadership experience in industries ranging from oil and gas to power and electrification to automation and digitalization. The Board values his industrial sector expertise and his business transformation experience leveraging digital technologies, products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276225</wp:posOffset>
            </wp:positionV>
            <wp:extent cx="471170" cy="28257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71170" cy="28257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jc w:val="both"/>
        <w:ind w:left="5540"/>
        <w:spacing w:after="0"/>
        <w:tabs>
          <w:tab w:leader="none" w:pos="9540" w:val="left"/>
        </w:tabs>
        <w:rPr>
          <w:sz w:val="20"/>
          <w:szCs w:val="20"/>
          <w:color w:val="auto"/>
        </w:rPr>
      </w:pPr>
      <w:r>
        <w:rPr>
          <w:rFonts w:ascii="Arial" w:cs="Arial" w:eastAsia="Arial" w:hAnsi="Arial"/>
          <w:sz w:val="16"/>
          <w:szCs w:val="16"/>
          <w:b w:val="1"/>
          <w:bCs w:val="1"/>
          <w:color w:val="auto"/>
        </w:rPr>
        <w:t>18</w:t>
      </w:r>
      <w:r>
        <w:rPr>
          <w:sz w:val="20"/>
          <w:szCs w:val="20"/>
          <w:color w:val="auto"/>
        </w:rPr>
        <w:tab/>
      </w:r>
      <w:r>
        <w:rPr>
          <w:rFonts w:ascii="Arial" w:cs="Arial" w:eastAsia="Arial" w:hAnsi="Arial"/>
          <w:sz w:val="16"/>
          <w:szCs w:val="16"/>
          <w:b w:val="1"/>
          <w:bCs w:val="1"/>
          <w:color w:val="636466"/>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-29845</wp:posOffset>
            </wp:positionV>
            <wp:extent cx="541782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342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9" w:lineRule="exact"/>
        <w:rPr>
          <w:sz w:val="20"/>
          <w:szCs w:val="20"/>
          <w:color w:val="auto"/>
        </w:rPr>
      </w:pPr>
    </w:p>
    <w:p>
      <w:pPr>
        <w:spacing w:after="0"/>
        <w:rPr>
          <w:sz w:val="20"/>
          <w:szCs w:val="20"/>
          <w:color w:val="auto"/>
        </w:rPr>
      </w:pPr>
      <w:r>
        <w:rPr>
          <w:rFonts w:ascii="Arial" w:cs="Arial" w:eastAsia="Arial" w:hAnsi="Arial"/>
          <w:sz w:val="50"/>
          <w:szCs w:val="50"/>
          <w:color w:val="0233A1"/>
        </w:rPr>
        <w:t>Corporate Governance</w:t>
      </w:r>
    </w:p>
    <w:p>
      <w:pPr>
        <w:spacing w:after="0" w:line="200" w:lineRule="exact"/>
        <w:rPr>
          <w:sz w:val="20"/>
          <w:szCs w:val="20"/>
          <w:color w:val="auto"/>
        </w:rPr>
      </w:pPr>
    </w:p>
    <w:p>
      <w:pPr>
        <w:spacing w:after="0" w:line="257"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SLB is committed to strong corporate governance, which we believe is critical to achieving our performance goals and to retaining the trust of our stakeholders. This section describes SLB’s corporate governance policies and practices that foster the Board’s effective oversight of our business strategies and operations.</w:t>
      </w:r>
    </w:p>
    <w:p>
      <w:pPr>
        <w:spacing w:after="0" w:line="126" w:lineRule="exact"/>
        <w:rPr>
          <w:sz w:val="20"/>
          <w:szCs w:val="20"/>
          <w:color w:val="auto"/>
        </w:rPr>
      </w:pPr>
    </w:p>
    <w:p>
      <w:pPr>
        <w:spacing w:after="0"/>
        <w:rPr>
          <w:sz w:val="20"/>
          <w:szCs w:val="20"/>
          <w:color w:val="auto"/>
        </w:rPr>
      </w:pPr>
      <w:r>
        <w:rPr>
          <w:rFonts w:ascii="Arial" w:cs="Arial" w:eastAsia="Arial" w:hAnsi="Arial"/>
          <w:sz w:val="29"/>
          <w:szCs w:val="29"/>
          <w:color w:val="0233A1"/>
        </w:rPr>
        <w:t>New Independent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-190500</wp:posOffset>
            </wp:positionV>
            <wp:extent cx="1525905" cy="181737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525905" cy="1817370"/>
                    </a:xfrm>
                    <a:prstGeom prst="rect">
                      <a:avLst/>
                    </a:prstGeom>
                    <a:noFill/>
                  </pic:spPr>
                </pic:pic>
              </a:graphicData>
            </a:graphic>
          </wp:anchor>
        </w:drawing>
      </w:r>
    </w:p>
    <w:p>
      <w:pPr>
        <w:spacing w:after="0" w:line="191" w:lineRule="exact"/>
        <w:rPr>
          <w:sz w:val="20"/>
          <w:szCs w:val="20"/>
          <w:color w:val="auto"/>
        </w:rPr>
      </w:pPr>
    </w:p>
    <w:p>
      <w:pPr>
        <w:jc w:val="both"/>
        <w:ind w:right="2680" w:firstLine="324"/>
        <w:spacing w:after="0" w:line="266" w:lineRule="auto"/>
        <w:rPr>
          <w:sz w:val="20"/>
          <w:szCs w:val="20"/>
          <w:color w:val="auto"/>
        </w:rPr>
      </w:pPr>
      <w:r>
        <w:rPr>
          <w:rFonts w:ascii="Arial" w:cs="Arial" w:eastAsia="Arial" w:hAnsi="Arial"/>
          <w:sz w:val="16"/>
          <w:szCs w:val="16"/>
          <w:color w:val="auto"/>
        </w:rPr>
        <w:t>In 2023, the Board concluded its multi-year board refreshment exercise with its appointment of Mr. Jim Hackett as our new independent Board Chair. Mr. Hackett succeeded Mr. Mark Papa, who served in the Board Chair role from 2019 through June 2023, overseeing the Board during a key transitional period for SLB.</w:t>
      </w:r>
    </w:p>
    <w:p>
      <w:pPr>
        <w:spacing w:after="0" w:line="50" w:lineRule="exact"/>
        <w:rPr>
          <w:sz w:val="20"/>
          <w:szCs w:val="20"/>
          <w:color w:val="auto"/>
        </w:rPr>
      </w:pPr>
    </w:p>
    <w:p>
      <w:pPr>
        <w:jc w:val="both"/>
        <w:ind w:right="2680" w:firstLine="324"/>
        <w:spacing w:after="0" w:line="259" w:lineRule="auto"/>
        <w:rPr>
          <w:sz w:val="20"/>
          <w:szCs w:val="20"/>
          <w:color w:val="auto"/>
        </w:rPr>
      </w:pPr>
      <w:r>
        <w:rPr>
          <w:rFonts w:ascii="Arial" w:cs="Arial" w:eastAsia="Arial" w:hAnsi="Arial"/>
          <w:sz w:val="16"/>
          <w:szCs w:val="16"/>
          <w:color w:val="auto"/>
        </w:rPr>
        <w:t>The Nominating and Governance Committee considered both internal and external candidates for the Chair’s role. They were impressed by Mr. Hackett’s extensive knowledge of the global energy industry, both as the former chairman and CEO of a global energy production and midstream company, and by his extensive governance and prior board chair experience at numerous public companies serving the energy industry.</w:t>
      </w:r>
    </w:p>
    <w:p>
      <w:pPr>
        <w:spacing w:after="0" w:line="56" w:lineRule="exact"/>
        <w:rPr>
          <w:sz w:val="20"/>
          <w:szCs w:val="20"/>
          <w:color w:val="auto"/>
        </w:rPr>
      </w:pPr>
    </w:p>
    <w:p>
      <w:pPr>
        <w:jc w:val="both"/>
        <w:ind w:right="2680" w:firstLine="324"/>
        <w:spacing w:after="0" w:line="266" w:lineRule="auto"/>
        <w:rPr>
          <w:sz w:val="20"/>
          <w:szCs w:val="20"/>
          <w:color w:val="auto"/>
        </w:rPr>
      </w:pPr>
      <w:r>
        <w:rPr>
          <w:rFonts w:ascii="Arial" w:cs="Arial" w:eastAsia="Arial" w:hAnsi="Arial"/>
          <w:sz w:val="16"/>
          <w:szCs w:val="16"/>
          <w:color w:val="auto"/>
        </w:rPr>
        <w:t>The Committee also reviewed SLB’s Corporate Governance Guidelines, which set limits on our directors’ outside board commitments, and determined that Mr. Hackett’s board roles at other listed companies were consistent with our Guidelines, could benefit SLB, and would not detract from his ability to devote the necessary time and attention to SLB.</w:t>
      </w:r>
    </w:p>
    <w:p>
      <w:pPr>
        <w:spacing w:after="0" w:line="200" w:lineRule="exact"/>
        <w:rPr>
          <w:sz w:val="20"/>
          <w:szCs w:val="20"/>
          <w:color w:val="auto"/>
        </w:rPr>
      </w:pPr>
    </w:p>
    <w:p>
      <w:pPr>
        <w:spacing w:after="0" w:line="214" w:lineRule="exact"/>
        <w:rPr>
          <w:sz w:val="20"/>
          <w:szCs w:val="20"/>
          <w:color w:val="auto"/>
        </w:rPr>
      </w:pPr>
    </w:p>
    <w:p>
      <w:pPr>
        <w:ind w:left="9580"/>
        <w:spacing w:after="0"/>
        <w:rPr>
          <w:sz w:val="20"/>
          <w:szCs w:val="20"/>
          <w:color w:val="auto"/>
        </w:rPr>
      </w:pPr>
      <w:r>
        <w:rPr>
          <w:rFonts w:ascii="Arial" w:cs="Arial" w:eastAsia="Arial" w:hAnsi="Arial"/>
          <w:sz w:val="16"/>
          <w:szCs w:val="16"/>
          <w:b w:val="1"/>
          <w:bCs w:val="1"/>
          <w:color w:val="0233A1"/>
        </w:rPr>
        <w:t>Jim Hackett</w:t>
      </w: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color w:val="0233A1"/>
        </w:rPr>
        <w:t>Leadership Structure</w:t>
      </w:r>
    </w:p>
    <w:p>
      <w:pPr>
        <w:spacing w:after="0" w:line="21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6"/>
          <w:szCs w:val="16"/>
          <w:color w:val="auto"/>
        </w:rPr>
        <w:t>One of the Board’s key responsibilities is to evaluate and determine an appropriate board leadership structure to provide independent oversight of SLB management. The Board believes that there is no single, generally accepted board leadership structure that is appropriate for all companies, and that the right structure may even vary for a single company as circumstances change. As a result, our independent directors, upon the recommendation of the Nominating and Governance Committee, consider the Board’s leadership structure at least annually. The Board welcomes and takes under consideration any input received from our shareholders regarding the Board’s leadership structure, and informs shareholders of any change in the Board’s leadership structure in our current Corporate Governance Guidelines that we publish on our website and describe in our annual proxy statements.</w:t>
      </w:r>
    </w:p>
    <w:p>
      <w:pPr>
        <w:spacing w:after="0" w:line="155" w:lineRule="exact"/>
        <w:rPr>
          <w:sz w:val="20"/>
          <w:szCs w:val="20"/>
          <w:color w:val="auto"/>
        </w:rPr>
      </w:pPr>
    </w:p>
    <w:p>
      <w:pPr>
        <w:jc w:val="both"/>
        <w:ind w:right="20" w:firstLine="324"/>
        <w:spacing w:after="0" w:line="266" w:lineRule="auto"/>
        <w:rPr>
          <w:sz w:val="20"/>
          <w:szCs w:val="20"/>
          <w:color w:val="auto"/>
        </w:rPr>
      </w:pPr>
      <w:r>
        <w:rPr>
          <w:rFonts w:ascii="Arial" w:cs="Arial" w:eastAsia="Arial" w:hAnsi="Arial"/>
          <w:sz w:val="16"/>
          <w:szCs w:val="16"/>
          <w:color w:val="auto"/>
        </w:rPr>
        <w:t>Since 2019, our Board has separated the roles of CEO and Board Chair, to allow our CEO to focus on leading SLB’s complex international business operations, while the Chair provides the Board with experienced and independent leadership. Mr. Hackett currently serves as independent Board Chair, and in that role, sets the agenda for and leads all Board meetings and all executive sessions of the non-executive directors.</w:t>
      </w:r>
    </w:p>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In considering its leadership structure, the Board took into account that SLB’s current governance practices provide for strong independent leadership, active participation by our independent directors, and independent evaluation of, and communication with, many members of senior management. The Board believes that its risk oversight programs would be effective under a variety of board leadership frameworks and therefore do not materially affect the Board’s choice of leadership structure.</w:t>
      </w:r>
    </w:p>
    <w:p>
      <w:pPr>
        <w:spacing w:after="0" w:line="362" w:lineRule="exact"/>
        <w:rPr>
          <w:sz w:val="20"/>
          <w:szCs w:val="20"/>
          <w:color w:val="auto"/>
        </w:rPr>
      </w:pPr>
    </w:p>
    <w:p>
      <w:pPr>
        <w:spacing w:after="0"/>
        <w:rPr>
          <w:sz w:val="20"/>
          <w:szCs w:val="20"/>
          <w:color w:val="auto"/>
        </w:rPr>
      </w:pPr>
      <w:r>
        <w:rPr>
          <w:rFonts w:ascii="Arial" w:cs="Arial" w:eastAsia="Arial" w:hAnsi="Arial"/>
          <w:sz w:val="29"/>
          <w:szCs w:val="29"/>
          <w:color w:val="0233A1"/>
        </w:rPr>
        <w:t>New SLB Code of Conduct Launched in 2023</w:t>
      </w:r>
    </w:p>
    <w:p>
      <w:pPr>
        <w:spacing w:after="0" w:line="2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6"/>
          <w:szCs w:val="16"/>
          <w:color w:val="auto"/>
        </w:rPr>
        <w:t>In April 2023, the Board approved and adopted a revised code of conduct titled “Together with Integrity — Our Code of Conduct.” The revised Code of Conduct aligns with the Company’s newly implemented cultural framework, is organized according to Company values and behaviors, and expands and re-emphasizes SLB’s core expectation for our officers, directors, employees, and suppliers to act with integrity in an evolving world. The revisions were designed to enhance the impact and relatability of the Code, providing clarity in an easily digestible style, including the addition of Integrity in Action guidance for practical application. In addition, the revised Code of Conduct emphasizes and reiterates reporting channels to help everyone feel empowered to speak up.</w:t>
      </w:r>
    </w:p>
    <w:p>
      <w:pPr>
        <w:spacing w:after="0" w:line="346"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The roll-out of the revised Code of Conduct was a global campaign of engagement across the whole SLB organization. Our CEO and Chief Legal Officer led the management team in launching the Code of Conduct through both interactive virtual and live events, including localized events around the globe designed to engage and spread awareness and training on the values and expectations of the new Code of Conduct.</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The revised Code of Conduct is available on SLB’s website at </w:t>
      </w:r>
      <w:r>
        <w:rPr>
          <w:rFonts w:ascii="Arial" w:cs="Arial" w:eastAsia="Arial" w:hAnsi="Arial"/>
          <w:sz w:val="16"/>
          <w:szCs w:val="16"/>
          <w:b w:val="1"/>
          <w:bCs w:val="1"/>
          <w:i w:val="1"/>
          <w:iCs w:val="1"/>
          <w:color w:val="auto"/>
        </w:rPr>
        <w:t>https://www.slb.com/about/who-we-are/our-code-of-conduct.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209550</wp:posOffset>
            </wp:positionV>
            <wp:extent cx="471805" cy="28257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2024 Proxy Statement</w:t>
            </w:r>
          </w:p>
        </w:tc>
        <w:tc>
          <w:tcPr>
            <w:tcW w:w="3600" w:type="dxa"/>
            <w:vAlign w:val="bottom"/>
            <w:tcBorders>
              <w:bottom w:val="single" w:sz="8" w:color="auto"/>
            </w:tcBorders>
          </w:tcPr>
          <w:p>
            <w:pPr>
              <w:spacing w:after="0"/>
              <w:rPr>
                <w:sz w:val="12"/>
                <w:szCs w:val="12"/>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19</w:t>
            </w:r>
          </w:p>
        </w:tc>
        <w:tc>
          <w:tcPr>
            <w:tcW w:w="4480" w:type="dxa"/>
            <w:vAlign w:val="bottom"/>
            <w:tcBorders>
              <w:bottom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36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48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color w:val="0233A1"/>
        </w:rPr>
        <w:t>Effective Board Oversight of Risk Management</w:t>
      </w:r>
    </w:p>
    <w:p>
      <w:pPr>
        <w:spacing w:after="0" w:line="21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Board and its committees are actively involved in overseeing SLB’s risk management. We believe that our Board composition provides SLB with robust and well-rounded experience to assist in effective oversight of SLB management, as reflected on the chart on page 12 of this proxy statement.</w:t>
      </w:r>
    </w:p>
    <w:p>
      <w:pPr>
        <w:spacing w:after="0" w:line="1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The full Board routinely assesses SLB’s major risks and mitigation measures, in order to promote our shareholders’ and other stakeholders’ interests in SLB’s business continuity, long-term resilience, financial strength, and overall success. In addition, the Board delegates to its committees responsibility for overseeing certain types of risk, as reflected in the chart below, and the committees in turn report regularly to the Board on activities in their respective areas of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8915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891540"/>
                    </a:xfrm>
                    <a:prstGeom prst="rect">
                      <a:avLst/>
                    </a:prstGeom>
                    <a:noFill/>
                  </pic:spPr>
                </pic:pic>
              </a:graphicData>
            </a:graphic>
          </wp:anchor>
        </w:drawing>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0233A1"/>
        </w:rPr>
        <w:t>Board of Directors</w:t>
      </w:r>
    </w:p>
    <w:p>
      <w:pPr>
        <w:spacing w:after="0" w:line="100" w:lineRule="exact"/>
        <w:rPr>
          <w:sz w:val="20"/>
          <w:szCs w:val="20"/>
          <w:color w:val="auto"/>
        </w:rPr>
      </w:pPr>
    </w:p>
    <w:p>
      <w:pPr>
        <w:jc w:val="both"/>
        <w:ind w:left="180" w:right="180"/>
        <w:spacing w:after="0" w:line="256" w:lineRule="auto"/>
        <w:rPr>
          <w:sz w:val="20"/>
          <w:szCs w:val="20"/>
          <w:color w:val="auto"/>
        </w:rPr>
      </w:pPr>
      <w:r>
        <w:rPr>
          <w:rFonts w:ascii="Arial" w:cs="Arial" w:eastAsia="Arial" w:hAnsi="Arial"/>
          <w:sz w:val="16"/>
          <w:szCs w:val="16"/>
          <w:color w:val="auto"/>
        </w:rPr>
        <w:t>The full Board oversees the assessment of major risks facing SLB, including determinations of the extent to which such risks are applicable, the potential impact of a risk, and the organization’s maturity in mitigating or managing the risk. The Board oversees risk management by the CEO and our senior management team, by reviewing major financial objectives, critical strategies, and long-term plans, including allocation of capital, significant proposed business acquisitions and divestitures, operating performance, and shareholder returns. See “—Enterprise Risk Management Process” on page 21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6471920" cy="271716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471920" cy="271716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382"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0233A1"/>
        </w:rPr>
        <w:t>Audit</w:t>
      </w:r>
    </w:p>
    <w:p>
      <w:pPr>
        <w:spacing w:after="0" w:line="21"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0233A1"/>
        </w:rPr>
        <w:t>Committee</w:t>
      </w:r>
    </w:p>
    <w:p>
      <w:pPr>
        <w:spacing w:after="0" w:line="259" w:lineRule="exact"/>
        <w:rPr>
          <w:sz w:val="20"/>
          <w:szCs w:val="20"/>
          <w:color w:val="auto"/>
        </w:rPr>
      </w:pPr>
    </w:p>
    <w:p>
      <w:pPr>
        <w:ind w:left="220" w:hanging="140"/>
        <w:spacing w:after="0" w:line="286" w:lineRule="auto"/>
        <w:tabs>
          <w:tab w:leader="none" w:pos="223" w:val="left"/>
        </w:tabs>
        <w:numPr>
          <w:ilvl w:val="0"/>
          <w:numId w:val="13"/>
        </w:numPr>
        <w:rPr>
          <w:rFonts w:ascii="Arial" w:cs="Arial" w:eastAsia="Arial" w:hAnsi="Arial"/>
          <w:sz w:val="16"/>
          <w:szCs w:val="16"/>
          <w:color w:val="0233A1"/>
        </w:rPr>
      </w:pPr>
      <w:r>
        <w:rPr>
          <w:rFonts w:ascii="Arial" w:cs="Arial" w:eastAsia="Arial" w:hAnsi="Arial"/>
          <w:sz w:val="16"/>
          <w:szCs w:val="16"/>
          <w:color w:val="auto"/>
        </w:rPr>
        <w:t>Financial reporting and internal controls</w:t>
      </w:r>
    </w:p>
    <w:p>
      <w:pPr>
        <w:spacing w:after="0" w:line="34" w:lineRule="exact"/>
        <w:rPr>
          <w:rFonts w:ascii="Arial" w:cs="Arial" w:eastAsia="Arial" w:hAnsi="Arial"/>
          <w:sz w:val="16"/>
          <w:szCs w:val="16"/>
          <w:color w:val="0233A1"/>
        </w:rPr>
      </w:pPr>
    </w:p>
    <w:p>
      <w:pPr>
        <w:ind w:left="220" w:right="320" w:hanging="140"/>
        <w:spacing w:after="0" w:line="286" w:lineRule="auto"/>
        <w:tabs>
          <w:tab w:leader="none" w:pos="223" w:val="left"/>
        </w:tabs>
        <w:numPr>
          <w:ilvl w:val="0"/>
          <w:numId w:val="13"/>
        </w:numPr>
        <w:rPr>
          <w:rFonts w:ascii="Arial" w:cs="Arial" w:eastAsia="Arial" w:hAnsi="Arial"/>
          <w:sz w:val="16"/>
          <w:szCs w:val="16"/>
          <w:color w:val="0233A1"/>
        </w:rPr>
      </w:pPr>
      <w:r>
        <w:rPr>
          <w:rFonts w:ascii="Arial" w:cs="Arial" w:eastAsia="Arial" w:hAnsi="Arial"/>
          <w:sz w:val="16"/>
          <w:szCs w:val="16"/>
          <w:color w:val="auto"/>
        </w:rPr>
        <w:t>Major financial risk exposures</w:t>
      </w:r>
    </w:p>
    <w:p>
      <w:pPr>
        <w:spacing w:after="0" w:line="20" w:lineRule="exact"/>
        <w:rPr>
          <w:rFonts w:ascii="Arial" w:cs="Arial" w:eastAsia="Arial" w:hAnsi="Arial"/>
          <w:sz w:val="16"/>
          <w:szCs w:val="16"/>
          <w:color w:val="0233A1"/>
        </w:rPr>
      </w:pPr>
    </w:p>
    <w:p>
      <w:pPr>
        <w:ind w:left="220" w:hanging="140"/>
        <w:spacing w:after="0"/>
        <w:tabs>
          <w:tab w:leader="none" w:pos="220" w:val="left"/>
        </w:tabs>
        <w:numPr>
          <w:ilvl w:val="0"/>
          <w:numId w:val="13"/>
        </w:numPr>
        <w:rPr>
          <w:rFonts w:ascii="Arial" w:cs="Arial" w:eastAsia="Arial" w:hAnsi="Arial"/>
          <w:sz w:val="16"/>
          <w:szCs w:val="16"/>
          <w:color w:val="0233A1"/>
        </w:rPr>
      </w:pPr>
      <w:r>
        <w:rPr>
          <w:rFonts w:ascii="Arial" w:cs="Arial" w:eastAsia="Arial" w:hAnsi="Arial"/>
          <w:sz w:val="16"/>
          <w:szCs w:val="16"/>
          <w:color w:val="auto"/>
        </w:rPr>
        <w:t>Cybersecurity risks</w:t>
      </w:r>
    </w:p>
    <w:p>
      <w:pPr>
        <w:spacing w:after="0" w:line="99" w:lineRule="exact"/>
        <w:rPr>
          <w:rFonts w:ascii="Arial" w:cs="Arial" w:eastAsia="Arial" w:hAnsi="Arial"/>
          <w:sz w:val="16"/>
          <w:szCs w:val="16"/>
          <w:color w:val="0233A1"/>
        </w:rPr>
      </w:pPr>
    </w:p>
    <w:p>
      <w:pPr>
        <w:ind w:left="220" w:right="20" w:hanging="140"/>
        <w:spacing w:after="0" w:line="286" w:lineRule="auto"/>
        <w:tabs>
          <w:tab w:leader="none" w:pos="223" w:val="left"/>
        </w:tabs>
        <w:numPr>
          <w:ilvl w:val="0"/>
          <w:numId w:val="13"/>
        </w:numPr>
        <w:rPr>
          <w:rFonts w:ascii="Arial" w:cs="Arial" w:eastAsia="Arial" w:hAnsi="Arial"/>
          <w:sz w:val="16"/>
          <w:szCs w:val="16"/>
          <w:color w:val="0233A1"/>
        </w:rPr>
      </w:pPr>
      <w:r>
        <w:rPr>
          <w:rFonts w:ascii="Arial" w:cs="Arial" w:eastAsia="Arial" w:hAnsi="Arial"/>
          <w:sz w:val="16"/>
          <w:szCs w:val="16"/>
          <w:color w:val="auto"/>
        </w:rPr>
        <w:t>Finance-related compliance allegations</w:t>
      </w:r>
    </w:p>
    <w:p>
      <w:pPr>
        <w:spacing w:after="0" w:line="34" w:lineRule="exact"/>
        <w:rPr>
          <w:rFonts w:ascii="Arial" w:cs="Arial" w:eastAsia="Arial" w:hAnsi="Arial"/>
          <w:sz w:val="16"/>
          <w:szCs w:val="16"/>
          <w:color w:val="0233A1"/>
        </w:rPr>
      </w:pPr>
    </w:p>
    <w:p>
      <w:pPr>
        <w:ind w:left="220" w:right="40" w:hanging="140"/>
        <w:spacing w:after="0" w:line="286" w:lineRule="auto"/>
        <w:tabs>
          <w:tab w:leader="none" w:pos="223" w:val="left"/>
        </w:tabs>
        <w:numPr>
          <w:ilvl w:val="0"/>
          <w:numId w:val="13"/>
        </w:numPr>
        <w:rPr>
          <w:rFonts w:ascii="Arial" w:cs="Arial" w:eastAsia="Arial" w:hAnsi="Arial"/>
          <w:sz w:val="16"/>
          <w:szCs w:val="16"/>
          <w:color w:val="0233A1"/>
        </w:rPr>
      </w:pPr>
      <w:r>
        <w:rPr>
          <w:rFonts w:ascii="Arial" w:cs="Arial" w:eastAsia="Arial" w:hAnsi="Arial"/>
          <w:sz w:val="16"/>
          <w:szCs w:val="16"/>
          <w:color w:val="auto"/>
        </w:rPr>
        <w:t>Independent audit and internal audit</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0233A1"/>
        </w:rPr>
        <w:t>Compensation</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0233A1"/>
        </w:rPr>
        <w:t>Committee</w:t>
      </w:r>
    </w:p>
    <w:p>
      <w:pPr>
        <w:spacing w:after="0" w:line="259" w:lineRule="exact"/>
        <w:rPr>
          <w:sz w:val="20"/>
          <w:szCs w:val="20"/>
          <w:color w:val="auto"/>
        </w:rPr>
      </w:pPr>
    </w:p>
    <w:p>
      <w:pPr>
        <w:ind w:left="160" w:right="60" w:hanging="153"/>
        <w:spacing w:after="0" w:line="266" w:lineRule="auto"/>
        <w:tabs>
          <w:tab w:leader="none" w:pos="163" w:val="left"/>
        </w:tabs>
        <w:numPr>
          <w:ilvl w:val="0"/>
          <w:numId w:val="14"/>
        </w:numPr>
        <w:rPr>
          <w:rFonts w:ascii="Arial" w:cs="Arial" w:eastAsia="Arial" w:hAnsi="Arial"/>
          <w:sz w:val="16"/>
          <w:szCs w:val="16"/>
          <w:color w:val="0233A1"/>
        </w:rPr>
      </w:pPr>
      <w:r>
        <w:rPr>
          <w:rFonts w:ascii="Arial" w:cs="Arial" w:eastAsia="Arial" w:hAnsi="Arial"/>
          <w:sz w:val="16"/>
          <w:szCs w:val="16"/>
          <w:color w:val="auto"/>
        </w:rPr>
        <w:t>Compensation philosophy and policy, including addressing:</w:t>
      </w:r>
    </w:p>
    <w:p>
      <w:pPr>
        <w:spacing w:after="0" w:line="49" w:lineRule="exact"/>
        <w:rPr>
          <w:rFonts w:ascii="Arial" w:cs="Arial" w:eastAsia="Arial" w:hAnsi="Arial"/>
          <w:sz w:val="16"/>
          <w:szCs w:val="16"/>
          <w:color w:val="0233A1"/>
        </w:rPr>
      </w:pPr>
    </w:p>
    <w:p>
      <w:pPr>
        <w:ind w:left="300" w:right="20" w:hanging="149"/>
        <w:spacing w:after="0" w:line="266" w:lineRule="auto"/>
        <w:tabs>
          <w:tab w:leader="none" w:pos="303" w:val="left"/>
        </w:tabs>
        <w:numPr>
          <w:ilvl w:val="1"/>
          <w:numId w:val="14"/>
        </w:numPr>
        <w:rPr>
          <w:rFonts w:ascii="Arial" w:cs="Arial" w:eastAsia="Arial" w:hAnsi="Arial"/>
          <w:sz w:val="16"/>
          <w:szCs w:val="16"/>
          <w:color w:val="0233A1"/>
        </w:rPr>
      </w:pPr>
      <w:r>
        <w:rPr>
          <w:rFonts w:ascii="Arial" w:cs="Arial" w:eastAsia="Arial" w:hAnsi="Arial"/>
          <w:sz w:val="16"/>
          <w:szCs w:val="16"/>
          <w:color w:val="auto"/>
        </w:rPr>
        <w:t>Pay-for-performance linkage and alignment to shareholder interests</w:t>
      </w:r>
    </w:p>
    <w:p>
      <w:pPr>
        <w:spacing w:after="0" w:line="36" w:lineRule="exact"/>
        <w:rPr>
          <w:rFonts w:ascii="Arial" w:cs="Arial" w:eastAsia="Arial" w:hAnsi="Arial"/>
          <w:sz w:val="16"/>
          <w:szCs w:val="16"/>
          <w:color w:val="0233A1"/>
        </w:rPr>
      </w:pPr>
    </w:p>
    <w:p>
      <w:pPr>
        <w:ind w:left="300" w:hanging="149"/>
        <w:spacing w:after="0"/>
        <w:tabs>
          <w:tab w:leader="none" w:pos="300" w:val="left"/>
        </w:tabs>
        <w:numPr>
          <w:ilvl w:val="1"/>
          <w:numId w:val="14"/>
        </w:numPr>
        <w:rPr>
          <w:rFonts w:ascii="Arial" w:cs="Arial" w:eastAsia="Arial" w:hAnsi="Arial"/>
          <w:sz w:val="16"/>
          <w:szCs w:val="16"/>
          <w:color w:val="0233A1"/>
        </w:rPr>
      </w:pPr>
      <w:r>
        <w:rPr>
          <w:rFonts w:ascii="Arial" w:cs="Arial" w:eastAsia="Arial" w:hAnsi="Arial"/>
          <w:sz w:val="16"/>
          <w:szCs w:val="16"/>
          <w:color w:val="auto"/>
        </w:rPr>
        <w:t>Retention risk</w:t>
      </w:r>
    </w:p>
    <w:p>
      <w:pPr>
        <w:spacing w:after="0" w:line="99" w:lineRule="exact"/>
        <w:rPr>
          <w:rFonts w:ascii="Arial" w:cs="Arial" w:eastAsia="Arial" w:hAnsi="Arial"/>
          <w:sz w:val="16"/>
          <w:szCs w:val="16"/>
          <w:color w:val="0233A1"/>
        </w:rPr>
      </w:pPr>
    </w:p>
    <w:p>
      <w:pPr>
        <w:ind w:left="300" w:hanging="149"/>
        <w:spacing w:after="0"/>
        <w:tabs>
          <w:tab w:leader="none" w:pos="300" w:val="left"/>
        </w:tabs>
        <w:numPr>
          <w:ilvl w:val="1"/>
          <w:numId w:val="14"/>
        </w:numPr>
        <w:rPr>
          <w:rFonts w:ascii="Arial" w:cs="Arial" w:eastAsia="Arial" w:hAnsi="Arial"/>
          <w:sz w:val="16"/>
          <w:szCs w:val="16"/>
          <w:color w:val="0233A1"/>
        </w:rPr>
      </w:pPr>
      <w:r>
        <w:rPr>
          <w:rFonts w:ascii="Arial" w:cs="Arial" w:eastAsia="Arial" w:hAnsi="Arial"/>
          <w:sz w:val="16"/>
          <w:szCs w:val="16"/>
          <w:color w:val="auto"/>
        </w:rPr>
        <w:t>Management succession</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jc w:val="center"/>
        <w:ind w:right="36"/>
        <w:spacing w:after="0"/>
        <w:rPr>
          <w:sz w:val="20"/>
          <w:szCs w:val="20"/>
          <w:color w:val="auto"/>
        </w:rPr>
      </w:pPr>
      <w:r>
        <w:rPr>
          <w:rFonts w:ascii="Arial" w:cs="Arial" w:eastAsia="Arial" w:hAnsi="Arial"/>
          <w:sz w:val="16"/>
          <w:szCs w:val="16"/>
          <w:b w:val="1"/>
          <w:bCs w:val="1"/>
          <w:color w:val="0233A1"/>
        </w:rPr>
        <w:t>Nominating and</w:t>
      </w:r>
    </w:p>
    <w:p>
      <w:pPr>
        <w:spacing w:after="0" w:line="21" w:lineRule="exact"/>
        <w:rPr>
          <w:sz w:val="20"/>
          <w:szCs w:val="20"/>
          <w:color w:val="auto"/>
        </w:rPr>
      </w:pPr>
    </w:p>
    <w:p>
      <w:pPr>
        <w:jc w:val="center"/>
        <w:ind w:right="36"/>
        <w:spacing w:after="0"/>
        <w:rPr>
          <w:sz w:val="20"/>
          <w:szCs w:val="20"/>
          <w:color w:val="auto"/>
        </w:rPr>
      </w:pPr>
      <w:r>
        <w:rPr>
          <w:rFonts w:ascii="Arial" w:cs="Arial" w:eastAsia="Arial" w:hAnsi="Arial"/>
          <w:sz w:val="16"/>
          <w:szCs w:val="16"/>
          <w:b w:val="1"/>
          <w:bCs w:val="1"/>
          <w:color w:val="0233A1"/>
        </w:rPr>
        <w:t>Governance</w:t>
      </w:r>
    </w:p>
    <w:p>
      <w:pPr>
        <w:spacing w:after="0" w:line="5" w:lineRule="exact"/>
        <w:rPr>
          <w:sz w:val="20"/>
          <w:szCs w:val="20"/>
          <w:color w:val="auto"/>
        </w:rPr>
      </w:pPr>
    </w:p>
    <w:p>
      <w:pPr>
        <w:jc w:val="center"/>
        <w:ind w:right="36"/>
        <w:spacing w:after="0"/>
        <w:rPr>
          <w:sz w:val="20"/>
          <w:szCs w:val="20"/>
          <w:color w:val="auto"/>
        </w:rPr>
      </w:pPr>
      <w:r>
        <w:rPr>
          <w:rFonts w:ascii="Arial" w:cs="Arial" w:eastAsia="Arial" w:hAnsi="Arial"/>
          <w:sz w:val="16"/>
          <w:szCs w:val="16"/>
          <w:b w:val="1"/>
          <w:bCs w:val="1"/>
          <w:color w:val="0233A1"/>
        </w:rPr>
        <w:t>Committee</w:t>
      </w:r>
    </w:p>
    <w:p>
      <w:pPr>
        <w:spacing w:after="0" w:line="84" w:lineRule="exact"/>
        <w:rPr>
          <w:sz w:val="20"/>
          <w:szCs w:val="20"/>
          <w:color w:val="auto"/>
        </w:rPr>
      </w:pPr>
    </w:p>
    <w:p>
      <w:pPr>
        <w:ind w:left="144" w:right="100" w:hanging="144"/>
        <w:spacing w:after="0" w:line="286" w:lineRule="auto"/>
        <w:tabs>
          <w:tab w:leader="none" w:pos="147" w:val="left"/>
        </w:tabs>
        <w:numPr>
          <w:ilvl w:val="0"/>
          <w:numId w:val="15"/>
        </w:numPr>
        <w:rPr>
          <w:rFonts w:ascii="Arial" w:cs="Arial" w:eastAsia="Arial" w:hAnsi="Arial"/>
          <w:sz w:val="16"/>
          <w:szCs w:val="16"/>
          <w:color w:val="0233A1"/>
        </w:rPr>
      </w:pPr>
      <w:r>
        <w:rPr>
          <w:rFonts w:ascii="Arial" w:cs="Arial" w:eastAsia="Arial" w:hAnsi="Arial"/>
          <w:sz w:val="16"/>
          <w:szCs w:val="16"/>
          <w:color w:val="auto"/>
        </w:rPr>
        <w:t>Board refreshment and Board and CEO succession</w:t>
      </w:r>
    </w:p>
    <w:p>
      <w:pPr>
        <w:spacing w:after="0" w:line="20" w:lineRule="exact"/>
        <w:rPr>
          <w:rFonts w:ascii="Arial" w:cs="Arial" w:eastAsia="Arial" w:hAnsi="Arial"/>
          <w:sz w:val="16"/>
          <w:szCs w:val="16"/>
          <w:color w:val="0233A1"/>
        </w:rPr>
      </w:pPr>
    </w:p>
    <w:p>
      <w:pPr>
        <w:ind w:left="144" w:right="40" w:hanging="144"/>
        <w:spacing w:after="0" w:line="259" w:lineRule="auto"/>
        <w:tabs>
          <w:tab w:leader="none" w:pos="147" w:val="left"/>
        </w:tabs>
        <w:numPr>
          <w:ilvl w:val="0"/>
          <w:numId w:val="15"/>
        </w:numPr>
        <w:rPr>
          <w:rFonts w:ascii="Arial" w:cs="Arial" w:eastAsia="Arial" w:hAnsi="Arial"/>
          <w:sz w:val="16"/>
          <w:szCs w:val="16"/>
          <w:color w:val="0233A1"/>
        </w:rPr>
      </w:pPr>
      <w:r>
        <w:rPr>
          <w:rFonts w:ascii="Arial" w:cs="Arial" w:eastAsia="Arial" w:hAnsi="Arial"/>
          <w:sz w:val="16"/>
          <w:szCs w:val="16"/>
          <w:color w:val="auto"/>
        </w:rPr>
        <w:t>Ethics and compliance risks, including trade compliance and anti-bribery, and significant allegations</w:t>
      </w:r>
    </w:p>
    <w:p>
      <w:pPr>
        <w:spacing w:after="0" w:line="56" w:lineRule="exact"/>
        <w:rPr>
          <w:rFonts w:ascii="Arial" w:cs="Arial" w:eastAsia="Arial" w:hAnsi="Arial"/>
          <w:sz w:val="16"/>
          <w:szCs w:val="16"/>
          <w:color w:val="0233A1"/>
        </w:rPr>
      </w:pPr>
    </w:p>
    <w:p>
      <w:pPr>
        <w:ind w:left="144" w:hanging="144"/>
        <w:spacing w:after="0"/>
        <w:tabs>
          <w:tab w:leader="none" w:pos="144" w:val="left"/>
        </w:tabs>
        <w:numPr>
          <w:ilvl w:val="0"/>
          <w:numId w:val="15"/>
        </w:numPr>
        <w:rPr>
          <w:rFonts w:ascii="Arial" w:cs="Arial" w:eastAsia="Arial" w:hAnsi="Arial"/>
          <w:sz w:val="16"/>
          <w:szCs w:val="16"/>
          <w:color w:val="0233A1"/>
        </w:rPr>
      </w:pPr>
      <w:r>
        <w:rPr>
          <w:rFonts w:ascii="Arial" w:cs="Arial" w:eastAsia="Arial" w:hAnsi="Arial"/>
          <w:sz w:val="16"/>
          <w:szCs w:val="16"/>
          <w:color w:val="auto"/>
        </w:rPr>
        <w:t>Related person transactions</w:t>
      </w:r>
    </w:p>
    <w:p>
      <w:pPr>
        <w:spacing w:after="0" w:line="99" w:lineRule="exact"/>
        <w:rPr>
          <w:rFonts w:ascii="Arial" w:cs="Arial" w:eastAsia="Arial" w:hAnsi="Arial"/>
          <w:sz w:val="16"/>
          <w:szCs w:val="16"/>
          <w:color w:val="0233A1"/>
        </w:rPr>
      </w:pPr>
    </w:p>
    <w:p>
      <w:pPr>
        <w:ind w:left="144" w:hanging="144"/>
        <w:spacing w:after="0" w:line="254" w:lineRule="auto"/>
        <w:tabs>
          <w:tab w:leader="none" w:pos="147" w:val="left"/>
        </w:tabs>
        <w:numPr>
          <w:ilvl w:val="0"/>
          <w:numId w:val="15"/>
        </w:numPr>
        <w:rPr>
          <w:rFonts w:ascii="Arial" w:cs="Arial" w:eastAsia="Arial" w:hAnsi="Arial"/>
          <w:sz w:val="16"/>
          <w:szCs w:val="16"/>
          <w:color w:val="0233A1"/>
        </w:rPr>
      </w:pPr>
      <w:r>
        <w:rPr>
          <w:rFonts w:ascii="Arial" w:cs="Arial" w:eastAsia="Arial" w:hAnsi="Arial"/>
          <w:sz w:val="16"/>
          <w:szCs w:val="16"/>
          <w:color w:val="auto"/>
        </w:rPr>
        <w:t>Effectiveness of sustainability program, including short- and long-term climate risks and progress toward our net zero ambition</w:t>
      </w:r>
    </w:p>
    <w:p>
      <w:pPr>
        <w:spacing w:after="0" w:line="46" w:lineRule="exact"/>
        <w:rPr>
          <w:rFonts w:ascii="Arial" w:cs="Arial" w:eastAsia="Arial" w:hAnsi="Arial"/>
          <w:sz w:val="16"/>
          <w:szCs w:val="16"/>
          <w:color w:val="0233A1"/>
        </w:rPr>
      </w:pPr>
    </w:p>
    <w:p>
      <w:pPr>
        <w:ind w:left="144" w:right="400" w:hanging="144"/>
        <w:spacing w:after="0" w:line="286" w:lineRule="auto"/>
        <w:tabs>
          <w:tab w:leader="none" w:pos="147" w:val="left"/>
        </w:tabs>
        <w:numPr>
          <w:ilvl w:val="0"/>
          <w:numId w:val="15"/>
        </w:numPr>
        <w:rPr>
          <w:rFonts w:ascii="Arial" w:cs="Arial" w:eastAsia="Arial" w:hAnsi="Arial"/>
          <w:sz w:val="16"/>
          <w:szCs w:val="16"/>
          <w:color w:val="0233A1"/>
        </w:rPr>
      </w:pPr>
      <w:r>
        <w:rPr>
          <w:rFonts w:ascii="Arial" w:cs="Arial" w:eastAsia="Arial" w:hAnsi="Arial"/>
          <w:sz w:val="16"/>
          <w:szCs w:val="16"/>
          <w:color w:val="auto"/>
        </w:rPr>
        <w:t>Effectiveness of human rights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-2900045</wp:posOffset>
            </wp:positionH>
            <wp:positionV relativeFrom="paragraph">
              <wp:posOffset>184785</wp:posOffset>
            </wp:positionV>
            <wp:extent cx="7132320" cy="86550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8655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160" w:type="dxa"/>
            <w:vAlign w:val="bottom"/>
            <w:shd w:val="clear" w:color="auto" w:fill="ECEDEE"/>
          </w:tcPr>
          <w:p>
            <w:pPr>
              <w:spacing w:after="0"/>
              <w:rPr>
                <w:sz w:val="23"/>
                <w:szCs w:val="23"/>
                <w:color w:val="auto"/>
              </w:rPr>
            </w:pPr>
          </w:p>
        </w:tc>
        <w:tc>
          <w:tcPr>
            <w:tcW w:w="1920" w:type="dxa"/>
            <w:vAlign w:val="bottom"/>
            <w:shd w:val="clear" w:color="auto" w:fill="ECEDEE"/>
          </w:tcPr>
          <w:p>
            <w:pPr>
              <w:ind w:left="560"/>
              <w:spacing w:after="0"/>
              <w:rPr>
                <w:sz w:val="20"/>
                <w:szCs w:val="20"/>
                <w:color w:val="auto"/>
              </w:rPr>
            </w:pPr>
            <w:r>
              <w:rPr>
                <w:rFonts w:ascii="Arial" w:cs="Arial" w:eastAsia="Arial" w:hAnsi="Arial"/>
                <w:sz w:val="16"/>
                <w:szCs w:val="16"/>
                <w:b w:val="1"/>
                <w:bCs w:val="1"/>
                <w:color w:val="0233A1"/>
              </w:rPr>
              <w:t>Finance</w:t>
            </w:r>
          </w:p>
        </w:tc>
        <w:tc>
          <w:tcPr>
            <w:tcW w:w="100" w:type="dxa"/>
            <w:vAlign w:val="bottom"/>
          </w:tcPr>
          <w:p>
            <w:pPr>
              <w:spacing w:after="0"/>
              <w:rPr>
                <w:sz w:val="23"/>
                <w:szCs w:val="23"/>
                <w:color w:val="auto"/>
              </w:rPr>
            </w:pPr>
          </w:p>
        </w:tc>
        <w:tc>
          <w:tcPr>
            <w:tcW w:w="2120" w:type="dxa"/>
            <w:vAlign w:val="bottom"/>
            <w:shd w:val="clear" w:color="auto" w:fill="ECEDEE"/>
          </w:tcPr>
          <w:p>
            <w:pPr>
              <w:ind w:left="420"/>
              <w:spacing w:after="0"/>
              <w:rPr>
                <w:sz w:val="20"/>
                <w:szCs w:val="20"/>
                <w:color w:val="auto"/>
              </w:rPr>
            </w:pPr>
            <w:r>
              <w:rPr>
                <w:rFonts w:ascii="Arial" w:cs="Arial" w:eastAsia="Arial" w:hAnsi="Arial"/>
                <w:sz w:val="16"/>
                <w:szCs w:val="16"/>
                <w:b w:val="1"/>
                <w:bCs w:val="1"/>
                <w:color w:val="0233A1"/>
              </w:rPr>
              <w:t>New Energy and</w:t>
            </w:r>
          </w:p>
        </w:tc>
        <w:tc>
          <w:tcPr>
            <w:tcW w:w="0" w:type="dxa"/>
            <w:vAlign w:val="bottom"/>
          </w:tcPr>
          <w:p>
            <w:pPr>
              <w:spacing w:after="0"/>
              <w:rPr>
                <w:sz w:val="1"/>
                <w:szCs w:val="1"/>
                <w:color w:val="auto"/>
              </w:rPr>
            </w:pPr>
          </w:p>
        </w:tc>
      </w:tr>
      <w:tr>
        <w:trPr>
          <w:trHeight w:val="223"/>
        </w:trPr>
        <w:tc>
          <w:tcPr>
            <w:tcW w:w="160" w:type="dxa"/>
            <w:vAlign w:val="bottom"/>
            <w:shd w:val="clear" w:color="auto" w:fill="ECEDEE"/>
          </w:tcPr>
          <w:p>
            <w:pPr>
              <w:spacing w:after="0"/>
              <w:rPr>
                <w:sz w:val="19"/>
                <w:szCs w:val="19"/>
                <w:color w:val="auto"/>
              </w:rPr>
            </w:pPr>
          </w:p>
        </w:tc>
        <w:tc>
          <w:tcPr>
            <w:tcW w:w="1920" w:type="dxa"/>
            <w:vAlign w:val="bottom"/>
            <w:shd w:val="clear" w:color="auto" w:fill="ECEDEE"/>
          </w:tcPr>
          <w:p>
            <w:pPr>
              <w:ind w:left="460"/>
              <w:spacing w:after="0"/>
              <w:rPr>
                <w:sz w:val="20"/>
                <w:szCs w:val="20"/>
                <w:color w:val="auto"/>
              </w:rPr>
            </w:pPr>
            <w:r>
              <w:rPr>
                <w:rFonts w:ascii="Arial" w:cs="Arial" w:eastAsia="Arial" w:hAnsi="Arial"/>
                <w:sz w:val="16"/>
                <w:szCs w:val="16"/>
                <w:b w:val="1"/>
                <w:bCs w:val="1"/>
                <w:color w:val="0233A1"/>
              </w:rPr>
              <w:t>Committee</w:t>
            </w:r>
          </w:p>
        </w:tc>
        <w:tc>
          <w:tcPr>
            <w:tcW w:w="100" w:type="dxa"/>
            <w:vAlign w:val="bottom"/>
          </w:tcPr>
          <w:p>
            <w:pPr>
              <w:spacing w:after="0"/>
              <w:rPr>
                <w:sz w:val="19"/>
                <w:szCs w:val="19"/>
                <w:color w:val="auto"/>
              </w:rPr>
            </w:pPr>
          </w:p>
        </w:tc>
        <w:tc>
          <w:tcPr>
            <w:tcW w:w="2120" w:type="dxa"/>
            <w:vAlign w:val="bottom"/>
            <w:shd w:val="clear" w:color="auto" w:fill="ECEDEE"/>
          </w:tcPr>
          <w:p>
            <w:pPr>
              <w:ind w:left="280"/>
              <w:spacing w:after="0"/>
              <w:rPr>
                <w:sz w:val="20"/>
                <w:szCs w:val="20"/>
                <w:color w:val="auto"/>
              </w:rPr>
            </w:pPr>
            <w:r>
              <w:rPr>
                <w:rFonts w:ascii="Arial" w:cs="Arial" w:eastAsia="Arial" w:hAnsi="Arial"/>
                <w:sz w:val="16"/>
                <w:szCs w:val="16"/>
                <w:b w:val="1"/>
                <w:bCs w:val="1"/>
                <w:color w:val="0233A1"/>
              </w:rPr>
              <w:t>Innovation Committee</w:t>
            </w:r>
          </w:p>
        </w:tc>
        <w:tc>
          <w:tcPr>
            <w:tcW w:w="0" w:type="dxa"/>
            <w:vAlign w:val="bottom"/>
          </w:tcPr>
          <w:p>
            <w:pPr>
              <w:spacing w:after="0"/>
              <w:rPr>
                <w:sz w:val="1"/>
                <w:szCs w:val="1"/>
                <w:color w:val="auto"/>
              </w:rPr>
            </w:pPr>
          </w:p>
        </w:tc>
      </w:tr>
      <w:tr>
        <w:trPr>
          <w:trHeight w:val="425"/>
        </w:trPr>
        <w:tc>
          <w:tcPr>
            <w:tcW w:w="2080" w:type="dxa"/>
            <w:vAlign w:val="bottom"/>
            <w:gridSpan w:val="2"/>
            <w:shd w:val="clear" w:color="auto" w:fill="ECEDEE"/>
          </w:tcPr>
          <w:p>
            <w:pPr>
              <w:ind w:left="60"/>
              <w:spacing w:after="0"/>
              <w:rPr>
                <w:sz w:val="20"/>
                <w:szCs w:val="20"/>
                <w:color w:val="auto"/>
              </w:rPr>
            </w:pPr>
            <w:r>
              <w:rPr>
                <w:rFonts w:ascii="Arial" w:cs="Arial" w:eastAsia="Arial" w:hAnsi="Arial"/>
                <w:sz w:val="16"/>
                <w:szCs w:val="16"/>
                <w:color w:val="0233A1"/>
              </w:rPr>
              <w:t xml:space="preserve">• </w:t>
            </w:r>
            <w:r>
              <w:rPr>
                <w:rFonts w:ascii="Arial" w:cs="Arial" w:eastAsia="Arial" w:hAnsi="Arial"/>
                <w:sz w:val="16"/>
                <w:szCs w:val="16"/>
                <w:color w:val="000000"/>
              </w:rPr>
              <w:t>Appropriate leverage and</w:t>
            </w:r>
          </w:p>
        </w:tc>
        <w:tc>
          <w:tcPr>
            <w:tcW w:w="100" w:type="dxa"/>
            <w:vAlign w:val="bottom"/>
          </w:tcPr>
          <w:p>
            <w:pPr>
              <w:spacing w:after="0"/>
              <w:rPr>
                <w:sz w:val="24"/>
                <w:szCs w:val="24"/>
                <w:color w:val="auto"/>
              </w:rPr>
            </w:pPr>
          </w:p>
        </w:tc>
        <w:tc>
          <w:tcPr>
            <w:tcW w:w="2120" w:type="dxa"/>
            <w:vAlign w:val="bottom"/>
            <w:shd w:val="clear" w:color="auto" w:fill="ECEDEE"/>
          </w:tcPr>
          <w:p>
            <w:pPr>
              <w:ind w:left="80"/>
              <w:spacing w:after="0"/>
              <w:rPr>
                <w:sz w:val="20"/>
                <w:szCs w:val="20"/>
                <w:color w:val="auto"/>
              </w:rPr>
            </w:pPr>
            <w:r>
              <w:rPr>
                <w:rFonts w:ascii="Arial" w:cs="Arial" w:eastAsia="Arial" w:hAnsi="Arial"/>
                <w:sz w:val="16"/>
                <w:szCs w:val="16"/>
                <w:color w:val="0233A1"/>
              </w:rPr>
              <w:t xml:space="preserve">• </w:t>
            </w:r>
            <w:r>
              <w:rPr>
                <w:rFonts w:ascii="Arial" w:cs="Arial" w:eastAsia="Arial" w:hAnsi="Arial"/>
                <w:sz w:val="16"/>
                <w:szCs w:val="16"/>
                <w:color w:val="000000"/>
              </w:rPr>
              <w:t>Critical risks and</w:t>
            </w:r>
          </w:p>
        </w:tc>
        <w:tc>
          <w:tcPr>
            <w:tcW w:w="0" w:type="dxa"/>
            <w:vAlign w:val="bottom"/>
          </w:tcPr>
          <w:p>
            <w:pPr>
              <w:spacing w:after="0"/>
              <w:rPr>
                <w:sz w:val="1"/>
                <w:szCs w:val="1"/>
                <w:color w:val="auto"/>
              </w:rPr>
            </w:pPr>
          </w:p>
        </w:tc>
      </w:tr>
      <w:tr>
        <w:trPr>
          <w:trHeight w:val="215"/>
        </w:trPr>
        <w:tc>
          <w:tcPr>
            <w:tcW w:w="160" w:type="dxa"/>
            <w:vAlign w:val="bottom"/>
            <w:shd w:val="clear" w:color="auto" w:fill="ECEDEE"/>
          </w:tcPr>
          <w:p>
            <w:pPr>
              <w:spacing w:after="0"/>
              <w:rPr>
                <w:sz w:val="18"/>
                <w:szCs w:val="18"/>
                <w:color w:val="auto"/>
              </w:rPr>
            </w:pPr>
          </w:p>
        </w:tc>
        <w:tc>
          <w:tcPr>
            <w:tcW w:w="1920" w:type="dxa"/>
            <w:vAlign w:val="bottom"/>
            <w:shd w:val="clear" w:color="auto" w:fill="ECEDEE"/>
          </w:tcPr>
          <w:p>
            <w:pPr>
              <w:ind w:left="40"/>
              <w:spacing w:after="0"/>
              <w:rPr>
                <w:sz w:val="20"/>
                <w:szCs w:val="20"/>
                <w:color w:val="auto"/>
              </w:rPr>
            </w:pPr>
            <w:r>
              <w:rPr>
                <w:rFonts w:ascii="Arial" w:cs="Arial" w:eastAsia="Arial" w:hAnsi="Arial"/>
                <w:sz w:val="16"/>
                <w:szCs w:val="16"/>
                <w:color w:val="auto"/>
              </w:rPr>
              <w:t>related commitments</w:t>
            </w:r>
          </w:p>
        </w:tc>
        <w:tc>
          <w:tcPr>
            <w:tcW w:w="100" w:type="dxa"/>
            <w:vAlign w:val="bottom"/>
          </w:tcPr>
          <w:p>
            <w:pPr>
              <w:spacing w:after="0"/>
              <w:rPr>
                <w:sz w:val="18"/>
                <w:szCs w:val="18"/>
                <w:color w:val="auto"/>
              </w:rPr>
            </w:pPr>
          </w:p>
        </w:tc>
        <w:tc>
          <w:tcPr>
            <w:tcW w:w="2120" w:type="dxa"/>
            <w:vAlign w:val="bottom"/>
            <w:shd w:val="clear" w:color="auto" w:fill="ECEDEE"/>
          </w:tcPr>
          <w:p>
            <w:pPr>
              <w:ind w:left="220"/>
              <w:spacing w:after="0"/>
              <w:rPr>
                <w:sz w:val="20"/>
                <w:szCs w:val="20"/>
                <w:color w:val="auto"/>
              </w:rPr>
            </w:pPr>
            <w:r>
              <w:rPr>
                <w:rFonts w:ascii="Arial" w:cs="Arial" w:eastAsia="Arial" w:hAnsi="Arial"/>
                <w:sz w:val="16"/>
                <w:szCs w:val="16"/>
                <w:color w:val="auto"/>
              </w:rPr>
              <w:t>opportunities of:</w:t>
            </w:r>
          </w:p>
        </w:tc>
        <w:tc>
          <w:tcPr>
            <w:tcW w:w="0" w:type="dxa"/>
            <w:vAlign w:val="bottom"/>
          </w:tcPr>
          <w:p>
            <w:pPr>
              <w:spacing w:after="0"/>
              <w:rPr>
                <w:sz w:val="1"/>
                <w:szCs w:val="1"/>
                <w:color w:val="auto"/>
              </w:rPr>
            </w:pPr>
          </w:p>
        </w:tc>
      </w:tr>
      <w:tr>
        <w:trPr>
          <w:trHeight w:val="258"/>
        </w:trPr>
        <w:tc>
          <w:tcPr>
            <w:tcW w:w="2080" w:type="dxa"/>
            <w:vAlign w:val="bottom"/>
            <w:gridSpan w:val="2"/>
            <w:shd w:val="clear" w:color="auto" w:fill="ECEDEE"/>
          </w:tcPr>
          <w:p>
            <w:pPr>
              <w:ind w:left="60"/>
              <w:spacing w:after="0"/>
              <w:rPr>
                <w:sz w:val="20"/>
                <w:szCs w:val="20"/>
                <w:color w:val="auto"/>
              </w:rPr>
            </w:pPr>
            <w:r>
              <w:rPr>
                <w:rFonts w:ascii="Arial" w:cs="Arial" w:eastAsia="Arial" w:hAnsi="Arial"/>
                <w:sz w:val="16"/>
                <w:szCs w:val="16"/>
                <w:color w:val="0233A1"/>
              </w:rPr>
              <w:t xml:space="preserve">• </w:t>
            </w:r>
            <w:r>
              <w:rPr>
                <w:rFonts w:ascii="Arial" w:cs="Arial" w:eastAsia="Arial" w:hAnsi="Arial"/>
                <w:sz w:val="16"/>
                <w:szCs w:val="16"/>
                <w:color w:val="000000"/>
              </w:rPr>
              <w:t>Currency management,</w:t>
            </w:r>
          </w:p>
        </w:tc>
        <w:tc>
          <w:tcPr>
            <w:tcW w:w="100" w:type="dxa"/>
            <w:vAlign w:val="bottom"/>
          </w:tcPr>
          <w:p>
            <w:pPr>
              <w:spacing w:after="0"/>
              <w:rPr>
                <w:sz w:val="22"/>
                <w:szCs w:val="22"/>
                <w:color w:val="auto"/>
              </w:rPr>
            </w:pPr>
          </w:p>
        </w:tc>
        <w:tc>
          <w:tcPr>
            <w:tcW w:w="2120" w:type="dxa"/>
            <w:vAlign w:val="bottom"/>
            <w:shd w:val="clear" w:color="auto" w:fill="ECEDEE"/>
          </w:tcPr>
          <w:p>
            <w:pPr>
              <w:ind w:left="220"/>
              <w:spacing w:after="0"/>
              <w:rPr>
                <w:sz w:val="20"/>
                <w:szCs w:val="20"/>
                <w:color w:val="auto"/>
              </w:rPr>
            </w:pPr>
            <w:r>
              <w:rPr>
                <w:rFonts w:ascii="Arial" w:cs="Arial" w:eastAsia="Arial" w:hAnsi="Arial"/>
                <w:sz w:val="16"/>
                <w:szCs w:val="16"/>
                <w:color w:val="0233A1"/>
              </w:rPr>
              <w:t xml:space="preserve">• </w:t>
            </w:r>
            <w:r>
              <w:rPr>
                <w:rFonts w:ascii="Arial" w:cs="Arial" w:eastAsia="Arial" w:hAnsi="Arial"/>
                <w:sz w:val="16"/>
                <w:szCs w:val="16"/>
                <w:color w:val="000000"/>
              </w:rPr>
              <w:t>Targeted new energy</w:t>
            </w:r>
          </w:p>
        </w:tc>
        <w:tc>
          <w:tcPr>
            <w:tcW w:w="0" w:type="dxa"/>
            <w:vAlign w:val="bottom"/>
          </w:tcPr>
          <w:p>
            <w:pPr>
              <w:spacing w:after="0"/>
              <w:rPr>
                <w:sz w:val="1"/>
                <w:szCs w:val="1"/>
                <w:color w:val="auto"/>
              </w:rPr>
            </w:pPr>
          </w:p>
        </w:tc>
      </w:tr>
      <w:tr>
        <w:trPr>
          <w:trHeight w:val="189"/>
        </w:trPr>
        <w:tc>
          <w:tcPr>
            <w:tcW w:w="160" w:type="dxa"/>
            <w:vAlign w:val="bottom"/>
            <w:shd w:val="clear" w:color="auto" w:fill="ECEDEE"/>
          </w:tcPr>
          <w:p>
            <w:pPr>
              <w:spacing w:after="0"/>
              <w:rPr>
                <w:sz w:val="16"/>
                <w:szCs w:val="16"/>
                <w:color w:val="auto"/>
              </w:rPr>
            </w:pPr>
          </w:p>
        </w:tc>
        <w:tc>
          <w:tcPr>
            <w:tcW w:w="1920" w:type="dxa"/>
            <w:vAlign w:val="bottom"/>
            <w:shd w:val="clear" w:color="auto" w:fill="ECEDEE"/>
          </w:tcPr>
          <w:p>
            <w:pPr>
              <w:ind w:left="40"/>
              <w:spacing w:after="0"/>
              <w:rPr>
                <w:sz w:val="20"/>
                <w:szCs w:val="20"/>
                <w:color w:val="auto"/>
              </w:rPr>
            </w:pPr>
            <w:r>
              <w:rPr>
                <w:rFonts w:ascii="Arial" w:cs="Arial" w:eastAsia="Arial" w:hAnsi="Arial"/>
                <w:sz w:val="16"/>
                <w:szCs w:val="16"/>
                <w:color w:val="auto"/>
              </w:rPr>
              <w:t>including non-U.S.</w:t>
            </w:r>
          </w:p>
        </w:tc>
        <w:tc>
          <w:tcPr>
            <w:tcW w:w="100" w:type="dxa"/>
            <w:vAlign w:val="bottom"/>
          </w:tcPr>
          <w:p>
            <w:pPr>
              <w:spacing w:after="0"/>
              <w:rPr>
                <w:sz w:val="16"/>
                <w:szCs w:val="16"/>
                <w:color w:val="auto"/>
              </w:rPr>
            </w:pPr>
          </w:p>
        </w:tc>
        <w:tc>
          <w:tcPr>
            <w:tcW w:w="2120" w:type="dxa"/>
            <w:vAlign w:val="bottom"/>
            <w:shd w:val="clear" w:color="auto" w:fill="ECEDEE"/>
          </w:tcPr>
          <w:p>
            <w:pPr>
              <w:ind w:left="360"/>
              <w:spacing w:after="0"/>
              <w:rPr>
                <w:sz w:val="20"/>
                <w:szCs w:val="20"/>
                <w:color w:val="auto"/>
              </w:rPr>
            </w:pPr>
            <w:r>
              <w:rPr>
                <w:rFonts w:ascii="Arial" w:cs="Arial" w:eastAsia="Arial" w:hAnsi="Arial"/>
                <w:sz w:val="16"/>
                <w:szCs w:val="16"/>
                <w:color w:val="auto"/>
              </w:rPr>
              <w:t>sectors</w:t>
            </w:r>
          </w:p>
        </w:tc>
        <w:tc>
          <w:tcPr>
            <w:tcW w:w="0" w:type="dxa"/>
            <w:vAlign w:val="bottom"/>
          </w:tcPr>
          <w:p>
            <w:pPr>
              <w:spacing w:after="0"/>
              <w:rPr>
                <w:sz w:val="1"/>
                <w:szCs w:val="1"/>
                <w:color w:val="auto"/>
              </w:rPr>
            </w:pPr>
          </w:p>
        </w:tc>
      </w:tr>
      <w:tr>
        <w:trPr>
          <w:trHeight w:val="215"/>
        </w:trPr>
        <w:tc>
          <w:tcPr>
            <w:tcW w:w="160" w:type="dxa"/>
            <w:vAlign w:val="bottom"/>
            <w:shd w:val="clear" w:color="auto" w:fill="ECEDEE"/>
          </w:tcPr>
          <w:p>
            <w:pPr>
              <w:spacing w:after="0"/>
              <w:rPr>
                <w:sz w:val="18"/>
                <w:szCs w:val="18"/>
                <w:color w:val="auto"/>
              </w:rPr>
            </w:pPr>
          </w:p>
        </w:tc>
        <w:tc>
          <w:tcPr>
            <w:tcW w:w="1920" w:type="dxa"/>
            <w:vAlign w:val="bottom"/>
            <w:shd w:val="clear" w:color="auto" w:fill="ECEDEE"/>
          </w:tcPr>
          <w:p>
            <w:pPr>
              <w:ind w:left="40"/>
              <w:spacing w:after="0"/>
              <w:rPr>
                <w:sz w:val="20"/>
                <w:szCs w:val="20"/>
                <w:color w:val="auto"/>
              </w:rPr>
            </w:pPr>
            <w:r>
              <w:rPr>
                <w:rFonts w:ascii="Arial" w:cs="Arial" w:eastAsia="Arial" w:hAnsi="Arial"/>
                <w:sz w:val="16"/>
                <w:szCs w:val="16"/>
                <w:color w:val="auto"/>
              </w:rPr>
              <w:t>currency fluctuation</w:t>
            </w:r>
          </w:p>
        </w:tc>
        <w:tc>
          <w:tcPr>
            <w:tcW w:w="100" w:type="dxa"/>
            <w:vAlign w:val="bottom"/>
          </w:tcPr>
          <w:p>
            <w:pPr>
              <w:spacing w:after="0"/>
              <w:rPr>
                <w:sz w:val="18"/>
                <w:szCs w:val="18"/>
                <w:color w:val="auto"/>
              </w:rPr>
            </w:pPr>
          </w:p>
        </w:tc>
        <w:tc>
          <w:tcPr>
            <w:tcW w:w="2120" w:type="dxa"/>
            <w:vAlign w:val="bottom"/>
            <w:vMerge w:val="restart"/>
            <w:shd w:val="clear" w:color="auto" w:fill="ECEDEE"/>
          </w:tcPr>
          <w:p>
            <w:pPr>
              <w:ind w:left="220"/>
              <w:spacing w:after="0"/>
              <w:rPr>
                <w:sz w:val="20"/>
                <w:szCs w:val="20"/>
                <w:color w:val="auto"/>
              </w:rPr>
            </w:pPr>
            <w:r>
              <w:rPr>
                <w:rFonts w:ascii="Arial" w:cs="Arial" w:eastAsia="Arial" w:hAnsi="Arial"/>
                <w:sz w:val="16"/>
                <w:szCs w:val="16"/>
                <w:color w:val="0233A1"/>
              </w:rPr>
              <w:t xml:space="preserve">• </w:t>
            </w:r>
            <w:r>
              <w:rPr>
                <w:rFonts w:ascii="Arial" w:cs="Arial" w:eastAsia="Arial" w:hAnsi="Arial"/>
                <w:sz w:val="16"/>
                <w:szCs w:val="16"/>
                <w:color w:val="000000"/>
              </w:rPr>
              <w:t>Critical innovation</w:t>
            </w:r>
          </w:p>
        </w:tc>
        <w:tc>
          <w:tcPr>
            <w:tcW w:w="0" w:type="dxa"/>
            <w:vAlign w:val="bottom"/>
          </w:tcPr>
          <w:p>
            <w:pPr>
              <w:spacing w:after="0"/>
              <w:rPr>
                <w:sz w:val="1"/>
                <w:szCs w:val="1"/>
                <w:color w:val="auto"/>
              </w:rPr>
            </w:pPr>
          </w:p>
        </w:tc>
      </w:tr>
      <w:tr>
        <w:trPr>
          <w:trHeight w:val="55"/>
        </w:trPr>
        <w:tc>
          <w:tcPr>
            <w:tcW w:w="160" w:type="dxa"/>
            <w:vAlign w:val="bottom"/>
            <w:shd w:val="clear" w:color="auto" w:fill="ECEDEE"/>
          </w:tcPr>
          <w:p>
            <w:pPr>
              <w:spacing w:after="0"/>
              <w:rPr>
                <w:sz w:val="4"/>
                <w:szCs w:val="4"/>
                <w:color w:val="auto"/>
              </w:rPr>
            </w:pPr>
          </w:p>
        </w:tc>
        <w:tc>
          <w:tcPr>
            <w:tcW w:w="1920" w:type="dxa"/>
            <w:vAlign w:val="bottom"/>
            <w:shd w:val="clear" w:color="auto" w:fill="ECEDEE"/>
          </w:tcPr>
          <w:p>
            <w:pPr>
              <w:spacing w:after="0"/>
              <w:rPr>
                <w:sz w:val="4"/>
                <w:szCs w:val="4"/>
                <w:color w:val="auto"/>
              </w:rPr>
            </w:pPr>
          </w:p>
        </w:tc>
        <w:tc>
          <w:tcPr>
            <w:tcW w:w="100" w:type="dxa"/>
            <w:vAlign w:val="bottom"/>
          </w:tcPr>
          <w:p>
            <w:pPr>
              <w:spacing w:after="0"/>
              <w:rPr>
                <w:sz w:val="4"/>
                <w:szCs w:val="4"/>
                <w:color w:val="auto"/>
              </w:rPr>
            </w:pPr>
          </w:p>
        </w:tc>
        <w:tc>
          <w:tcPr>
            <w:tcW w:w="2120" w:type="dxa"/>
            <w:vAlign w:val="bottom"/>
            <w:vMerge w:val="continue"/>
            <w:shd w:val="clear" w:color="auto" w:fill="ECEDE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60" w:type="dxa"/>
            <w:vAlign w:val="bottom"/>
            <w:shd w:val="clear" w:color="auto" w:fill="ECEDEE"/>
          </w:tcPr>
          <w:p>
            <w:pPr>
              <w:ind w:left="60"/>
              <w:spacing w:after="0"/>
              <w:rPr>
                <w:sz w:val="20"/>
                <w:szCs w:val="20"/>
                <w:color w:val="auto"/>
              </w:rPr>
            </w:pPr>
            <w:r>
              <w:rPr>
                <w:rFonts w:ascii="Arial" w:cs="Arial" w:eastAsia="Arial" w:hAnsi="Arial"/>
                <w:sz w:val="16"/>
                <w:szCs w:val="16"/>
                <w:color w:val="0233A1"/>
              </w:rPr>
              <w:t>•</w:t>
            </w:r>
          </w:p>
        </w:tc>
        <w:tc>
          <w:tcPr>
            <w:tcW w:w="1920" w:type="dxa"/>
            <w:vAlign w:val="bottom"/>
            <w:shd w:val="clear" w:color="auto" w:fill="ECEDEE"/>
          </w:tcPr>
          <w:p>
            <w:pPr>
              <w:ind w:left="60"/>
              <w:spacing w:after="0"/>
              <w:rPr>
                <w:sz w:val="20"/>
                <w:szCs w:val="20"/>
                <w:color w:val="auto"/>
              </w:rPr>
            </w:pPr>
            <w:r>
              <w:rPr>
                <w:rFonts w:ascii="Arial" w:cs="Arial" w:eastAsia="Arial" w:hAnsi="Arial"/>
                <w:sz w:val="16"/>
                <w:szCs w:val="16"/>
                <w:color w:val="auto"/>
              </w:rPr>
              <w:t>Financial risks related to</w:t>
            </w:r>
          </w:p>
        </w:tc>
        <w:tc>
          <w:tcPr>
            <w:tcW w:w="100" w:type="dxa"/>
            <w:vAlign w:val="bottom"/>
          </w:tcPr>
          <w:p>
            <w:pPr>
              <w:spacing w:after="0"/>
              <w:rPr>
                <w:sz w:val="16"/>
                <w:szCs w:val="16"/>
                <w:color w:val="auto"/>
              </w:rPr>
            </w:pPr>
          </w:p>
        </w:tc>
        <w:tc>
          <w:tcPr>
            <w:tcW w:w="2120" w:type="dxa"/>
            <w:vAlign w:val="bottom"/>
            <w:shd w:val="clear" w:color="auto" w:fill="ECEDEE"/>
          </w:tcPr>
          <w:p>
            <w:pPr>
              <w:ind w:left="360"/>
              <w:spacing w:after="0"/>
              <w:rPr>
                <w:sz w:val="20"/>
                <w:szCs w:val="20"/>
                <w:color w:val="auto"/>
              </w:rPr>
            </w:pPr>
            <w:r>
              <w:rPr>
                <w:rFonts w:ascii="Arial" w:cs="Arial" w:eastAsia="Arial" w:hAnsi="Arial"/>
                <w:sz w:val="16"/>
                <w:szCs w:val="16"/>
                <w:color w:val="auto"/>
              </w:rPr>
              <w:t>initiatives</w:t>
            </w:r>
          </w:p>
        </w:tc>
        <w:tc>
          <w:tcPr>
            <w:tcW w:w="0" w:type="dxa"/>
            <w:vAlign w:val="bottom"/>
          </w:tcPr>
          <w:p>
            <w:pPr>
              <w:spacing w:after="0"/>
              <w:rPr>
                <w:sz w:val="1"/>
                <w:szCs w:val="1"/>
                <w:color w:val="auto"/>
              </w:rPr>
            </w:pPr>
          </w:p>
        </w:tc>
      </w:tr>
      <w:tr>
        <w:trPr>
          <w:trHeight w:val="189"/>
        </w:trPr>
        <w:tc>
          <w:tcPr>
            <w:tcW w:w="160" w:type="dxa"/>
            <w:vAlign w:val="bottom"/>
            <w:shd w:val="clear" w:color="auto" w:fill="ECEDEE"/>
          </w:tcPr>
          <w:p>
            <w:pPr>
              <w:spacing w:after="0"/>
              <w:rPr>
                <w:sz w:val="16"/>
                <w:szCs w:val="16"/>
                <w:color w:val="auto"/>
              </w:rPr>
            </w:pPr>
          </w:p>
        </w:tc>
        <w:tc>
          <w:tcPr>
            <w:tcW w:w="1920" w:type="dxa"/>
            <w:vAlign w:val="bottom"/>
            <w:shd w:val="clear" w:color="auto" w:fill="ECEDEE"/>
          </w:tcPr>
          <w:p>
            <w:pPr>
              <w:ind w:left="40"/>
              <w:spacing w:after="0"/>
              <w:rPr>
                <w:sz w:val="20"/>
                <w:szCs w:val="20"/>
                <w:color w:val="auto"/>
              </w:rPr>
            </w:pPr>
            <w:r>
              <w:rPr>
                <w:rFonts w:ascii="Arial" w:cs="Arial" w:eastAsia="Arial" w:hAnsi="Arial"/>
                <w:sz w:val="16"/>
                <w:szCs w:val="16"/>
                <w:color w:val="auto"/>
              </w:rPr>
              <w:t>M&amp;A and strategic</w:t>
            </w:r>
          </w:p>
        </w:tc>
        <w:tc>
          <w:tcPr>
            <w:tcW w:w="100" w:type="dxa"/>
            <w:vAlign w:val="bottom"/>
          </w:tcPr>
          <w:p>
            <w:pPr>
              <w:spacing w:after="0"/>
              <w:rPr>
                <w:sz w:val="16"/>
                <w:szCs w:val="16"/>
                <w:color w:val="auto"/>
              </w:rPr>
            </w:pPr>
          </w:p>
        </w:tc>
        <w:tc>
          <w:tcPr>
            <w:tcW w:w="2120" w:type="dxa"/>
            <w:vAlign w:val="bottom"/>
            <w:shd w:val="clear" w:color="auto" w:fill="ECEDE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60" w:type="dxa"/>
            <w:vAlign w:val="bottom"/>
            <w:shd w:val="clear" w:color="auto" w:fill="ECEDEE"/>
          </w:tcPr>
          <w:p>
            <w:pPr>
              <w:spacing w:after="0"/>
              <w:rPr>
                <w:sz w:val="18"/>
                <w:szCs w:val="18"/>
                <w:color w:val="auto"/>
              </w:rPr>
            </w:pPr>
          </w:p>
        </w:tc>
        <w:tc>
          <w:tcPr>
            <w:tcW w:w="1920" w:type="dxa"/>
            <w:vAlign w:val="bottom"/>
            <w:shd w:val="clear" w:color="auto" w:fill="ECEDEE"/>
          </w:tcPr>
          <w:p>
            <w:pPr>
              <w:ind w:left="40"/>
              <w:spacing w:after="0"/>
              <w:rPr>
                <w:sz w:val="20"/>
                <w:szCs w:val="20"/>
                <w:color w:val="auto"/>
              </w:rPr>
            </w:pPr>
            <w:r>
              <w:rPr>
                <w:rFonts w:ascii="Arial" w:cs="Arial" w:eastAsia="Arial" w:hAnsi="Arial"/>
                <w:sz w:val="16"/>
                <w:szCs w:val="16"/>
                <w:color w:val="auto"/>
              </w:rPr>
              <w:t>transactions</w:t>
            </w:r>
          </w:p>
        </w:tc>
        <w:tc>
          <w:tcPr>
            <w:tcW w:w="100" w:type="dxa"/>
            <w:vAlign w:val="bottom"/>
          </w:tcPr>
          <w:p>
            <w:pPr>
              <w:spacing w:after="0"/>
              <w:rPr>
                <w:sz w:val="18"/>
                <w:szCs w:val="18"/>
                <w:color w:val="auto"/>
              </w:rPr>
            </w:pPr>
          </w:p>
        </w:tc>
        <w:tc>
          <w:tcPr>
            <w:tcW w:w="2120" w:type="dxa"/>
            <w:vAlign w:val="bottom"/>
            <w:shd w:val="clear" w:color="auto" w:fill="ECEDE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60" w:type="dxa"/>
            <w:vAlign w:val="bottom"/>
            <w:shd w:val="clear" w:color="auto" w:fill="ECEDEE"/>
          </w:tcPr>
          <w:p>
            <w:pPr>
              <w:ind w:left="60"/>
              <w:spacing w:after="0"/>
              <w:rPr>
                <w:sz w:val="20"/>
                <w:szCs w:val="20"/>
                <w:color w:val="auto"/>
              </w:rPr>
            </w:pPr>
            <w:r>
              <w:rPr>
                <w:rFonts w:ascii="Arial" w:cs="Arial" w:eastAsia="Arial" w:hAnsi="Arial"/>
                <w:sz w:val="16"/>
                <w:szCs w:val="16"/>
                <w:color w:val="0233A1"/>
              </w:rPr>
              <w:t>•</w:t>
            </w:r>
          </w:p>
        </w:tc>
        <w:tc>
          <w:tcPr>
            <w:tcW w:w="1920" w:type="dxa"/>
            <w:vAlign w:val="bottom"/>
            <w:shd w:val="clear" w:color="auto" w:fill="ECEDEE"/>
          </w:tcPr>
          <w:p>
            <w:pPr>
              <w:ind w:left="60"/>
              <w:spacing w:after="0"/>
              <w:rPr>
                <w:sz w:val="20"/>
                <w:szCs w:val="20"/>
                <w:color w:val="auto"/>
              </w:rPr>
            </w:pPr>
            <w:r>
              <w:rPr>
                <w:rFonts w:ascii="Arial" w:cs="Arial" w:eastAsia="Arial" w:hAnsi="Arial"/>
                <w:sz w:val="16"/>
                <w:szCs w:val="16"/>
                <w:color w:val="auto"/>
              </w:rPr>
              <w:t>Pension liabilities</w:t>
            </w:r>
          </w:p>
        </w:tc>
        <w:tc>
          <w:tcPr>
            <w:tcW w:w="100" w:type="dxa"/>
            <w:vAlign w:val="bottom"/>
          </w:tcPr>
          <w:p>
            <w:pPr>
              <w:spacing w:after="0"/>
              <w:rPr>
                <w:sz w:val="24"/>
                <w:szCs w:val="24"/>
                <w:color w:val="auto"/>
              </w:rPr>
            </w:pPr>
          </w:p>
        </w:tc>
        <w:tc>
          <w:tcPr>
            <w:tcW w:w="2120" w:type="dxa"/>
            <w:vAlign w:val="bottom"/>
            <w:shd w:val="clear" w:color="auto" w:fill="ECEDEE"/>
          </w:tcPr>
          <w:p>
            <w:pPr>
              <w:spacing w:after="0"/>
              <w:rPr>
                <w:sz w:val="24"/>
                <w:szCs w:val="24"/>
                <w:color w:val="auto"/>
              </w:rPr>
            </w:pPr>
          </w:p>
        </w:tc>
        <w:tc>
          <w:tcPr>
            <w:tcW w:w="0" w:type="dxa"/>
            <w:vAlign w:val="bottom"/>
          </w:tcPr>
          <w:p>
            <w:pPr>
              <w:spacing w:after="0"/>
              <w:rPr>
                <w:sz w:val="1"/>
                <w:szCs w:val="1"/>
                <w:color w:val="auto"/>
              </w:rPr>
            </w:pPr>
          </w:p>
        </w:tc>
      </w:tr>
      <w:tr>
        <w:trPr>
          <w:trHeight w:val="1311"/>
        </w:trPr>
        <w:tc>
          <w:tcPr>
            <w:tcW w:w="160" w:type="dxa"/>
            <w:vAlign w:val="bottom"/>
            <w:shd w:val="clear" w:color="auto" w:fill="ECEDEE"/>
          </w:tcPr>
          <w:p>
            <w:pPr>
              <w:spacing w:after="0"/>
              <w:rPr>
                <w:sz w:val="24"/>
                <w:szCs w:val="24"/>
                <w:color w:val="auto"/>
              </w:rPr>
            </w:pPr>
          </w:p>
        </w:tc>
        <w:tc>
          <w:tcPr>
            <w:tcW w:w="1920" w:type="dxa"/>
            <w:vAlign w:val="bottom"/>
            <w:shd w:val="clear" w:color="auto" w:fill="ECEDEE"/>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shd w:val="clear" w:color="auto" w:fill="ECEDE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4">
            <w:col w:w="1880" w:space="380"/>
            <w:col w:w="2080" w:space="236"/>
            <w:col w:w="2224" w:space="140"/>
            <w:col w:w="4300"/>
          </w:cols>
          <w:pgMar w:left="320" w:top="238" w:right="339" w:bottom="1440" w:gutter="0" w:footer="0" w:header="0"/>
          <w:type w:val="continuous"/>
        </w:sectPr>
      </w:pP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0233A1"/>
        </w:rPr>
        <w:t>SLB Senior Management</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0233A1"/>
        </w:rPr>
        <w:t>Day-to-day responsibility for:</w:t>
      </w:r>
    </w:p>
    <w:p>
      <w:pPr>
        <w:sectPr>
          <w:pgSz w:w="11900" w:h="16838" w:orient="portrait"/>
          <w:cols w:equalWidth="0" w:num="1">
            <w:col w:w="11240"/>
          </w:cols>
          <w:pgMar w:left="320" w:top="238" w:right="339" w:bottom="1440" w:gutter="0" w:footer="0" w:header="0"/>
          <w:type w:val="continuous"/>
        </w:sectPr>
      </w:pPr>
    </w:p>
    <w:p>
      <w:pPr>
        <w:spacing w:after="0" w:line="84" w:lineRule="exact"/>
        <w:rPr>
          <w:sz w:val="20"/>
          <w:szCs w:val="20"/>
          <w:color w:val="auto"/>
        </w:rPr>
      </w:pPr>
    </w:p>
    <w:p>
      <w:pPr>
        <w:ind w:left="220" w:hanging="140"/>
        <w:spacing w:after="0" w:line="266" w:lineRule="auto"/>
        <w:tabs>
          <w:tab w:leader="none" w:pos="223" w:val="left"/>
        </w:tabs>
        <w:numPr>
          <w:ilvl w:val="0"/>
          <w:numId w:val="16"/>
        </w:numPr>
        <w:rPr>
          <w:rFonts w:ascii="Arial" w:cs="Arial" w:eastAsia="Arial" w:hAnsi="Arial"/>
          <w:sz w:val="16"/>
          <w:szCs w:val="16"/>
          <w:color w:val="0233A1"/>
        </w:rPr>
      </w:pPr>
      <w:r>
        <w:rPr>
          <w:rFonts w:ascii="Arial" w:cs="Arial" w:eastAsia="Arial" w:hAnsi="Arial"/>
          <w:sz w:val="16"/>
          <w:szCs w:val="16"/>
          <w:color w:val="auto"/>
        </w:rPr>
        <w:t>Identifying, assessing, monitoring, and managing the major risks to SLB through our risk management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471170" cy="28321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71170" cy="2832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left="152" w:hanging="152"/>
        <w:spacing w:after="0" w:line="286" w:lineRule="auto"/>
        <w:tabs>
          <w:tab w:leader="none" w:pos="155" w:val="left"/>
        </w:tabs>
        <w:numPr>
          <w:ilvl w:val="0"/>
          <w:numId w:val="17"/>
        </w:numPr>
        <w:rPr>
          <w:rFonts w:ascii="Arial" w:cs="Arial" w:eastAsia="Arial" w:hAnsi="Arial"/>
          <w:sz w:val="16"/>
          <w:szCs w:val="16"/>
          <w:color w:val="0233A1"/>
        </w:rPr>
      </w:pPr>
      <w:r>
        <w:rPr>
          <w:rFonts w:ascii="Arial" w:cs="Arial" w:eastAsia="Arial" w:hAnsi="Arial"/>
          <w:sz w:val="16"/>
          <w:szCs w:val="16"/>
          <w:color w:val="auto"/>
        </w:rPr>
        <w:t>Implementing effective risk mitigation measures, response plans, and controls</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jc w:val="both"/>
        <w:ind w:left="142" w:right="360" w:hanging="142"/>
        <w:spacing w:after="0" w:line="286" w:lineRule="auto"/>
        <w:tabs>
          <w:tab w:leader="none" w:pos="145" w:val="left"/>
        </w:tabs>
        <w:numPr>
          <w:ilvl w:val="0"/>
          <w:numId w:val="18"/>
        </w:numPr>
        <w:rPr>
          <w:rFonts w:ascii="Arial" w:cs="Arial" w:eastAsia="Arial" w:hAnsi="Arial"/>
          <w:sz w:val="16"/>
          <w:szCs w:val="16"/>
          <w:color w:val="0233A1"/>
        </w:rPr>
      </w:pPr>
      <w:r>
        <w:rPr>
          <w:rFonts w:ascii="Arial" w:cs="Arial" w:eastAsia="Arial" w:hAnsi="Arial"/>
          <w:sz w:val="16"/>
          <w:szCs w:val="16"/>
          <w:color w:val="auto"/>
        </w:rPr>
        <w:t>Integrating risk analysis into business decisions and performance objectives</w:t>
      </w:r>
    </w:p>
    <w:p>
      <w:pPr>
        <w:spacing w:after="0" w:line="373" w:lineRule="exact"/>
        <w:rPr>
          <w:sz w:val="20"/>
          <w:szCs w:val="20"/>
          <w:color w:val="auto"/>
        </w:rPr>
      </w:pPr>
    </w:p>
    <w:p>
      <w:pPr>
        <w:sectPr>
          <w:pgSz w:w="11900" w:h="16838" w:orient="portrait"/>
          <w:cols w:equalWidth="0" w:num="3">
            <w:col w:w="4000" w:space="468"/>
            <w:col w:w="3012" w:space="538"/>
            <w:col w:w="3222"/>
          </w:cols>
          <w:pgMar w:left="320" w:top="238" w:right="339" w:bottom="1440" w:gutter="0" w:footer="0" w:header="0"/>
          <w:type w:val="continuous"/>
        </w:sectPr>
      </w:pPr>
    </w:p>
    <w:p>
      <w:pPr>
        <w:spacing w:after="0" w:line="200" w:lineRule="exact"/>
        <w:rPr>
          <w:sz w:val="20"/>
          <w:szCs w:val="20"/>
          <w:color w:val="auto"/>
        </w:rPr>
      </w:pPr>
    </w:p>
    <w:p>
      <w:pPr>
        <w:spacing w:after="0" w:line="271" w:lineRule="exact"/>
        <w:rPr>
          <w:sz w:val="20"/>
          <w:szCs w:val="20"/>
          <w:color w:val="auto"/>
        </w:rPr>
      </w:pPr>
    </w:p>
    <w:p>
      <w:pPr>
        <w:ind w:left="5540"/>
        <w:spacing w:after="0"/>
        <w:tabs>
          <w:tab w:leader="none" w:pos="9540" w:val="left"/>
        </w:tabs>
        <w:rPr>
          <w:sz w:val="20"/>
          <w:szCs w:val="20"/>
          <w:color w:val="auto"/>
        </w:rPr>
      </w:pPr>
      <w:r>
        <w:rPr>
          <w:rFonts w:ascii="Arial" w:cs="Arial" w:eastAsia="Arial" w:hAnsi="Arial"/>
          <w:sz w:val="16"/>
          <w:szCs w:val="16"/>
          <w:b w:val="1"/>
          <w:bCs w:val="1"/>
          <w:color w:val="auto"/>
        </w:rPr>
        <w:t>20</w:t>
      </w:r>
      <w:r>
        <w:rPr>
          <w:sz w:val="20"/>
          <w:szCs w:val="20"/>
          <w:color w:val="auto"/>
        </w:rPr>
        <w:tab/>
      </w:r>
      <w:r>
        <w:rPr>
          <w:rFonts w:ascii="Arial" w:cs="Arial" w:eastAsia="Arial" w:hAnsi="Arial"/>
          <w:sz w:val="16"/>
          <w:szCs w:val="16"/>
          <w:b w:val="1"/>
          <w:bCs w:val="1"/>
          <w:color w:val="636466"/>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-29845</wp:posOffset>
            </wp:positionV>
            <wp:extent cx="541782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342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Enterprise Risk Management Process</w:t>
      </w:r>
    </w:p>
    <w:p>
      <w:pPr>
        <w:spacing w:after="0" w:line="19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Our senior management team has developed a comprehensive strategic planning and enterprise risk management process for identifying, assessing, and managing risk.</w:t>
      </w:r>
    </w:p>
    <w:p>
      <w:pPr>
        <w:spacing w:after="0" w:line="129" w:lineRule="exact"/>
        <w:rPr>
          <w:sz w:val="20"/>
          <w:szCs w:val="20"/>
          <w:color w:val="auto"/>
        </w:rPr>
      </w:pPr>
    </w:p>
    <w:p>
      <w:pPr>
        <w:jc w:val="both"/>
        <w:ind w:right="20" w:firstLine="324"/>
        <w:spacing w:after="0" w:line="266" w:lineRule="auto"/>
        <w:rPr>
          <w:sz w:val="20"/>
          <w:szCs w:val="20"/>
          <w:color w:val="auto"/>
        </w:rPr>
      </w:pPr>
      <w:r>
        <w:rPr>
          <w:rFonts w:ascii="Arial" w:cs="Arial" w:eastAsia="Arial" w:hAnsi="Arial"/>
          <w:sz w:val="16"/>
          <w:szCs w:val="16"/>
          <w:color w:val="auto"/>
        </w:rPr>
        <w:t>This process begins with risk identification by our business lines and GeoUnits through an operational risk management exercise. Risks with impacts at this initial level are addressed with risk management or mitigation plans. Risks that have a wider potential impact are elevated for consideration at our Basin and Division levels, where the risks are either addressed or elevated for consideration at our executive leadership team level.</w:t>
      </w:r>
    </w:p>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In addition, SLB has a team of functional experts and leaders that review inputs from the bottoms-up operational risk management exercise, while also considering key trends and developments in their fields, to ensure that the broadest set of potential risks are identified and assessed for potential impacts to the Company. The analysis of the impact of a potential risk includes assessing the potential financial or reputational impact, the potential impact to SLB’s ability to implement its strategy, the velocity of the risk (how quickly a risk could manifest), and the level of SLB’s existing response preparedness.</w:t>
      </w:r>
    </w:p>
    <w:p>
      <w:pPr>
        <w:spacing w:after="0" w:line="15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Our executive leadership team has established the Enterprise Risk Management and Disclosure Committee to oversee this risk identification process and to monitor the implementation of mitigation or management processes. This process also includes third-party assessments, external risk surveys, and facilitated workshops with SLB executives to provide opportunities for the Company to adjust with the evolving risk landscape.</w:t>
      </w:r>
    </w:p>
    <w:p>
      <w:pPr>
        <w:spacing w:after="0" w:line="14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Based on these comprehensive risk identification and assessment processes, SLB’s executive leadership team recommends to the Board those enterprise-level risks that should be overseen by the Board. Based on the experience of the Directors, the Board itself may identify additional risks to be included among the Company’s enterprise-level risks. The Board then reviews management’s risk response or mitigation plans. For certain risks, the Board or its committees will have primary risk response or mitigation responsibility. Our executive leadership team updates the Board on the enterprise risk management process at least annually, as risks that could impact the implementation of the Company’s strategy are identified or evolve.</w:t>
      </w:r>
    </w:p>
    <w:p>
      <w:pPr>
        <w:spacing w:after="0" w:line="15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The risks that the Board routinely reviews relate to financial, geopolitical, strategic, regulatory, competitive, governance, reputational, climate-related, and operational risks, including cybersecurity risks and risks relating to operations in regions with elevated geopolitical tensions. For additional information about risks resulting from SLB’s global operations, see “Risk Factors – Business and Operational Risks – Disruptions in the political, regulatory, economic, and social environments of the countries in which we operate could adversely affect our reputation, financial condition, results of operations and cash flows.” in Item 1A. in our 2023 Annual Report.</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Environmental and Sustainability Oversight</w:t>
      </w:r>
    </w:p>
    <w:p>
      <w:pPr>
        <w:spacing w:after="0" w:line="20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Today, the world faces the challenge of providing secure and affordable energy to meet growing demand, while decarbonizing for a sustainable future. With nearly a century of market and technology leadership, SLB is well positioned and committed to being a leader in providing solutions to address this trilemma. As part of this commitment, the Board and its committees oversee the performance and management of various environmental, social, nature, and other sustainability issues, including our energy transition strategy, emissions reduction targets, climate change impact, sustainability reporting, workforce health and safety, human rights, workforce diversity, biodiversity, water resources, and ethics and compliance.</w:t>
      </w:r>
    </w:p>
    <w:p>
      <w:pPr>
        <w:spacing w:after="0" w:line="15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6"/>
          <w:szCs w:val="16"/>
          <w:color w:val="auto"/>
        </w:rPr>
        <w:t xml:space="preserve">As shown in the chart on page 20, the Board oversees SLB’s long- and short-term strategy, including our roadmap to achieve our 2050 net-zero commitment, and the Board delegates to the Nominating and Governance Committee oversight of our sustainability programs, initiatives, and activities. The Board’s other committees oversee sustainability-related topics within their respective areas of responsibility, such as the incorporation of sustainability and diversity metrics into our incentive compensation programs (Compensation); the growth potential, maturity, and viability of our targeted New Energy business sectors (New Energy and Innovation); the conduct of sustainability-related reviews by our internal audit team (Audit); operational risks such as cybersecurity (Audit); and the disclosure of ESG risks (Audit and Nominating and Governance, jointly). For details about our sustainability programs and initiatives, see our most recent Impact Report, available on SLB’s website at </w:t>
      </w:r>
      <w:r>
        <w:rPr>
          <w:rFonts w:ascii="Arial" w:cs="Arial" w:eastAsia="Arial" w:hAnsi="Arial"/>
          <w:sz w:val="16"/>
          <w:szCs w:val="16"/>
          <w:b w:val="1"/>
          <w:bCs w:val="1"/>
          <w:i w:val="1"/>
          <w:iCs w:val="1"/>
          <w:color w:val="auto"/>
        </w:rPr>
        <w:t>https://www.slb.com/sustainability/.</w:t>
      </w:r>
    </w:p>
    <w:p>
      <w:pPr>
        <w:spacing w:after="0" w:line="1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6"/>
          <w:szCs w:val="16"/>
          <w:color w:val="auto"/>
        </w:rPr>
        <w:t>Our line management is directly responsible for the management and mitigation of the environmental impact of our operations. Our Vice President of HSE is responsible for our environmental management systems, and our Vice President of Sustainability is responsible for our global sustainability strategy and programs. For details about our environmental management standard and how we manage environmental risk, see SLB’s health, safety, and environmental (</w:t>
      </w:r>
      <w:r>
        <w:rPr>
          <w:rFonts w:ascii="Arial" w:cs="Arial" w:eastAsia="Arial" w:hAnsi="Arial"/>
          <w:sz w:val="16"/>
          <w:szCs w:val="16"/>
          <w:b w:val="1"/>
          <w:bCs w:val="1"/>
          <w:color w:val="auto"/>
        </w:rPr>
        <w:t>HSE</w:t>
      </w:r>
      <w:r>
        <w:rPr>
          <w:rFonts w:ascii="Arial" w:cs="Arial" w:eastAsia="Arial" w:hAnsi="Arial"/>
          <w:sz w:val="16"/>
          <w:szCs w:val="16"/>
          <w:color w:val="auto"/>
        </w:rPr>
        <w:t xml:space="preserve">) website at </w:t>
      </w:r>
      <w:r>
        <w:rPr>
          <w:rFonts w:ascii="Arial" w:cs="Arial" w:eastAsia="Arial" w:hAnsi="Arial"/>
          <w:sz w:val="16"/>
          <w:szCs w:val="16"/>
          <w:b w:val="1"/>
          <w:bCs w:val="1"/>
          <w:i w:val="1"/>
          <w:iCs w:val="1"/>
          <w:color w:val="auto"/>
        </w:rPr>
        <w:t>https://www.slb.com/about/leadership-and-governance/hse.</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Cybersecurity Oversight</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The Audit Committee oversees SLB’s cybersecurity risk exposures and the steps taken by management to monitor and mitigate cybersecurity risks. The cybersecurity team briefs the Audit Committee on the effectiveness of SLB’s cyber risk management program, typically on a quarterly basis. In addition, cybersecurity risks are reviewed by the Board, at least annually, as part of the Company’s corporate risk mapping exercise. For additional information about our cybersecurity program, see Item 1C. Cybersecurity in our 2023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181610</wp:posOffset>
            </wp:positionV>
            <wp:extent cx="471805" cy="28321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71805" cy="283210"/>
                    </a:xfrm>
                    <a:prstGeom prst="rect">
                      <a:avLst/>
                    </a:prstGeom>
                    <a:noFill/>
                  </pic:spPr>
                </pic:pic>
              </a:graphicData>
            </a:graphic>
          </wp:anchor>
        </w:drawing>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2024 Proxy Statement</w:t>
            </w:r>
          </w:p>
        </w:tc>
        <w:tc>
          <w:tcPr>
            <w:tcW w:w="3600" w:type="dxa"/>
            <w:vAlign w:val="bottom"/>
            <w:tcBorders>
              <w:bottom w:val="single" w:sz="8" w:color="auto"/>
            </w:tcBorders>
          </w:tcPr>
          <w:p>
            <w:pPr>
              <w:spacing w:after="0"/>
              <w:rPr>
                <w:sz w:val="12"/>
                <w:szCs w:val="12"/>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21</w:t>
            </w:r>
          </w:p>
        </w:tc>
        <w:tc>
          <w:tcPr>
            <w:tcW w:w="4480" w:type="dxa"/>
            <w:vAlign w:val="bottom"/>
            <w:tcBorders>
              <w:bottom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36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48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color w:val="0233A1"/>
        </w:rPr>
        <w:t>Proactive Shareholder Engagement</w:t>
      </w:r>
    </w:p>
    <w:p>
      <w:pPr>
        <w:spacing w:after="0" w:line="21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6"/>
          <w:szCs w:val="16"/>
          <w:color w:val="auto"/>
        </w:rPr>
        <w:t>Our relationship and on-going dialogue with our shareholders are important parts of our Board’s corporate governance commitment. Our investor relations, sustainability, legal, and human resources teams engage with shareholders throughout the year to seek their views on key matters, and then inform our Board and management about the issues and emerging governance trends that our shareholders tell us matter most to them. The chairs of our Compensation and Nominating and Governance committees have also participated in our engagement efforts when requested. These engagements routinely cover executive compensation, corporate governance, company strategy and performance, sustainability, human rights, and other current and emerging issues.</w:t>
      </w:r>
    </w:p>
    <w:p>
      <w:pPr>
        <w:spacing w:after="0" w:line="15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We typically reach out to our largest institutional shareholders at least annually. We then report the feedback we receive to our Board and its relevant committees, allowing the Board to better understand our shareholders’ priorities and perspectives. In addition, we may engage with our large institutional shareholders at other times in the year when we believe that there are appropriate topics to discuss. For details about our recent shareholder outreach, see “Compensation Discussion and Analysis—Framework for Setting 2023 Executive Compensation—Responsiveness to Shareholder Feedback” beginning on page 35 of this proxy statement.</w:t>
      </w:r>
    </w:p>
    <w:p>
      <w:pPr>
        <w:spacing w:after="0" w:line="364" w:lineRule="exact"/>
        <w:rPr>
          <w:sz w:val="20"/>
          <w:szCs w:val="20"/>
          <w:color w:val="auto"/>
        </w:rPr>
      </w:pPr>
    </w:p>
    <w:p>
      <w:pPr>
        <w:spacing w:after="0"/>
        <w:rPr>
          <w:sz w:val="20"/>
          <w:szCs w:val="20"/>
          <w:color w:val="auto"/>
        </w:rPr>
      </w:pPr>
      <w:r>
        <w:rPr>
          <w:rFonts w:ascii="Arial" w:cs="Arial" w:eastAsia="Arial" w:hAnsi="Arial"/>
          <w:sz w:val="29"/>
          <w:szCs w:val="29"/>
          <w:color w:val="0233A1"/>
        </w:rPr>
        <w:t>Director Selection and Qualifications</w:t>
      </w:r>
    </w:p>
    <w:p>
      <w:pPr>
        <w:spacing w:after="0" w:line="21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The Nominating and Governance Committee recommends the number and names of persons to be proposed by the Board for election as directors at our AGMs. The Committee also assists the Board in identifying qualified individuals to join as new Board members. In evaluating potential nominees, the Committee takes into consideration, among other factors:</w:t>
      </w:r>
    </w:p>
    <w:p>
      <w:pPr>
        <w:spacing w:after="0" w:line="144" w:lineRule="exact"/>
        <w:rPr>
          <w:sz w:val="20"/>
          <w:szCs w:val="20"/>
          <w:color w:val="auto"/>
        </w:rPr>
      </w:pPr>
    </w:p>
    <w:p>
      <w:pPr>
        <w:ind w:left="500" w:right="160" w:hanging="168"/>
        <w:spacing w:after="0" w:line="286" w:lineRule="auto"/>
        <w:tabs>
          <w:tab w:leader="none" w:pos="500" w:val="left"/>
        </w:tabs>
        <w:numPr>
          <w:ilvl w:val="0"/>
          <w:numId w:val="19"/>
        </w:numPr>
        <w:rPr>
          <w:rFonts w:ascii="Arial" w:cs="Arial" w:eastAsia="Arial" w:hAnsi="Arial"/>
          <w:sz w:val="16"/>
          <w:szCs w:val="16"/>
          <w:b w:val="1"/>
          <w:bCs w:val="1"/>
          <w:color w:val="0233A1"/>
        </w:rPr>
      </w:pPr>
      <w:r>
        <w:rPr>
          <w:rFonts w:ascii="Arial" w:cs="Arial" w:eastAsia="Arial" w:hAnsi="Arial"/>
          <w:sz w:val="16"/>
          <w:szCs w:val="16"/>
          <w:color w:val="auto"/>
        </w:rPr>
        <w:t>the Board’s current composition, including the skills, experience, and backgrounds of our incumbent directors as reflected in the chart on page 12 of this proxy statement,</w:t>
      </w:r>
    </w:p>
    <w:p>
      <w:pPr>
        <w:spacing w:after="0" w:line="20" w:lineRule="exact"/>
        <w:rPr>
          <w:rFonts w:ascii="Arial" w:cs="Arial" w:eastAsia="Arial" w:hAnsi="Arial"/>
          <w:sz w:val="16"/>
          <w:szCs w:val="16"/>
          <w:b w:val="1"/>
          <w:bCs w:val="1"/>
          <w:color w:val="0233A1"/>
        </w:rPr>
      </w:pPr>
    </w:p>
    <w:p>
      <w:pPr>
        <w:ind w:left="500" w:hanging="168"/>
        <w:spacing w:after="0"/>
        <w:tabs>
          <w:tab w:leader="none" w:pos="500" w:val="left"/>
        </w:tabs>
        <w:numPr>
          <w:ilvl w:val="0"/>
          <w:numId w:val="19"/>
        </w:numPr>
        <w:rPr>
          <w:rFonts w:ascii="Arial" w:cs="Arial" w:eastAsia="Arial" w:hAnsi="Arial"/>
          <w:sz w:val="16"/>
          <w:szCs w:val="16"/>
          <w:b w:val="1"/>
          <w:bCs w:val="1"/>
          <w:color w:val="0233A1"/>
        </w:rPr>
      </w:pPr>
      <w:r>
        <w:rPr>
          <w:rFonts w:ascii="Arial" w:cs="Arial" w:eastAsia="Arial" w:hAnsi="Arial"/>
          <w:sz w:val="16"/>
          <w:szCs w:val="16"/>
          <w:color w:val="auto"/>
        </w:rPr>
        <w:t>SLB’s existing and anticipated business needs, aligned to our strategic goals and initiatives,</w:t>
      </w:r>
    </w:p>
    <w:p>
      <w:pPr>
        <w:spacing w:after="0" w:line="99" w:lineRule="exact"/>
        <w:rPr>
          <w:rFonts w:ascii="Arial" w:cs="Arial" w:eastAsia="Arial" w:hAnsi="Arial"/>
          <w:sz w:val="16"/>
          <w:szCs w:val="16"/>
          <w:b w:val="1"/>
          <w:bCs w:val="1"/>
          <w:color w:val="0233A1"/>
        </w:rPr>
      </w:pPr>
    </w:p>
    <w:p>
      <w:pPr>
        <w:ind w:left="500" w:right="60" w:hanging="168"/>
        <w:spacing w:after="0" w:line="286" w:lineRule="auto"/>
        <w:tabs>
          <w:tab w:leader="none" w:pos="500" w:val="left"/>
        </w:tabs>
        <w:numPr>
          <w:ilvl w:val="0"/>
          <w:numId w:val="19"/>
        </w:numPr>
        <w:rPr>
          <w:rFonts w:ascii="Arial" w:cs="Arial" w:eastAsia="Arial" w:hAnsi="Arial"/>
          <w:sz w:val="16"/>
          <w:szCs w:val="16"/>
          <w:b w:val="1"/>
          <w:bCs w:val="1"/>
          <w:color w:val="0233A1"/>
        </w:rPr>
      </w:pPr>
      <w:r>
        <w:rPr>
          <w:rFonts w:ascii="Arial" w:cs="Arial" w:eastAsia="Arial" w:hAnsi="Arial"/>
          <w:sz w:val="16"/>
          <w:szCs w:val="16"/>
          <w:color w:val="auto"/>
        </w:rPr>
        <w:t>a potential nominee’s ability to contribute to the Board’s diversity, as discussed under “Leader in Global Diversity—Board Diversity” on page 11 of this proxy statement, and</w:t>
      </w:r>
    </w:p>
    <w:p>
      <w:pPr>
        <w:spacing w:after="0" w:line="20" w:lineRule="exact"/>
        <w:rPr>
          <w:rFonts w:ascii="Arial" w:cs="Arial" w:eastAsia="Arial" w:hAnsi="Arial"/>
          <w:sz w:val="16"/>
          <w:szCs w:val="16"/>
          <w:b w:val="1"/>
          <w:bCs w:val="1"/>
          <w:color w:val="0233A1"/>
        </w:rPr>
      </w:pPr>
    </w:p>
    <w:p>
      <w:pPr>
        <w:ind w:left="500" w:hanging="168"/>
        <w:spacing w:after="0"/>
        <w:tabs>
          <w:tab w:leader="none" w:pos="500" w:val="left"/>
        </w:tabs>
        <w:numPr>
          <w:ilvl w:val="0"/>
          <w:numId w:val="19"/>
        </w:numPr>
        <w:rPr>
          <w:rFonts w:ascii="Arial" w:cs="Arial" w:eastAsia="Arial" w:hAnsi="Arial"/>
          <w:sz w:val="16"/>
          <w:szCs w:val="16"/>
          <w:b w:val="1"/>
          <w:bCs w:val="1"/>
          <w:color w:val="0233A1"/>
        </w:rPr>
      </w:pPr>
      <w:r>
        <w:rPr>
          <w:rFonts w:ascii="Arial" w:cs="Arial" w:eastAsia="Arial" w:hAnsi="Arial"/>
          <w:sz w:val="16"/>
          <w:szCs w:val="16"/>
          <w:color w:val="auto"/>
        </w:rPr>
        <w:t>the personal characteristics and general qualifications that the Committee believes all nominees should possess, as listed in the chart at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16319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28" w:lineRule="exact"/>
        <w:rPr>
          <w:sz w:val="20"/>
          <w:szCs w:val="20"/>
          <w:color w:val="auto"/>
        </w:rPr>
      </w:pPr>
    </w:p>
    <w:p>
      <w:pPr>
        <w:jc w:val="center"/>
        <w:ind w:right="-319"/>
        <w:spacing w:after="0"/>
        <w:rPr>
          <w:sz w:val="20"/>
          <w:szCs w:val="20"/>
          <w:color w:val="auto"/>
        </w:rPr>
      </w:pPr>
      <w:r>
        <w:rPr>
          <w:rFonts w:ascii="Arial" w:cs="Arial" w:eastAsia="Arial" w:hAnsi="Arial"/>
          <w:sz w:val="16"/>
          <w:szCs w:val="16"/>
          <w:b w:val="1"/>
          <w:bCs w:val="1"/>
          <w:color w:val="FFFFFF"/>
        </w:rPr>
        <w:t>Qualifications of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96278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1962785"/>
                    </a:xfrm>
                    <a:prstGeom prst="rect">
                      <a:avLst/>
                    </a:prstGeom>
                    <a:noFill/>
                  </pic:spPr>
                </pic:pic>
              </a:graphicData>
            </a:graphic>
          </wp:anchor>
        </w:drawing>
      </w:r>
    </w:p>
    <w:p>
      <w:pPr>
        <w:spacing w:after="0" w:line="46" w:lineRule="exact"/>
        <w:rPr>
          <w:sz w:val="20"/>
          <w:szCs w:val="20"/>
          <w:color w:val="auto"/>
        </w:rPr>
      </w:pPr>
    </w:p>
    <w:p>
      <w:pPr>
        <w:ind w:left="40"/>
        <w:spacing w:after="0"/>
        <w:rPr>
          <w:sz w:val="20"/>
          <w:szCs w:val="20"/>
          <w:color w:val="auto"/>
        </w:rPr>
      </w:pPr>
      <w:r>
        <w:rPr>
          <w:sz w:val="1"/>
          <w:szCs w:val="1"/>
          <w:color w:val="auto"/>
        </w:rPr>
        <w:drawing>
          <wp:inline distT="0" distB="0" distL="0" distR="0">
            <wp:extent cx="154305" cy="146050"/>
            <wp:effectExtent l="0" t="0" r="0" b="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54305" cy="146050"/>
                    </a:xfrm>
                    <a:prstGeom prst="rect">
                      <a:avLst/>
                    </a:prstGeom>
                    <a:noFill/>
                    <a:ln>
                      <a:noFill/>
                    </a:ln>
                  </pic:spPr>
                </pic:pic>
              </a:graphicData>
            </a:graphic>
          </wp:inline>
        </w:drawing>
      </w:r>
      <w:r>
        <w:rPr>
          <w:rFonts w:ascii="Arial" w:cs="Arial" w:eastAsia="Arial" w:hAnsi="Arial"/>
          <w:sz w:val="16"/>
          <w:szCs w:val="16"/>
          <w:color w:val="auto"/>
        </w:rPr>
        <w:t xml:space="preserve"> Integrity and honesty</w:t>
      </w:r>
    </w:p>
    <w:p>
      <w:pPr>
        <w:spacing w:after="0" w:line="115" w:lineRule="exact"/>
        <w:rPr>
          <w:sz w:val="20"/>
          <w:szCs w:val="20"/>
          <w:color w:val="auto"/>
        </w:rPr>
      </w:pPr>
    </w:p>
    <w:p>
      <w:pPr>
        <w:ind w:left="40"/>
        <w:spacing w:after="0"/>
        <w:rPr>
          <w:sz w:val="20"/>
          <w:szCs w:val="20"/>
          <w:color w:val="auto"/>
        </w:rPr>
      </w:pPr>
      <w:r>
        <w:rPr>
          <w:sz w:val="1"/>
          <w:szCs w:val="1"/>
          <w:color w:val="auto"/>
        </w:rPr>
        <w:drawing>
          <wp:inline distT="0" distB="0" distL="0" distR="0">
            <wp:extent cx="154305" cy="146050"/>
            <wp:effectExtent l="0" t="0" r="0" b="0"/>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54305" cy="146050"/>
                    </a:xfrm>
                    <a:prstGeom prst="rect">
                      <a:avLst/>
                    </a:prstGeom>
                    <a:noFill/>
                    <a:ln>
                      <a:noFill/>
                    </a:ln>
                  </pic:spPr>
                </pic:pic>
              </a:graphicData>
            </a:graphic>
          </wp:inline>
        </w:drawing>
      </w:r>
      <w:r>
        <w:rPr>
          <w:rFonts w:ascii="Arial" w:cs="Arial" w:eastAsia="Arial" w:hAnsi="Arial"/>
          <w:sz w:val="16"/>
          <w:szCs w:val="16"/>
          <w:color w:val="auto"/>
        </w:rPr>
        <w:t xml:space="preserve"> Ability to exercise sound, mature, and independent business judgment</w:t>
      </w:r>
    </w:p>
    <w:p>
      <w:pPr>
        <w:spacing w:after="0" w:line="140" w:lineRule="exact"/>
        <w:rPr>
          <w:sz w:val="20"/>
          <w:szCs w:val="20"/>
          <w:color w:val="auto"/>
        </w:rPr>
      </w:pPr>
    </w:p>
    <w:p>
      <w:pPr>
        <w:ind w:left="40"/>
        <w:spacing w:after="0"/>
        <w:rPr>
          <w:sz w:val="20"/>
          <w:szCs w:val="20"/>
          <w:color w:val="auto"/>
        </w:rPr>
      </w:pPr>
      <w:r>
        <w:rPr>
          <w:sz w:val="1"/>
          <w:szCs w:val="1"/>
          <w:color w:val="auto"/>
        </w:rPr>
        <w:drawing>
          <wp:inline distT="0" distB="0" distL="0" distR="0">
            <wp:extent cx="154305" cy="145415"/>
            <wp:effectExtent l="0" t="0" r="0" b="0"/>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54305" cy="145415"/>
                    </a:xfrm>
                    <a:prstGeom prst="rect">
                      <a:avLst/>
                    </a:prstGeom>
                    <a:noFill/>
                    <a:ln>
                      <a:noFill/>
                    </a:ln>
                  </pic:spPr>
                </pic:pic>
              </a:graphicData>
            </a:graphic>
          </wp:inline>
        </w:drawing>
      </w:r>
      <w:r>
        <w:rPr>
          <w:rFonts w:ascii="Arial" w:cs="Arial" w:eastAsia="Arial" w:hAnsi="Arial"/>
          <w:sz w:val="16"/>
          <w:szCs w:val="16"/>
          <w:color w:val="auto"/>
        </w:rPr>
        <w:t xml:space="preserve"> Recognized leaders in business or professional activity</w:t>
      </w:r>
    </w:p>
    <w:p>
      <w:pPr>
        <w:spacing w:after="0" w:line="117" w:lineRule="exact"/>
        <w:rPr>
          <w:sz w:val="20"/>
          <w:szCs w:val="20"/>
          <w:color w:val="auto"/>
        </w:rPr>
      </w:pPr>
    </w:p>
    <w:p>
      <w:pPr>
        <w:ind w:left="40"/>
        <w:spacing w:after="0"/>
        <w:rPr>
          <w:sz w:val="20"/>
          <w:szCs w:val="20"/>
          <w:color w:val="auto"/>
        </w:rPr>
      </w:pPr>
      <w:r>
        <w:rPr>
          <w:sz w:val="1"/>
          <w:szCs w:val="1"/>
          <w:color w:val="auto"/>
        </w:rPr>
        <w:drawing>
          <wp:inline distT="0" distB="0" distL="0" distR="0">
            <wp:extent cx="154305" cy="145415"/>
            <wp:effectExtent l="0" t="0" r="0" b="0"/>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54305" cy="145415"/>
                    </a:xfrm>
                    <a:prstGeom prst="rect">
                      <a:avLst/>
                    </a:prstGeom>
                    <a:noFill/>
                    <a:ln>
                      <a:noFill/>
                    </a:ln>
                  </pic:spPr>
                </pic:pic>
              </a:graphicData>
            </a:graphic>
          </wp:inline>
        </w:drawing>
      </w:r>
      <w:r>
        <w:rPr>
          <w:rFonts w:ascii="Arial" w:cs="Arial" w:eastAsia="Arial" w:hAnsi="Arial"/>
          <w:sz w:val="16"/>
          <w:szCs w:val="16"/>
          <w:color w:val="auto"/>
        </w:rPr>
        <w:t xml:space="preserve"> Background and experience that will complement the experience and talents of the other Board members</w:t>
      </w:r>
    </w:p>
    <w:p>
      <w:pPr>
        <w:spacing w:after="0" w:line="128" w:lineRule="exact"/>
        <w:rPr>
          <w:sz w:val="20"/>
          <w:szCs w:val="20"/>
          <w:color w:val="auto"/>
        </w:rPr>
      </w:pPr>
    </w:p>
    <w:p>
      <w:pPr>
        <w:ind w:left="40"/>
        <w:spacing w:after="0"/>
        <w:rPr>
          <w:sz w:val="20"/>
          <w:szCs w:val="20"/>
          <w:color w:val="auto"/>
        </w:rPr>
      </w:pPr>
      <w:r>
        <w:rPr>
          <w:sz w:val="1"/>
          <w:szCs w:val="1"/>
          <w:color w:val="auto"/>
        </w:rPr>
        <w:drawing>
          <wp:inline distT="0" distB="0" distL="0" distR="0">
            <wp:extent cx="154305" cy="146050"/>
            <wp:effectExtent l="0" t="0" r="0" b="0"/>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54305" cy="146050"/>
                    </a:xfrm>
                    <a:prstGeom prst="rect">
                      <a:avLst/>
                    </a:prstGeom>
                    <a:noFill/>
                    <a:ln>
                      <a:noFill/>
                    </a:ln>
                  </pic:spPr>
                </pic:pic>
              </a:graphicData>
            </a:graphic>
          </wp:inline>
        </w:drawing>
      </w:r>
      <w:r>
        <w:rPr>
          <w:rFonts w:ascii="Arial" w:cs="Arial" w:eastAsia="Arial" w:hAnsi="Arial"/>
          <w:sz w:val="16"/>
          <w:szCs w:val="16"/>
          <w:color w:val="auto"/>
        </w:rPr>
        <w:t xml:space="preserve"> Willingness and availability to actively participate in Board and committee meetings and related activities</w:t>
      </w:r>
    </w:p>
    <w:p>
      <w:pPr>
        <w:spacing w:after="0" w:line="128" w:lineRule="exact"/>
        <w:rPr>
          <w:sz w:val="20"/>
          <w:szCs w:val="20"/>
          <w:color w:val="auto"/>
        </w:rPr>
      </w:pPr>
    </w:p>
    <w:p>
      <w:pPr>
        <w:ind w:left="40"/>
        <w:spacing w:after="0"/>
        <w:rPr>
          <w:sz w:val="20"/>
          <w:szCs w:val="20"/>
          <w:color w:val="auto"/>
        </w:rPr>
      </w:pPr>
      <w:r>
        <w:rPr>
          <w:sz w:val="1"/>
          <w:szCs w:val="1"/>
          <w:color w:val="auto"/>
        </w:rPr>
        <w:drawing>
          <wp:inline distT="0" distB="0" distL="0" distR="0">
            <wp:extent cx="154305" cy="145415"/>
            <wp:effectExtent l="0" t="0" r="0" b="0"/>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54305" cy="145415"/>
                    </a:xfrm>
                    <a:prstGeom prst="rect">
                      <a:avLst/>
                    </a:prstGeom>
                    <a:noFill/>
                    <a:ln>
                      <a:noFill/>
                    </a:ln>
                  </pic:spPr>
                </pic:pic>
              </a:graphicData>
            </a:graphic>
          </wp:inline>
        </w:drawing>
      </w:r>
      <w:r>
        <w:rPr>
          <w:rFonts w:ascii="Arial" w:cs="Arial" w:eastAsia="Arial" w:hAnsi="Arial"/>
          <w:sz w:val="16"/>
          <w:szCs w:val="16"/>
          <w:color w:val="auto"/>
        </w:rPr>
        <w:t xml:space="preserve"> Ability to work professionally and effectively with other Board members and SLB management</w:t>
      </w:r>
    </w:p>
    <w:p>
      <w:pPr>
        <w:spacing w:after="0" w:line="128" w:lineRule="exact"/>
        <w:rPr>
          <w:sz w:val="20"/>
          <w:szCs w:val="20"/>
          <w:color w:val="auto"/>
        </w:rPr>
      </w:pPr>
    </w:p>
    <w:p>
      <w:pPr>
        <w:ind w:left="40"/>
        <w:spacing w:after="0"/>
        <w:rPr>
          <w:sz w:val="20"/>
          <w:szCs w:val="20"/>
          <w:color w:val="auto"/>
        </w:rPr>
      </w:pPr>
      <w:r>
        <w:rPr>
          <w:sz w:val="1"/>
          <w:szCs w:val="1"/>
          <w:color w:val="auto"/>
        </w:rPr>
        <w:drawing>
          <wp:inline distT="0" distB="0" distL="0" distR="0">
            <wp:extent cx="154305" cy="146050"/>
            <wp:effectExtent l="0" t="0" r="0" b="0"/>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54305" cy="146050"/>
                    </a:xfrm>
                    <a:prstGeom prst="rect">
                      <a:avLst/>
                    </a:prstGeom>
                    <a:noFill/>
                    <a:ln>
                      <a:noFill/>
                    </a:ln>
                  </pic:spPr>
                </pic:pic>
              </a:graphicData>
            </a:graphic>
          </wp:inline>
        </w:drawing>
      </w:r>
      <w:r>
        <w:rPr>
          <w:rFonts w:ascii="Arial" w:cs="Arial" w:eastAsia="Arial" w:hAnsi="Arial"/>
          <w:sz w:val="16"/>
          <w:szCs w:val="16"/>
          <w:color w:val="auto"/>
        </w:rPr>
        <w:t xml:space="preserve"> Availability to remain on the Board and its committees long enough to make an effective contribution</w:t>
      </w:r>
    </w:p>
    <w:p>
      <w:pPr>
        <w:spacing w:after="0" w:line="128" w:lineRule="exact"/>
        <w:rPr>
          <w:sz w:val="20"/>
          <w:szCs w:val="20"/>
          <w:color w:val="auto"/>
        </w:rPr>
      </w:pPr>
    </w:p>
    <w:p>
      <w:pPr>
        <w:ind w:left="40"/>
        <w:spacing w:after="0"/>
        <w:rPr>
          <w:sz w:val="20"/>
          <w:szCs w:val="20"/>
          <w:color w:val="auto"/>
        </w:rPr>
      </w:pPr>
      <w:r>
        <w:rPr>
          <w:sz w:val="1"/>
          <w:szCs w:val="1"/>
          <w:color w:val="auto"/>
        </w:rPr>
        <w:drawing>
          <wp:inline distT="0" distB="0" distL="0" distR="0">
            <wp:extent cx="154305" cy="146050"/>
            <wp:effectExtent l="0" t="0" r="0" b="0"/>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54305" cy="146050"/>
                    </a:xfrm>
                    <a:prstGeom prst="rect">
                      <a:avLst/>
                    </a:prstGeom>
                    <a:noFill/>
                    <a:ln>
                      <a:noFill/>
                    </a:ln>
                  </pic:spPr>
                </pic:pic>
              </a:graphicData>
            </a:graphic>
          </wp:inline>
        </w:drawing>
      </w:r>
      <w:r>
        <w:rPr>
          <w:rFonts w:ascii="Arial" w:cs="Arial" w:eastAsia="Arial" w:hAnsi="Arial"/>
          <w:sz w:val="16"/>
          <w:szCs w:val="16"/>
          <w:color w:val="auto"/>
        </w:rPr>
        <w:t xml:space="preserve"> No material relationship with competitors or other third parties that could present realistic possibilities of conflicts of interest or legal issues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general methodology for identifying candidates for nomination to the Board is outlined in the diagram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132080</wp:posOffset>
            </wp:positionV>
            <wp:extent cx="4286250" cy="24174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4286250"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First, the Nominating and Governance Committee reviews the Board’s current composition, identifying key skills, experience, and backgrounds of potential candidates that would complement those of our other Board members.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Next, the Committee initiates a candidate search, making its own inquiries while also collecting suggestions from other directors and SLB management.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From time to time, the Committee retains executive search and board advisory consulting firms to assist in identifying and evaluating potential nominees.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Upon retaining these firms, we request that they include women and nationally, racially, and ethnically diverse candidates in the proposals they present to us.</w:t>
      </w:r>
    </w:p>
    <w:p>
      <w:pPr>
        <w:spacing w:after="0" w:line="17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Nominating and Governance Committee then conducts a thorough evaluation of proposed new Board candidates, typically involving a series of internal discussions, interviews with selected candidates, and reviews of information about the candidates. Following this evaluation, the Committee</w:t>
      </w:r>
    </w:p>
    <w:p>
      <w:pPr>
        <w:sectPr>
          <w:pgSz w:w="11900" w:h="16838" w:orient="portrait"/>
          <w:cols w:equalWidth="0" w:num="1">
            <w:col w:w="11240"/>
          </w:cols>
          <w:pgMar w:left="320" w:top="238" w:right="339" w:bottom="0" w:gutter="0" w:footer="0" w:header="0"/>
        </w:sectPr>
      </w:pPr>
    </w:p>
    <w:bookmarkStart w:id="25" w:name="page26"/>
    <w:bookmarkEnd w:id="25"/>
    <w:p>
      <w:pPr>
        <w:spacing w:after="0" w:line="286" w:lineRule="auto"/>
        <w:rPr>
          <w:sz w:val="20"/>
          <w:szCs w:val="20"/>
          <w:color w:val="auto"/>
        </w:rPr>
      </w:pPr>
      <w:r>
        <w:rPr>
          <w:rFonts w:ascii="Arial" w:cs="Arial" w:eastAsia="Arial" w:hAnsi="Arial"/>
          <w:sz w:val="16"/>
          <w:szCs w:val="16"/>
          <w:color w:val="auto"/>
        </w:rPr>
        <w:t>summarizes its findings and provides to the full Board its recommendations for nomination to the Board. The Board, upon the recommendation of the Nominating and Governance Committee, selects the director nominees to be elected at our next AGM.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471170" cy="28321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471170" cy="28321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jc w:val="both"/>
        <w:ind w:left="5540"/>
        <w:spacing w:after="0"/>
        <w:tabs>
          <w:tab w:leader="none" w:pos="9540" w:val="left"/>
        </w:tabs>
        <w:rPr>
          <w:sz w:val="20"/>
          <w:szCs w:val="20"/>
          <w:color w:val="auto"/>
        </w:rPr>
      </w:pPr>
      <w:r>
        <w:rPr>
          <w:rFonts w:ascii="Arial" w:cs="Arial" w:eastAsia="Arial" w:hAnsi="Arial"/>
          <w:sz w:val="16"/>
          <w:szCs w:val="16"/>
          <w:b w:val="1"/>
          <w:bCs w:val="1"/>
          <w:color w:val="auto"/>
        </w:rPr>
        <w:t>22</w:t>
      </w:r>
      <w:r>
        <w:rPr>
          <w:sz w:val="20"/>
          <w:szCs w:val="20"/>
          <w:color w:val="auto"/>
        </w:rPr>
        <w:tab/>
      </w:r>
      <w:r>
        <w:rPr>
          <w:rFonts w:ascii="Arial" w:cs="Arial" w:eastAsia="Arial" w:hAnsi="Arial"/>
          <w:sz w:val="16"/>
          <w:szCs w:val="16"/>
          <w:b w:val="1"/>
          <w:bCs w:val="1"/>
          <w:color w:val="636466"/>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-29845</wp:posOffset>
            </wp:positionV>
            <wp:extent cx="541782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4178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342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Demonstrated Commitment to Board Refreshment</w:t>
      </w:r>
    </w:p>
    <w:p>
      <w:pPr>
        <w:spacing w:after="0" w:line="20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The Board is committed to thoughtful board refreshment and ongoing board succession planning. Half of SLB’s non-executive directors—including our new independent Chair—joined the Board since 2021, and all directors joined within the last seven years, bringing diverse and evolving experience and leadership skills in areas that are strategically important to SLB. Our directors have an average age of 60 and have served on our Board for an average of four years. Our non-executive directors are eligible to serve on the Board until age 75 or for a maximum ten-year term—whichever occurs first—under our Corporate Governance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106045</wp:posOffset>
            </wp:positionV>
            <wp:extent cx="6686550" cy="156019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686550" cy="156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Nominees Recommended by Shareholders</w:t>
      </w:r>
    </w:p>
    <w:p>
      <w:pPr>
        <w:spacing w:after="0" w:line="207"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6"/>
          <w:szCs w:val="16"/>
          <w:color w:val="auto"/>
        </w:rPr>
        <w:t>The Nominating and Governance Committee will also consider nominees recommended by shareholders who meet the eligibility requirements for submitting shareholder proposals for inclusion in SLB’s next proxy statement and who submit their recommendations in writing to:</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Nominating and Governance Committee Chair</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 SLB Chief Legal Officer and Secretary</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5599 San Felipe</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Houston, Texas 77056</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6"/>
          <w:szCs w:val="16"/>
          <w:color w:val="auto"/>
        </w:rPr>
        <w:t>All recommendations must be submitted by the deadline for shareholder proposals referred to under “Information About the Meeting—Shareholder Proposals at 2025 AGM” on page 68 of this proxy statement. Unsolicited recommendations must contain all of the information that would be required in a proxy statement soliciting proxies for the election of the candidate as a director, a description of all direct or indirect arrangements or understandings between the recommending security holder and the candidate, all other companies to which the candidate is being recommended as a nominee for director, and a signed consent of the candidate to cooperate with reasonable background checks and personal interviews, and to serve as a member of our Board, if elected.</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9"/>
          <w:szCs w:val="29"/>
          <w:color w:val="0233A1"/>
        </w:rPr>
        <w:t>Comprehensive Director Orientation and Education</w:t>
      </w:r>
    </w:p>
    <w:p>
      <w:pPr>
        <w:spacing w:after="0" w:line="21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Our director orientation and continuing education programs are designed to support our directors in fulfilling their responsibilities as members of the Board. First, all new directors participate in SLB’s director orientation program, to familiarize themselves with our business and operations, financial and performance strategies, controls and compliance systems, sustainability and HSE commitments, industry dynamics, and corporate governance standards. New directors also attend trainings with members of senior management focused on financial, industry- and committee-specific topics, as well as facility and well-site visits.</w:t>
      </w:r>
    </w:p>
    <w:p>
      <w:pPr>
        <w:spacing w:after="0" w:line="15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For new and incumbent directors, regular continuing education programs help our Board stay current on industry, corporate governance, risk management, geopolitics, cybersecurity, and other developments relevant to their work as directors. These programs may include presentations from SLB management or in-depth trainings developed by outside experts, as appropriate. SLB encourages directors to attend external trainings related to their Board responsibilities, and provides resources for director education opportunities across a wide range of topics.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181610</wp:posOffset>
            </wp:positionV>
            <wp:extent cx="471805" cy="28321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471805" cy="283210"/>
                    </a:xfrm>
                    <a:prstGeom prst="rect">
                      <a:avLst/>
                    </a:prstGeom>
                    <a:noFill/>
                  </pic:spPr>
                </pic:pic>
              </a:graphicData>
            </a:graphic>
          </wp:anchor>
        </w:drawing>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2024 Proxy Statement</w:t>
            </w:r>
          </w:p>
        </w:tc>
        <w:tc>
          <w:tcPr>
            <w:tcW w:w="3600" w:type="dxa"/>
            <w:vAlign w:val="bottom"/>
            <w:tcBorders>
              <w:bottom w:val="single" w:sz="8" w:color="auto"/>
            </w:tcBorders>
          </w:tcPr>
          <w:p>
            <w:pPr>
              <w:spacing w:after="0"/>
              <w:rPr>
                <w:sz w:val="12"/>
                <w:szCs w:val="12"/>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23</w:t>
            </w:r>
          </w:p>
        </w:tc>
        <w:tc>
          <w:tcPr>
            <w:tcW w:w="4480" w:type="dxa"/>
            <w:vAlign w:val="bottom"/>
            <w:tcBorders>
              <w:bottom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36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48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color w:val="0233A1"/>
        </w:rPr>
        <w:t>Rigorous Evaluation Processes</w:t>
      </w:r>
    </w:p>
    <w:p>
      <w:pPr>
        <w:spacing w:after="0" w:line="211" w:lineRule="exact"/>
        <w:rPr>
          <w:sz w:val="20"/>
          <w:szCs w:val="20"/>
          <w:color w:val="auto"/>
        </w:rPr>
      </w:pPr>
    </w:p>
    <w:p>
      <w:pPr>
        <w:ind w:right="40" w:firstLine="324"/>
        <w:spacing w:after="0" w:line="259" w:lineRule="auto"/>
        <w:rPr>
          <w:sz w:val="20"/>
          <w:szCs w:val="20"/>
          <w:color w:val="auto"/>
        </w:rPr>
      </w:pPr>
      <w:r>
        <w:rPr>
          <w:rFonts w:ascii="Arial" w:cs="Arial" w:eastAsia="Arial" w:hAnsi="Arial"/>
          <w:sz w:val="16"/>
          <w:szCs w:val="16"/>
          <w:color w:val="auto"/>
        </w:rPr>
        <w:t>Each year, the Board and its committees conduct rigorous evaluations in order to assess the overall functioning, performance, and effectiveness of the Board, its committees, and the individual directors. The Nominating and Governance Committee oversees this annual evaluation process. From time to time, these evaluations may be conducted using a third-party facilitator. The methodology for conducting Board and Committee evaluations is outlined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28632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286321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205"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FFFFFF"/>
        </w:rPr>
        <w:t>Initiate Evaluation Process</w:t>
      </w:r>
    </w:p>
    <w:p>
      <w:pPr>
        <w:spacing w:after="0" w:line="113" w:lineRule="exact"/>
        <w:rPr>
          <w:sz w:val="20"/>
          <w:szCs w:val="20"/>
          <w:color w:val="auto"/>
        </w:rPr>
      </w:pPr>
    </w:p>
    <w:p>
      <w:pPr>
        <w:ind w:left="100" w:firstLine="15"/>
        <w:spacing w:after="0" w:line="256" w:lineRule="auto"/>
        <w:rPr>
          <w:sz w:val="20"/>
          <w:szCs w:val="20"/>
          <w:color w:val="auto"/>
        </w:rPr>
      </w:pPr>
      <w:r>
        <w:rPr>
          <w:rFonts w:ascii="Arial" w:cs="Arial" w:eastAsia="Arial" w:hAnsi="Arial"/>
          <w:sz w:val="16"/>
          <w:szCs w:val="16"/>
          <w:color w:val="auto"/>
        </w:rPr>
        <w:t>Upon the instruction of the Nominating and Governance Committee, written self-assessment questionnaires are distributed to each member of the Board.</w:t>
      </w:r>
    </w:p>
    <w:p>
      <w:pPr>
        <w:spacing w:after="0" w:line="153" w:lineRule="exact"/>
        <w:rPr>
          <w:sz w:val="20"/>
          <w:szCs w:val="20"/>
          <w:color w:val="auto"/>
        </w:rPr>
      </w:pPr>
    </w:p>
    <w:p>
      <w:pPr>
        <w:ind w:left="100" w:right="60" w:firstLine="15"/>
        <w:spacing w:after="0" w:line="252" w:lineRule="auto"/>
        <w:rPr>
          <w:sz w:val="20"/>
          <w:szCs w:val="20"/>
          <w:color w:val="auto"/>
        </w:rPr>
      </w:pPr>
      <w:r>
        <w:rPr>
          <w:rFonts w:ascii="Arial" w:cs="Arial" w:eastAsia="Arial" w:hAnsi="Arial"/>
          <w:sz w:val="16"/>
          <w:szCs w:val="16"/>
          <w:color w:val="auto"/>
        </w:rPr>
        <w:t>These questionnaires seek anonymous, candid feedback from our directors on a variety of topics, including board composition and culture, committee effectiveness, strategic planning, risk management, peer evaluation, and succession planning.</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FFFFFF"/>
        </w:rPr>
        <w:t>Collect Evaluation Data</w:t>
      </w:r>
    </w:p>
    <w:p>
      <w:pPr>
        <w:spacing w:after="0" w:line="113"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Directors’ responses to the questionnaires are then aggregated into summary reports for the Board, each of its committees, and the chair of the Nominating and Governance Committee.</w:t>
      </w:r>
    </w:p>
    <w:p>
      <w:pPr>
        <w:spacing w:after="0" w:line="15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In 2023, all questionnaires were distributed and responses collected through a third-party platform. Periodically, the Nominating and Governance Committee has also used a third-party facilitator to conduct one-on-one interviews with Board members as part of this annual evaluation process.</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left="-119"/>
        <w:spacing w:after="0"/>
        <w:rPr>
          <w:sz w:val="20"/>
          <w:szCs w:val="20"/>
          <w:color w:val="auto"/>
        </w:rPr>
      </w:pPr>
      <w:r>
        <w:rPr>
          <w:rFonts w:ascii="Arial" w:cs="Arial" w:eastAsia="Arial" w:hAnsi="Arial"/>
          <w:sz w:val="16"/>
          <w:szCs w:val="16"/>
          <w:b w:val="1"/>
          <w:bCs w:val="1"/>
          <w:color w:val="FFFFFF"/>
        </w:rPr>
        <w:t>Discuss Findings</w:t>
      </w:r>
    </w:p>
    <w:p>
      <w:pPr>
        <w:spacing w:after="0" w:line="113"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Each October, findings from the evaluation process are reviewed and discussed in executive session at each committee meeting and the full Board meeting. Based on these discussions, the directors may recommend improvements to the Board’s structure, processes, policies, or composition, or other changes.</w:t>
      </w:r>
    </w:p>
    <w:p>
      <w:pPr>
        <w:spacing w:after="0" w:line="160"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In 2023, the Board Chair conducted one-on-one interviews with each director to seek additional insights and to provide feedback. The chair of the Nominating and Governance Committee reviews the Chair’s peer evaluation and provides feedback if appropriate.</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FFFFFF"/>
        </w:rPr>
        <w:t>Implement Feedback</w:t>
      </w:r>
    </w:p>
    <w:p>
      <w:pPr>
        <w:spacing w:after="0" w:line="113"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Finally, the Board, its committees, and (where appropriate) management work to implement the feedback from this evaluation process to improve Board performance and effectiveness.</w:t>
      </w:r>
    </w:p>
    <w:p>
      <w:pPr>
        <w:spacing w:after="0" w:line="155" w:lineRule="exact"/>
        <w:rPr>
          <w:sz w:val="20"/>
          <w:szCs w:val="20"/>
          <w:color w:val="auto"/>
        </w:rPr>
      </w:pPr>
    </w:p>
    <w:p>
      <w:pPr>
        <w:ind w:right="140"/>
        <w:spacing w:after="0" w:line="252" w:lineRule="auto"/>
        <w:rPr>
          <w:sz w:val="20"/>
          <w:szCs w:val="20"/>
          <w:color w:val="auto"/>
        </w:rPr>
      </w:pPr>
      <w:r>
        <w:rPr>
          <w:rFonts w:ascii="Arial" w:cs="Arial" w:eastAsia="Arial" w:hAnsi="Arial"/>
          <w:sz w:val="16"/>
          <w:szCs w:val="16"/>
          <w:color w:val="auto"/>
        </w:rPr>
        <w:t>Following this process, the Nominating and Governance Committee annually reviews—and makes recommendations to the Board regarding—its process for evaluating the effectiveness of the Board, its committees, and individual directors.</w:t>
      </w:r>
    </w:p>
    <w:p>
      <w:pPr>
        <w:spacing w:after="0" w:line="1331" w:lineRule="exact"/>
        <w:rPr>
          <w:sz w:val="20"/>
          <w:szCs w:val="20"/>
          <w:color w:val="auto"/>
        </w:rPr>
      </w:pPr>
    </w:p>
    <w:p>
      <w:pPr>
        <w:sectPr>
          <w:pgSz w:w="11900" w:h="16838" w:orient="portrait"/>
          <w:cols w:equalWidth="0" w:num="4">
            <w:col w:w="2660" w:space="360"/>
            <w:col w:w="2460" w:space="360"/>
            <w:col w:w="2400" w:space="400"/>
            <w:col w:w="2600"/>
          </w:cols>
          <w:pgMar w:left="320" w:top="238" w:right="339" w:bottom="1440" w:gutter="0" w:footer="0" w:header="0"/>
          <w:type w:val="continuous"/>
        </w:sectPr>
      </w:pPr>
    </w:p>
    <w:p>
      <w:pPr>
        <w:spacing w:after="0" w:line="129" w:lineRule="exact"/>
        <w:rPr>
          <w:sz w:val="20"/>
          <w:szCs w:val="20"/>
          <w:color w:val="auto"/>
        </w:rPr>
      </w:pPr>
    </w:p>
    <w:p>
      <w:pPr>
        <w:spacing w:after="0"/>
        <w:rPr>
          <w:sz w:val="20"/>
          <w:szCs w:val="20"/>
          <w:color w:val="auto"/>
        </w:rPr>
      </w:pPr>
      <w:r>
        <w:rPr>
          <w:rFonts w:ascii="Arial" w:cs="Arial" w:eastAsia="Arial" w:hAnsi="Arial"/>
          <w:sz w:val="29"/>
          <w:szCs w:val="29"/>
          <w:color w:val="0233A1"/>
        </w:rPr>
        <w:t>Board Committees</w:t>
      </w:r>
    </w:p>
    <w:p>
      <w:pPr>
        <w:spacing w:after="0" w:line="21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6"/>
          <w:szCs w:val="16"/>
          <w:color w:val="auto"/>
        </w:rPr>
        <w:t>The Board has five standing committees: Audit, Compensation, Nominating and Governance, Finance, and New Energy and Innovation. Each member of the Audit, Compensation, and Nominating and Governance committees meets the independence and other requirements of the New York Stock Exchange (</w:t>
      </w:r>
      <w:r>
        <w:rPr>
          <w:rFonts w:ascii="Arial" w:cs="Arial" w:eastAsia="Arial" w:hAnsi="Arial"/>
          <w:sz w:val="16"/>
          <w:szCs w:val="16"/>
          <w:b w:val="1"/>
          <w:bCs w:val="1"/>
          <w:color w:val="auto"/>
        </w:rPr>
        <w:t>NYSE</w:t>
      </w:r>
      <w:r>
        <w:rPr>
          <w:rFonts w:ascii="Arial" w:cs="Arial" w:eastAsia="Arial" w:hAnsi="Arial"/>
          <w:sz w:val="16"/>
          <w:szCs w:val="16"/>
          <w:color w:val="auto"/>
        </w:rPr>
        <w:t>) listing standards and SEC rules (including the heightened requirements that apply to audit or compensation committee members, as applicable).</w:t>
      </w:r>
    </w:p>
    <w:p>
      <w:pPr>
        <w:spacing w:after="0" w:line="342"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6"/>
          <w:szCs w:val="16"/>
          <w:color w:val="auto"/>
        </w:rPr>
        <w:t>In addition, each member of the Audit Committee is financially literate, and each of Mr. de La Chevardière and Mr. Sheets qualifies as an “audit committee financial expert” under applicable SEC rules.</w:t>
      </w:r>
    </w:p>
    <w:p>
      <w:pPr>
        <w:spacing w:after="0" w:line="1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Nominating and Governance Committee nominates directors to serve on and chair the Board’s committees, for final approval by the full Board. The following table reflects the current membership of the Board’s standing committees.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0233A1"/>
              </w:rPr>
              <w:t>Nominating and</w:t>
            </w:r>
          </w:p>
        </w:tc>
        <w:tc>
          <w:tcPr>
            <w:tcW w:w="1500" w:type="dxa"/>
            <w:vAlign w:val="bottom"/>
          </w:tcPr>
          <w:p>
            <w:pPr>
              <w:spacing w:after="0"/>
              <w:rPr>
                <w:sz w:val="16"/>
                <w:szCs w:val="16"/>
                <w:color w:val="auto"/>
              </w:rPr>
            </w:pPr>
          </w:p>
        </w:tc>
        <w:tc>
          <w:tcPr>
            <w:tcW w:w="1660" w:type="dxa"/>
            <w:vAlign w:val="bottom"/>
          </w:tcPr>
          <w:p>
            <w:pPr>
              <w:jc w:val="center"/>
              <w:ind w:left="79"/>
              <w:spacing w:after="0"/>
              <w:rPr>
                <w:sz w:val="20"/>
                <w:szCs w:val="20"/>
                <w:color w:val="auto"/>
              </w:rPr>
            </w:pPr>
            <w:r>
              <w:rPr>
                <w:rFonts w:ascii="Arial" w:cs="Arial" w:eastAsia="Arial" w:hAnsi="Arial"/>
                <w:sz w:val="16"/>
                <w:szCs w:val="16"/>
                <w:b w:val="1"/>
                <w:bCs w:val="1"/>
                <w:color w:val="0233A1"/>
              </w:rPr>
              <w:t>New Energy</w:t>
            </w:r>
          </w:p>
        </w:tc>
      </w:tr>
      <w:tr>
        <w:trPr>
          <w:trHeight w:val="189"/>
        </w:trPr>
        <w:tc>
          <w:tcPr>
            <w:tcW w:w="2640" w:type="dxa"/>
            <w:vAlign w:val="bottom"/>
          </w:tcPr>
          <w:p>
            <w:pPr>
              <w:spacing w:after="0"/>
              <w:rPr>
                <w:sz w:val="16"/>
                <w:szCs w:val="16"/>
                <w:color w:val="auto"/>
              </w:rPr>
            </w:pPr>
          </w:p>
        </w:tc>
        <w:tc>
          <w:tcPr>
            <w:tcW w:w="1920" w:type="dxa"/>
            <w:vAlign w:val="bottom"/>
          </w:tcPr>
          <w:p>
            <w:pPr>
              <w:ind w:left="920"/>
              <w:spacing w:after="0"/>
              <w:rPr>
                <w:sz w:val="20"/>
                <w:szCs w:val="20"/>
                <w:color w:val="auto"/>
              </w:rPr>
            </w:pPr>
            <w:r>
              <w:rPr>
                <w:rFonts w:ascii="Arial" w:cs="Arial" w:eastAsia="Arial" w:hAnsi="Arial"/>
                <w:sz w:val="16"/>
                <w:szCs w:val="16"/>
                <w:b w:val="1"/>
                <w:bCs w:val="1"/>
                <w:color w:val="0233A1"/>
              </w:rPr>
              <w:t>Audit</w:t>
            </w:r>
          </w:p>
        </w:tc>
        <w:tc>
          <w:tcPr>
            <w:tcW w:w="1720" w:type="dxa"/>
            <w:vAlign w:val="bottom"/>
          </w:tcPr>
          <w:p>
            <w:pPr>
              <w:ind w:left="340"/>
              <w:spacing w:after="0"/>
              <w:rPr>
                <w:sz w:val="20"/>
                <w:szCs w:val="20"/>
                <w:color w:val="auto"/>
              </w:rPr>
            </w:pPr>
            <w:r>
              <w:rPr>
                <w:rFonts w:ascii="Arial" w:cs="Arial" w:eastAsia="Arial" w:hAnsi="Arial"/>
                <w:sz w:val="16"/>
                <w:szCs w:val="16"/>
                <w:b w:val="1"/>
                <w:bCs w:val="1"/>
                <w:color w:val="0233A1"/>
              </w:rPr>
              <w:t>Compensation</w:t>
            </w:r>
          </w:p>
        </w:tc>
        <w:tc>
          <w:tcPr>
            <w:tcW w:w="1800" w:type="dxa"/>
            <w:vAlign w:val="bottom"/>
          </w:tcPr>
          <w:p>
            <w:pPr>
              <w:jc w:val="center"/>
              <w:spacing w:after="0"/>
              <w:rPr>
                <w:sz w:val="20"/>
                <w:szCs w:val="20"/>
                <w:color w:val="auto"/>
              </w:rPr>
            </w:pPr>
            <w:r>
              <w:rPr>
                <w:rFonts w:ascii="Arial" w:cs="Arial" w:eastAsia="Arial" w:hAnsi="Arial"/>
                <w:sz w:val="16"/>
                <w:szCs w:val="16"/>
                <w:b w:val="1"/>
                <w:bCs w:val="1"/>
                <w:color w:val="0233A1"/>
                <w:w w:val="99"/>
              </w:rPr>
              <w:t>Governance</w:t>
            </w:r>
          </w:p>
        </w:tc>
        <w:tc>
          <w:tcPr>
            <w:tcW w:w="1500" w:type="dxa"/>
            <w:vAlign w:val="bottom"/>
          </w:tcPr>
          <w:p>
            <w:pPr>
              <w:ind w:left="420"/>
              <w:spacing w:after="0"/>
              <w:rPr>
                <w:sz w:val="20"/>
                <w:szCs w:val="20"/>
                <w:color w:val="auto"/>
              </w:rPr>
            </w:pPr>
            <w:r>
              <w:rPr>
                <w:rFonts w:ascii="Arial" w:cs="Arial" w:eastAsia="Arial" w:hAnsi="Arial"/>
                <w:sz w:val="16"/>
                <w:szCs w:val="16"/>
                <w:b w:val="1"/>
                <w:bCs w:val="1"/>
                <w:color w:val="0233A1"/>
              </w:rPr>
              <w:t>Finance</w:t>
            </w:r>
          </w:p>
        </w:tc>
        <w:tc>
          <w:tcPr>
            <w:tcW w:w="1660" w:type="dxa"/>
            <w:vAlign w:val="bottom"/>
          </w:tcPr>
          <w:p>
            <w:pPr>
              <w:jc w:val="center"/>
              <w:ind w:left="79"/>
              <w:spacing w:after="0"/>
              <w:rPr>
                <w:sz w:val="20"/>
                <w:szCs w:val="20"/>
                <w:color w:val="auto"/>
              </w:rPr>
            </w:pPr>
            <w:r>
              <w:rPr>
                <w:rFonts w:ascii="Arial" w:cs="Arial" w:eastAsia="Arial" w:hAnsi="Arial"/>
                <w:sz w:val="16"/>
                <w:szCs w:val="16"/>
                <w:b w:val="1"/>
                <w:bCs w:val="1"/>
                <w:color w:val="0233A1"/>
              </w:rPr>
              <w:t>and Innovation</w:t>
            </w:r>
          </w:p>
        </w:tc>
      </w:tr>
      <w:tr>
        <w:trPr>
          <w:trHeight w:val="203"/>
        </w:trPr>
        <w:tc>
          <w:tcPr>
            <w:tcW w:w="2640" w:type="dxa"/>
            <w:vAlign w:val="bottom"/>
            <w:tcBorders>
              <w:bottom w:val="single" w:sz="8" w:color="0233A1"/>
            </w:tcBorders>
          </w:tcPr>
          <w:p>
            <w:pPr>
              <w:ind w:left="40"/>
              <w:spacing w:after="0"/>
              <w:rPr>
                <w:sz w:val="20"/>
                <w:szCs w:val="20"/>
                <w:color w:val="auto"/>
              </w:rPr>
            </w:pPr>
            <w:r>
              <w:rPr>
                <w:rFonts w:ascii="Arial" w:cs="Arial" w:eastAsia="Arial" w:hAnsi="Arial"/>
                <w:sz w:val="16"/>
                <w:szCs w:val="16"/>
                <w:b w:val="1"/>
                <w:bCs w:val="1"/>
                <w:color w:val="0233A1"/>
              </w:rPr>
              <w:t>Name of Director</w:t>
            </w:r>
          </w:p>
        </w:tc>
        <w:tc>
          <w:tcPr>
            <w:tcW w:w="1920" w:type="dxa"/>
            <w:vAlign w:val="bottom"/>
            <w:tcBorders>
              <w:bottom w:val="single" w:sz="8" w:color="0233A1"/>
            </w:tcBorders>
          </w:tcPr>
          <w:p>
            <w:pPr>
              <w:jc w:val="center"/>
              <w:ind w:left="319"/>
              <w:spacing w:after="0"/>
              <w:rPr>
                <w:sz w:val="20"/>
                <w:szCs w:val="20"/>
                <w:color w:val="auto"/>
              </w:rPr>
            </w:pPr>
            <w:r>
              <w:rPr>
                <w:rFonts w:ascii="Arial" w:cs="Arial" w:eastAsia="Arial" w:hAnsi="Arial"/>
                <w:sz w:val="16"/>
                <w:szCs w:val="16"/>
                <w:b w:val="1"/>
                <w:bCs w:val="1"/>
                <w:color w:val="0233A1"/>
              </w:rPr>
              <w:t>Committee</w:t>
            </w:r>
          </w:p>
        </w:tc>
        <w:tc>
          <w:tcPr>
            <w:tcW w:w="1720" w:type="dxa"/>
            <w:vAlign w:val="bottom"/>
            <w:tcBorders>
              <w:bottom w:val="single" w:sz="8" w:color="0233A1"/>
            </w:tcBorders>
          </w:tcPr>
          <w:p>
            <w:pPr>
              <w:jc w:val="center"/>
              <w:ind w:left="59"/>
              <w:spacing w:after="0"/>
              <w:rPr>
                <w:sz w:val="20"/>
                <w:szCs w:val="20"/>
                <w:color w:val="auto"/>
              </w:rPr>
            </w:pPr>
            <w:r>
              <w:rPr>
                <w:rFonts w:ascii="Arial" w:cs="Arial" w:eastAsia="Arial" w:hAnsi="Arial"/>
                <w:sz w:val="16"/>
                <w:szCs w:val="16"/>
                <w:b w:val="1"/>
                <w:bCs w:val="1"/>
                <w:color w:val="0233A1"/>
                <w:w w:val="99"/>
              </w:rPr>
              <w:t>Committee</w:t>
            </w:r>
          </w:p>
        </w:tc>
        <w:tc>
          <w:tcPr>
            <w:tcW w:w="1800" w:type="dxa"/>
            <w:vAlign w:val="bottom"/>
            <w:tcBorders>
              <w:bottom w:val="single" w:sz="8" w:color="0233A1"/>
            </w:tcBorders>
          </w:tcPr>
          <w:p>
            <w:pPr>
              <w:jc w:val="center"/>
              <w:spacing w:after="0"/>
              <w:rPr>
                <w:sz w:val="20"/>
                <w:szCs w:val="20"/>
                <w:color w:val="auto"/>
              </w:rPr>
            </w:pPr>
            <w:r>
              <w:rPr>
                <w:rFonts w:ascii="Arial" w:cs="Arial" w:eastAsia="Arial" w:hAnsi="Arial"/>
                <w:sz w:val="16"/>
                <w:szCs w:val="16"/>
                <w:b w:val="1"/>
                <w:bCs w:val="1"/>
                <w:color w:val="0233A1"/>
              </w:rPr>
              <w:t>Committee</w:t>
            </w:r>
          </w:p>
        </w:tc>
        <w:tc>
          <w:tcPr>
            <w:tcW w:w="1500" w:type="dxa"/>
            <w:vAlign w:val="bottom"/>
            <w:tcBorders>
              <w:bottom w:val="single" w:sz="8" w:color="0233A1"/>
            </w:tcBorders>
          </w:tcPr>
          <w:p>
            <w:pPr>
              <w:jc w:val="center"/>
              <w:spacing w:after="0"/>
              <w:rPr>
                <w:sz w:val="20"/>
                <w:szCs w:val="20"/>
                <w:color w:val="auto"/>
              </w:rPr>
            </w:pPr>
            <w:r>
              <w:rPr>
                <w:rFonts w:ascii="Arial" w:cs="Arial" w:eastAsia="Arial" w:hAnsi="Arial"/>
                <w:sz w:val="16"/>
                <w:szCs w:val="16"/>
                <w:b w:val="1"/>
                <w:bCs w:val="1"/>
                <w:color w:val="0233A1"/>
              </w:rPr>
              <w:t>Committee</w:t>
            </w:r>
          </w:p>
        </w:tc>
        <w:tc>
          <w:tcPr>
            <w:tcW w:w="1660" w:type="dxa"/>
            <w:vAlign w:val="bottom"/>
            <w:tcBorders>
              <w:bottom w:val="single" w:sz="8" w:color="0233A1"/>
            </w:tcBorders>
          </w:tcPr>
          <w:p>
            <w:pPr>
              <w:jc w:val="center"/>
              <w:ind w:left="119"/>
              <w:spacing w:after="0"/>
              <w:rPr>
                <w:sz w:val="20"/>
                <w:szCs w:val="20"/>
                <w:color w:val="auto"/>
              </w:rPr>
            </w:pPr>
            <w:r>
              <w:rPr>
                <w:rFonts w:ascii="Arial" w:cs="Arial" w:eastAsia="Arial" w:hAnsi="Arial"/>
                <w:sz w:val="16"/>
                <w:szCs w:val="16"/>
                <w:b w:val="1"/>
                <w:bCs w:val="1"/>
                <w:color w:val="0233A1"/>
                <w:w w:val="99"/>
              </w:rPr>
              <w:t>Committee</w:t>
            </w:r>
          </w:p>
        </w:tc>
      </w:tr>
      <w:tr>
        <w:trPr>
          <w:trHeight w:val="221"/>
        </w:trPr>
        <w:tc>
          <w:tcPr>
            <w:tcW w:w="2640" w:type="dxa"/>
            <w:vAlign w:val="bottom"/>
          </w:tcPr>
          <w:p>
            <w:pPr>
              <w:ind w:left="40"/>
              <w:spacing w:after="0"/>
              <w:rPr>
                <w:sz w:val="20"/>
                <w:szCs w:val="20"/>
                <w:color w:val="auto"/>
              </w:rPr>
            </w:pPr>
            <w:r>
              <w:rPr>
                <w:rFonts w:ascii="Arial" w:cs="Arial" w:eastAsia="Arial" w:hAnsi="Arial"/>
                <w:sz w:val="16"/>
                <w:szCs w:val="16"/>
                <w:color w:val="auto"/>
              </w:rPr>
              <w:t>Peter Coleman</w:t>
            </w:r>
          </w:p>
        </w:tc>
        <w:tc>
          <w:tcPr>
            <w:tcW w:w="19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Wingdings" w:cs="Wingdings" w:eastAsia="Wingdings" w:hAnsi="Wingdings"/>
                <w:sz w:val="16"/>
                <w:szCs w:val="16"/>
                <w:b w:val="1"/>
                <w:bCs w:val="1"/>
                <w:color w:val="0233A1"/>
                <w:w w:val="99"/>
              </w:rPr>
              <w:t>l</w:t>
            </w:r>
          </w:p>
        </w:tc>
        <w:tc>
          <w:tcPr>
            <w:tcW w:w="1500" w:type="dxa"/>
            <w:vAlign w:val="bottom"/>
          </w:tcPr>
          <w:p>
            <w:pPr>
              <w:jc w:val="center"/>
              <w:spacing w:after="0"/>
              <w:rPr>
                <w:sz w:val="20"/>
                <w:szCs w:val="20"/>
                <w:color w:val="auto"/>
              </w:rPr>
            </w:pPr>
            <w:r>
              <w:rPr>
                <w:rFonts w:ascii="Wingdings" w:cs="Wingdings" w:eastAsia="Wingdings" w:hAnsi="Wingdings"/>
                <w:sz w:val="16"/>
                <w:szCs w:val="16"/>
                <w:b w:val="1"/>
                <w:bCs w:val="1"/>
                <w:color w:val="0233A1"/>
                <w:w w:val="99"/>
              </w:rPr>
              <w:t>l</w:t>
            </w:r>
          </w:p>
        </w:tc>
        <w:tc>
          <w:tcPr>
            <w:tcW w:w="1660" w:type="dxa"/>
            <w:vAlign w:val="bottom"/>
          </w:tcPr>
          <w:p>
            <w:pPr>
              <w:spacing w:after="0"/>
              <w:rPr>
                <w:sz w:val="19"/>
                <w:szCs w:val="19"/>
                <w:color w:val="auto"/>
              </w:rPr>
            </w:pPr>
          </w:p>
        </w:tc>
      </w:tr>
      <w:tr>
        <w:trPr>
          <w:trHeight w:val="256"/>
        </w:trPr>
        <w:tc>
          <w:tcPr>
            <w:tcW w:w="2640" w:type="dxa"/>
            <w:vAlign w:val="bottom"/>
          </w:tcPr>
          <w:p>
            <w:pPr>
              <w:ind w:left="40"/>
              <w:spacing w:after="0"/>
              <w:rPr>
                <w:sz w:val="20"/>
                <w:szCs w:val="20"/>
                <w:color w:val="auto"/>
              </w:rPr>
            </w:pPr>
            <w:r>
              <w:rPr>
                <w:rFonts w:ascii="Arial" w:cs="Arial" w:eastAsia="Arial" w:hAnsi="Arial"/>
                <w:sz w:val="16"/>
                <w:szCs w:val="16"/>
                <w:color w:val="auto"/>
              </w:rPr>
              <w:t>Patrick de La Chevardière</w:t>
            </w:r>
          </w:p>
        </w:tc>
        <w:tc>
          <w:tcPr>
            <w:tcW w:w="1920" w:type="dxa"/>
            <w:vAlign w:val="bottom"/>
          </w:tcPr>
          <w:p>
            <w:pPr>
              <w:jc w:val="center"/>
              <w:ind w:left="339"/>
              <w:spacing w:after="0"/>
              <w:rPr>
                <w:sz w:val="20"/>
                <w:szCs w:val="20"/>
                <w:color w:val="auto"/>
              </w:rPr>
            </w:pPr>
            <w:r>
              <w:rPr>
                <w:rFonts w:ascii="Arial" w:cs="Arial" w:eastAsia="Arial" w:hAnsi="Arial"/>
                <w:sz w:val="16"/>
                <w:szCs w:val="16"/>
                <w:color w:val="auto"/>
                <w:w w:val="99"/>
              </w:rPr>
              <w:t>Chair</w:t>
            </w:r>
          </w:p>
        </w:tc>
        <w:tc>
          <w:tcPr>
            <w:tcW w:w="17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Wingdings" w:cs="Wingdings" w:eastAsia="Wingdings" w:hAnsi="Wingdings"/>
                <w:sz w:val="16"/>
                <w:szCs w:val="16"/>
                <w:b w:val="1"/>
                <w:bCs w:val="1"/>
                <w:color w:val="0233A1"/>
                <w:w w:val="99"/>
              </w:rPr>
              <w:t>l</w:t>
            </w:r>
          </w:p>
        </w:tc>
        <w:tc>
          <w:tcPr>
            <w:tcW w:w="1660" w:type="dxa"/>
            <w:vAlign w:val="bottom"/>
          </w:tcPr>
          <w:p>
            <w:pPr>
              <w:spacing w:after="0"/>
              <w:rPr>
                <w:sz w:val="22"/>
                <w:szCs w:val="22"/>
                <w:color w:val="auto"/>
              </w:rPr>
            </w:pPr>
          </w:p>
        </w:tc>
      </w:tr>
      <w:tr>
        <w:trPr>
          <w:trHeight w:val="257"/>
        </w:trPr>
        <w:tc>
          <w:tcPr>
            <w:tcW w:w="2640" w:type="dxa"/>
            <w:vAlign w:val="bottom"/>
          </w:tcPr>
          <w:p>
            <w:pPr>
              <w:ind w:left="40"/>
              <w:spacing w:after="0"/>
              <w:rPr>
                <w:sz w:val="20"/>
                <w:szCs w:val="20"/>
                <w:color w:val="auto"/>
              </w:rPr>
            </w:pPr>
            <w:r>
              <w:rPr>
                <w:rFonts w:ascii="Arial" w:cs="Arial" w:eastAsia="Arial" w:hAnsi="Arial"/>
                <w:sz w:val="16"/>
                <w:szCs w:val="16"/>
                <w:color w:val="auto"/>
              </w:rPr>
              <w:t>Miguel Galuccio</w:t>
            </w:r>
          </w:p>
        </w:tc>
        <w:tc>
          <w:tcPr>
            <w:tcW w:w="19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w w:val="99"/>
              </w:rPr>
              <w:t>Chair</w:t>
            </w:r>
          </w:p>
        </w:tc>
        <w:tc>
          <w:tcPr>
            <w:tcW w:w="1660" w:type="dxa"/>
            <w:vAlign w:val="bottom"/>
          </w:tcPr>
          <w:p>
            <w:pPr>
              <w:spacing w:after="0"/>
              <w:rPr>
                <w:sz w:val="22"/>
                <w:szCs w:val="22"/>
                <w:color w:val="auto"/>
              </w:rPr>
            </w:pPr>
          </w:p>
        </w:tc>
      </w:tr>
      <w:tr>
        <w:trPr>
          <w:trHeight w:val="339"/>
        </w:trPr>
        <w:tc>
          <w:tcPr>
            <w:tcW w:w="2640" w:type="dxa"/>
            <w:vAlign w:val="bottom"/>
          </w:tcPr>
          <w:p>
            <w:pPr>
              <w:ind w:left="40"/>
              <w:spacing w:after="0"/>
              <w:rPr>
                <w:sz w:val="20"/>
                <w:szCs w:val="20"/>
                <w:color w:val="auto"/>
              </w:rPr>
            </w:pPr>
            <w:r>
              <w:rPr>
                <w:rFonts w:ascii="Arial" w:cs="Arial" w:eastAsia="Arial" w:hAnsi="Arial"/>
                <w:sz w:val="16"/>
                <w:szCs w:val="16"/>
                <w:color w:val="auto"/>
              </w:rPr>
              <w:t>Jim Hackett</w:t>
            </w:r>
            <w:r>
              <w:rPr>
                <w:rFonts w:ascii="Arial" w:cs="Arial" w:eastAsia="Arial" w:hAnsi="Arial"/>
                <w:sz w:val="26"/>
                <w:szCs w:val="26"/>
                <w:color w:val="auto"/>
                <w:vertAlign w:val="superscript"/>
              </w:rPr>
              <w:t>(1)</w:t>
            </w:r>
          </w:p>
        </w:tc>
        <w:tc>
          <w:tcPr>
            <w:tcW w:w="19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15"/>
        </w:trPr>
        <w:tc>
          <w:tcPr>
            <w:tcW w:w="2640" w:type="dxa"/>
            <w:vAlign w:val="bottom"/>
          </w:tcPr>
          <w:p>
            <w:pPr>
              <w:ind w:left="40"/>
              <w:spacing w:after="0"/>
              <w:rPr>
                <w:sz w:val="20"/>
                <w:szCs w:val="20"/>
                <w:color w:val="auto"/>
              </w:rPr>
            </w:pPr>
            <w:r>
              <w:rPr>
                <w:rFonts w:ascii="Arial" w:cs="Arial" w:eastAsia="Arial" w:hAnsi="Arial"/>
                <w:sz w:val="16"/>
                <w:szCs w:val="16"/>
                <w:color w:val="auto"/>
              </w:rPr>
              <w:t>Samuel Leupold</w:t>
            </w:r>
          </w:p>
        </w:tc>
        <w:tc>
          <w:tcPr>
            <w:tcW w:w="1920" w:type="dxa"/>
            <w:vAlign w:val="bottom"/>
          </w:tcPr>
          <w:p>
            <w:pPr>
              <w:jc w:val="center"/>
              <w:ind w:left="359"/>
              <w:spacing w:after="0"/>
              <w:rPr>
                <w:sz w:val="20"/>
                <w:szCs w:val="20"/>
                <w:color w:val="auto"/>
              </w:rPr>
            </w:pPr>
            <w:r>
              <w:rPr>
                <w:rFonts w:ascii="Wingdings" w:cs="Wingdings" w:eastAsia="Wingdings" w:hAnsi="Wingdings"/>
                <w:sz w:val="16"/>
                <w:szCs w:val="16"/>
                <w:b w:val="1"/>
                <w:bCs w:val="1"/>
                <w:color w:val="0233A1"/>
                <w:w w:val="99"/>
              </w:rPr>
              <w:t>l</w:t>
            </w:r>
          </w:p>
        </w:tc>
        <w:tc>
          <w:tcPr>
            <w:tcW w:w="17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Wingdings" w:cs="Wingdings" w:eastAsia="Wingdings" w:hAnsi="Wingdings"/>
                <w:sz w:val="16"/>
                <w:szCs w:val="16"/>
                <w:b w:val="1"/>
                <w:bCs w:val="1"/>
                <w:color w:val="0233A1"/>
                <w:w w:val="99"/>
              </w:rPr>
              <w:t>l</w:t>
            </w:r>
          </w:p>
        </w:tc>
        <w:tc>
          <w:tcPr>
            <w:tcW w:w="1660" w:type="dxa"/>
            <w:vAlign w:val="bottom"/>
          </w:tcPr>
          <w:p>
            <w:pPr>
              <w:jc w:val="center"/>
              <w:ind w:left="139"/>
              <w:spacing w:after="0"/>
              <w:rPr>
                <w:sz w:val="20"/>
                <w:szCs w:val="20"/>
                <w:color w:val="auto"/>
              </w:rPr>
            </w:pPr>
            <w:r>
              <w:rPr>
                <w:rFonts w:ascii="Wingdings" w:cs="Wingdings" w:eastAsia="Wingdings" w:hAnsi="Wingdings"/>
                <w:sz w:val="16"/>
                <w:szCs w:val="16"/>
                <w:b w:val="1"/>
                <w:bCs w:val="1"/>
                <w:color w:val="0233A1"/>
                <w:w w:val="99"/>
              </w:rPr>
              <w:t>l</w:t>
            </w:r>
          </w:p>
        </w:tc>
      </w:tr>
      <w:tr>
        <w:trPr>
          <w:trHeight w:val="257"/>
        </w:trPr>
        <w:tc>
          <w:tcPr>
            <w:tcW w:w="2640" w:type="dxa"/>
            <w:vAlign w:val="bottom"/>
          </w:tcPr>
          <w:p>
            <w:pPr>
              <w:ind w:left="40"/>
              <w:spacing w:after="0"/>
              <w:rPr>
                <w:sz w:val="20"/>
                <w:szCs w:val="20"/>
                <w:color w:val="auto"/>
              </w:rPr>
            </w:pPr>
            <w:r>
              <w:rPr>
                <w:rFonts w:ascii="Arial" w:cs="Arial" w:eastAsia="Arial" w:hAnsi="Arial"/>
                <w:sz w:val="16"/>
                <w:szCs w:val="16"/>
                <w:color w:val="auto"/>
              </w:rPr>
              <w:t>Tatiana Mitrova</w:t>
            </w:r>
          </w:p>
        </w:tc>
        <w:tc>
          <w:tcPr>
            <w:tcW w:w="1920" w:type="dxa"/>
            <w:vAlign w:val="bottom"/>
          </w:tcPr>
          <w:p>
            <w:pPr>
              <w:jc w:val="center"/>
              <w:ind w:left="359"/>
              <w:spacing w:after="0"/>
              <w:rPr>
                <w:sz w:val="20"/>
                <w:szCs w:val="20"/>
                <w:color w:val="auto"/>
              </w:rPr>
            </w:pPr>
            <w:r>
              <w:rPr>
                <w:rFonts w:ascii="Wingdings" w:cs="Wingdings" w:eastAsia="Wingdings" w:hAnsi="Wingdings"/>
                <w:sz w:val="16"/>
                <w:szCs w:val="16"/>
                <w:b w:val="1"/>
                <w:bCs w:val="1"/>
                <w:color w:val="0233A1"/>
                <w:w w:val="99"/>
              </w:rPr>
              <w:t>l</w:t>
            </w:r>
          </w:p>
        </w:tc>
        <w:tc>
          <w:tcPr>
            <w:tcW w:w="17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Wingdings" w:cs="Wingdings" w:eastAsia="Wingdings" w:hAnsi="Wingdings"/>
                <w:sz w:val="16"/>
                <w:szCs w:val="16"/>
                <w:b w:val="1"/>
                <w:bCs w:val="1"/>
                <w:color w:val="0233A1"/>
                <w:w w:val="99"/>
              </w:rPr>
              <w:t>l</w:t>
            </w:r>
          </w:p>
        </w:tc>
        <w:tc>
          <w:tcPr>
            <w:tcW w:w="1660" w:type="dxa"/>
            <w:vAlign w:val="bottom"/>
          </w:tcPr>
          <w:p>
            <w:pPr>
              <w:jc w:val="center"/>
              <w:ind w:left="139"/>
              <w:spacing w:after="0"/>
              <w:rPr>
                <w:sz w:val="20"/>
                <w:szCs w:val="20"/>
                <w:color w:val="auto"/>
              </w:rPr>
            </w:pPr>
            <w:r>
              <w:rPr>
                <w:rFonts w:ascii="Wingdings" w:cs="Wingdings" w:eastAsia="Wingdings" w:hAnsi="Wingdings"/>
                <w:sz w:val="16"/>
                <w:szCs w:val="16"/>
                <w:b w:val="1"/>
                <w:bCs w:val="1"/>
                <w:color w:val="0233A1"/>
                <w:w w:val="99"/>
              </w:rPr>
              <w:t>l</w:t>
            </w:r>
          </w:p>
        </w:tc>
      </w:tr>
      <w:tr>
        <w:trPr>
          <w:trHeight w:val="256"/>
        </w:trPr>
        <w:tc>
          <w:tcPr>
            <w:tcW w:w="2640" w:type="dxa"/>
            <w:vAlign w:val="bottom"/>
          </w:tcPr>
          <w:p>
            <w:pPr>
              <w:ind w:left="40"/>
              <w:spacing w:after="0"/>
              <w:rPr>
                <w:sz w:val="20"/>
                <w:szCs w:val="20"/>
                <w:color w:val="auto"/>
              </w:rPr>
            </w:pPr>
            <w:r>
              <w:rPr>
                <w:rFonts w:ascii="Arial" w:cs="Arial" w:eastAsia="Arial" w:hAnsi="Arial"/>
                <w:sz w:val="16"/>
                <w:szCs w:val="16"/>
                <w:color w:val="auto"/>
              </w:rPr>
              <w:t>Maria Moræus Hanssen</w:t>
            </w:r>
          </w:p>
        </w:tc>
        <w:tc>
          <w:tcPr>
            <w:tcW w:w="1920" w:type="dxa"/>
            <w:vAlign w:val="bottom"/>
          </w:tcPr>
          <w:p>
            <w:pPr>
              <w:spacing w:after="0"/>
              <w:rPr>
                <w:sz w:val="22"/>
                <w:szCs w:val="22"/>
                <w:color w:val="auto"/>
              </w:rPr>
            </w:pPr>
          </w:p>
        </w:tc>
        <w:tc>
          <w:tcPr>
            <w:tcW w:w="1720" w:type="dxa"/>
            <w:vAlign w:val="bottom"/>
          </w:tcPr>
          <w:p>
            <w:pPr>
              <w:jc w:val="center"/>
              <w:ind w:left="79"/>
              <w:spacing w:after="0"/>
              <w:rPr>
                <w:sz w:val="20"/>
                <w:szCs w:val="20"/>
                <w:color w:val="auto"/>
              </w:rPr>
            </w:pPr>
            <w:r>
              <w:rPr>
                <w:rFonts w:ascii="Wingdings" w:cs="Wingdings" w:eastAsia="Wingdings" w:hAnsi="Wingdings"/>
                <w:sz w:val="16"/>
                <w:szCs w:val="16"/>
                <w:b w:val="1"/>
                <w:bCs w:val="1"/>
                <w:color w:val="0233A1"/>
                <w:w w:val="99"/>
              </w:rPr>
              <w:t>l</w:t>
            </w:r>
          </w:p>
        </w:tc>
        <w:tc>
          <w:tcPr>
            <w:tcW w:w="1800" w:type="dxa"/>
            <w:vAlign w:val="bottom"/>
          </w:tcPr>
          <w:p>
            <w:pPr>
              <w:jc w:val="center"/>
              <w:spacing w:after="0"/>
              <w:rPr>
                <w:sz w:val="20"/>
                <w:szCs w:val="20"/>
                <w:color w:val="auto"/>
              </w:rPr>
            </w:pPr>
            <w:r>
              <w:rPr>
                <w:rFonts w:ascii="Wingdings" w:cs="Wingdings" w:eastAsia="Wingdings" w:hAnsi="Wingdings"/>
                <w:sz w:val="16"/>
                <w:szCs w:val="16"/>
                <w:b w:val="1"/>
                <w:bCs w:val="1"/>
                <w:color w:val="0233A1"/>
                <w:w w:val="99"/>
              </w:rPr>
              <w:t>l</w:t>
            </w:r>
          </w:p>
        </w:tc>
        <w:tc>
          <w:tcPr>
            <w:tcW w:w="1500" w:type="dxa"/>
            <w:vAlign w:val="bottom"/>
          </w:tcPr>
          <w:p>
            <w:pPr>
              <w:spacing w:after="0"/>
              <w:rPr>
                <w:sz w:val="22"/>
                <w:szCs w:val="22"/>
                <w:color w:val="auto"/>
              </w:rPr>
            </w:pPr>
          </w:p>
        </w:tc>
        <w:tc>
          <w:tcPr>
            <w:tcW w:w="1660" w:type="dxa"/>
            <w:vAlign w:val="bottom"/>
          </w:tcPr>
          <w:p>
            <w:pPr>
              <w:jc w:val="center"/>
              <w:ind w:left="159"/>
              <w:spacing w:after="0"/>
              <w:rPr>
                <w:sz w:val="20"/>
                <w:szCs w:val="20"/>
                <w:color w:val="auto"/>
              </w:rPr>
            </w:pPr>
            <w:r>
              <w:rPr>
                <w:rFonts w:ascii="Arial" w:cs="Arial" w:eastAsia="Arial" w:hAnsi="Arial"/>
                <w:sz w:val="16"/>
                <w:szCs w:val="16"/>
                <w:color w:val="auto"/>
                <w:w w:val="99"/>
              </w:rPr>
              <w:t>Chair</w:t>
            </w:r>
          </w:p>
        </w:tc>
      </w:tr>
      <w:tr>
        <w:trPr>
          <w:trHeight w:val="256"/>
        </w:trPr>
        <w:tc>
          <w:tcPr>
            <w:tcW w:w="2640" w:type="dxa"/>
            <w:vAlign w:val="bottom"/>
          </w:tcPr>
          <w:p>
            <w:pPr>
              <w:ind w:left="40"/>
              <w:spacing w:after="0"/>
              <w:rPr>
                <w:sz w:val="20"/>
                <w:szCs w:val="20"/>
                <w:color w:val="auto"/>
              </w:rPr>
            </w:pPr>
            <w:r>
              <w:rPr>
                <w:rFonts w:ascii="Arial" w:cs="Arial" w:eastAsia="Arial" w:hAnsi="Arial"/>
                <w:sz w:val="16"/>
                <w:szCs w:val="16"/>
                <w:color w:val="auto"/>
              </w:rPr>
              <w:t>Vanitha Narayanan</w:t>
            </w:r>
          </w:p>
        </w:tc>
        <w:tc>
          <w:tcPr>
            <w:tcW w:w="1920" w:type="dxa"/>
            <w:vAlign w:val="bottom"/>
          </w:tcPr>
          <w:p>
            <w:pPr>
              <w:spacing w:after="0"/>
              <w:rPr>
                <w:sz w:val="22"/>
                <w:szCs w:val="22"/>
                <w:color w:val="auto"/>
              </w:rPr>
            </w:pPr>
          </w:p>
        </w:tc>
        <w:tc>
          <w:tcPr>
            <w:tcW w:w="1720" w:type="dxa"/>
            <w:vAlign w:val="bottom"/>
          </w:tcPr>
          <w:p>
            <w:pPr>
              <w:jc w:val="center"/>
              <w:ind w:left="79"/>
              <w:spacing w:after="0"/>
              <w:rPr>
                <w:sz w:val="20"/>
                <w:szCs w:val="20"/>
                <w:color w:val="auto"/>
              </w:rPr>
            </w:pPr>
            <w:r>
              <w:rPr>
                <w:rFonts w:ascii="Wingdings" w:cs="Wingdings" w:eastAsia="Wingdings" w:hAnsi="Wingdings"/>
                <w:sz w:val="16"/>
                <w:szCs w:val="16"/>
                <w:b w:val="1"/>
                <w:bCs w:val="1"/>
                <w:color w:val="0233A1"/>
                <w:w w:val="99"/>
              </w:rPr>
              <w:t>l</w:t>
            </w:r>
          </w:p>
        </w:tc>
        <w:tc>
          <w:tcPr>
            <w:tcW w:w="1800" w:type="dxa"/>
            <w:vAlign w:val="bottom"/>
          </w:tcPr>
          <w:p>
            <w:pPr>
              <w:jc w:val="center"/>
              <w:spacing w:after="0"/>
              <w:rPr>
                <w:sz w:val="20"/>
                <w:szCs w:val="20"/>
                <w:color w:val="auto"/>
              </w:rPr>
            </w:pPr>
            <w:r>
              <w:rPr>
                <w:rFonts w:ascii="Arial" w:cs="Arial" w:eastAsia="Arial" w:hAnsi="Arial"/>
                <w:sz w:val="16"/>
                <w:szCs w:val="16"/>
                <w:color w:val="auto"/>
              </w:rPr>
              <w:t>Chair</w:t>
            </w:r>
          </w:p>
        </w:tc>
        <w:tc>
          <w:tcPr>
            <w:tcW w:w="150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56"/>
        </w:trPr>
        <w:tc>
          <w:tcPr>
            <w:tcW w:w="2640" w:type="dxa"/>
            <w:vAlign w:val="bottom"/>
          </w:tcPr>
          <w:p>
            <w:pPr>
              <w:ind w:left="40"/>
              <w:spacing w:after="0"/>
              <w:rPr>
                <w:sz w:val="20"/>
                <w:szCs w:val="20"/>
                <w:color w:val="auto"/>
              </w:rPr>
            </w:pPr>
            <w:r>
              <w:rPr>
                <w:rFonts w:ascii="Arial" w:cs="Arial" w:eastAsia="Arial" w:hAnsi="Arial"/>
                <w:sz w:val="16"/>
                <w:szCs w:val="16"/>
                <w:color w:val="auto"/>
              </w:rPr>
              <w:t>Jeff Sheets</w:t>
            </w:r>
          </w:p>
        </w:tc>
        <w:tc>
          <w:tcPr>
            <w:tcW w:w="1920" w:type="dxa"/>
            <w:vAlign w:val="bottom"/>
          </w:tcPr>
          <w:p>
            <w:pPr>
              <w:jc w:val="center"/>
              <w:ind w:left="359"/>
              <w:spacing w:after="0"/>
              <w:rPr>
                <w:sz w:val="20"/>
                <w:szCs w:val="20"/>
                <w:color w:val="auto"/>
              </w:rPr>
            </w:pPr>
            <w:r>
              <w:rPr>
                <w:rFonts w:ascii="Wingdings" w:cs="Wingdings" w:eastAsia="Wingdings" w:hAnsi="Wingdings"/>
                <w:sz w:val="16"/>
                <w:szCs w:val="16"/>
                <w:b w:val="1"/>
                <w:bCs w:val="1"/>
                <w:color w:val="0233A1"/>
                <w:w w:val="99"/>
              </w:rPr>
              <w:t>l</w:t>
            </w:r>
          </w:p>
        </w:tc>
        <w:tc>
          <w:tcPr>
            <w:tcW w:w="1720" w:type="dxa"/>
            <w:vAlign w:val="bottom"/>
          </w:tcPr>
          <w:p>
            <w:pPr>
              <w:jc w:val="center"/>
              <w:ind w:left="99"/>
              <w:spacing w:after="0"/>
              <w:rPr>
                <w:sz w:val="20"/>
                <w:szCs w:val="20"/>
                <w:color w:val="auto"/>
              </w:rPr>
            </w:pPr>
            <w:r>
              <w:rPr>
                <w:rFonts w:ascii="Arial" w:cs="Arial" w:eastAsia="Arial" w:hAnsi="Arial"/>
                <w:sz w:val="16"/>
                <w:szCs w:val="16"/>
                <w:color w:val="auto"/>
                <w:w w:val="99"/>
              </w:rPr>
              <w:t>Chair</w:t>
            </w:r>
          </w:p>
        </w:tc>
        <w:tc>
          <w:tcPr>
            <w:tcW w:w="18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79"/>
        </w:trPr>
        <w:tc>
          <w:tcPr>
            <w:tcW w:w="2640" w:type="dxa"/>
            <w:vAlign w:val="bottom"/>
            <w:tcBorders>
              <w:bottom w:val="single" w:sz="8" w:color="0233A1"/>
            </w:tcBorders>
          </w:tcPr>
          <w:p>
            <w:pPr>
              <w:ind w:left="40"/>
              <w:spacing w:after="0"/>
              <w:rPr>
                <w:sz w:val="20"/>
                <w:szCs w:val="20"/>
                <w:color w:val="auto"/>
              </w:rPr>
            </w:pPr>
            <w:r>
              <w:rPr>
                <w:rFonts w:ascii="Arial" w:cs="Arial" w:eastAsia="Arial" w:hAnsi="Arial"/>
                <w:sz w:val="16"/>
                <w:szCs w:val="16"/>
                <w:color w:val="auto"/>
              </w:rPr>
              <w:t>Ulrich Spiesshofer</w:t>
            </w:r>
          </w:p>
        </w:tc>
        <w:tc>
          <w:tcPr>
            <w:tcW w:w="1920" w:type="dxa"/>
            <w:vAlign w:val="bottom"/>
            <w:tcBorders>
              <w:bottom w:val="single" w:sz="8" w:color="0233A1"/>
            </w:tcBorders>
          </w:tcPr>
          <w:p>
            <w:pPr>
              <w:spacing w:after="0"/>
              <w:rPr>
                <w:sz w:val="24"/>
                <w:szCs w:val="24"/>
                <w:color w:val="auto"/>
              </w:rPr>
            </w:pPr>
          </w:p>
        </w:tc>
        <w:tc>
          <w:tcPr>
            <w:tcW w:w="1720" w:type="dxa"/>
            <w:vAlign w:val="bottom"/>
            <w:tcBorders>
              <w:bottom w:val="single" w:sz="8" w:color="0233A1"/>
            </w:tcBorders>
          </w:tcPr>
          <w:p>
            <w:pPr>
              <w:jc w:val="center"/>
              <w:ind w:left="79"/>
              <w:spacing w:after="0"/>
              <w:rPr>
                <w:sz w:val="20"/>
                <w:szCs w:val="20"/>
                <w:color w:val="auto"/>
              </w:rPr>
            </w:pPr>
            <w:r>
              <w:rPr>
                <w:rFonts w:ascii="Wingdings" w:cs="Wingdings" w:eastAsia="Wingdings" w:hAnsi="Wingdings"/>
                <w:sz w:val="16"/>
                <w:szCs w:val="16"/>
                <w:b w:val="1"/>
                <w:bCs w:val="1"/>
                <w:color w:val="0233A1"/>
                <w:w w:val="99"/>
              </w:rPr>
              <w:t>l</w:t>
            </w:r>
          </w:p>
        </w:tc>
        <w:tc>
          <w:tcPr>
            <w:tcW w:w="1800" w:type="dxa"/>
            <w:vAlign w:val="bottom"/>
            <w:tcBorders>
              <w:bottom w:val="single" w:sz="8" w:color="0233A1"/>
            </w:tcBorders>
          </w:tcPr>
          <w:p>
            <w:pPr>
              <w:spacing w:after="0"/>
              <w:rPr>
                <w:sz w:val="24"/>
                <w:szCs w:val="24"/>
                <w:color w:val="auto"/>
              </w:rPr>
            </w:pPr>
          </w:p>
        </w:tc>
        <w:tc>
          <w:tcPr>
            <w:tcW w:w="1500" w:type="dxa"/>
            <w:vAlign w:val="bottom"/>
            <w:tcBorders>
              <w:bottom w:val="single" w:sz="8" w:color="0233A1"/>
            </w:tcBorders>
          </w:tcPr>
          <w:p>
            <w:pPr>
              <w:spacing w:after="0"/>
              <w:rPr>
                <w:sz w:val="24"/>
                <w:szCs w:val="24"/>
                <w:color w:val="auto"/>
              </w:rPr>
            </w:pPr>
          </w:p>
        </w:tc>
        <w:tc>
          <w:tcPr>
            <w:tcW w:w="1660" w:type="dxa"/>
            <w:vAlign w:val="bottom"/>
            <w:tcBorders>
              <w:bottom w:val="single" w:sz="8" w:color="0233A1"/>
            </w:tcBorders>
          </w:tcPr>
          <w:p>
            <w:pPr>
              <w:jc w:val="center"/>
              <w:ind w:left="139"/>
              <w:spacing w:after="0"/>
              <w:rPr>
                <w:sz w:val="20"/>
                <w:szCs w:val="20"/>
                <w:color w:val="auto"/>
              </w:rPr>
            </w:pPr>
            <w:r>
              <w:rPr>
                <w:rFonts w:ascii="Wingdings" w:cs="Wingdings" w:eastAsia="Wingdings" w:hAnsi="Wingdings"/>
                <w:sz w:val="16"/>
                <w:szCs w:val="16"/>
                <w:b w:val="1"/>
                <w:bCs w:val="1"/>
                <w:color w:val="0233A1"/>
                <w:w w:val="99"/>
              </w:rPr>
              <w:t>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-504825</wp:posOffset>
            </wp:positionV>
            <wp:extent cx="713232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-668020</wp:posOffset>
            </wp:positionV>
            <wp:extent cx="713232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-830580</wp:posOffset>
            </wp:positionV>
            <wp:extent cx="713232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-993775</wp:posOffset>
            </wp:positionV>
            <wp:extent cx="713232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-1182370</wp:posOffset>
            </wp:positionV>
            <wp:extent cx="713232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-1344930</wp:posOffset>
            </wp:positionV>
            <wp:extent cx="713232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-1508125</wp:posOffset>
            </wp:positionV>
            <wp:extent cx="713232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Independent Board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471170" cy="28257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471170" cy="28257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both"/>
        <w:ind w:left="5540"/>
        <w:spacing w:after="0"/>
        <w:tabs>
          <w:tab w:leader="none" w:pos="9540" w:val="left"/>
        </w:tabs>
        <w:rPr>
          <w:sz w:val="20"/>
          <w:szCs w:val="20"/>
          <w:color w:val="auto"/>
        </w:rPr>
      </w:pPr>
      <w:r>
        <w:rPr>
          <w:rFonts w:ascii="Arial" w:cs="Arial" w:eastAsia="Arial" w:hAnsi="Arial"/>
          <w:sz w:val="16"/>
          <w:szCs w:val="16"/>
          <w:b w:val="1"/>
          <w:bCs w:val="1"/>
          <w:color w:val="auto"/>
        </w:rPr>
        <w:t>24</w:t>
      </w:r>
      <w:r>
        <w:rPr>
          <w:sz w:val="20"/>
          <w:szCs w:val="20"/>
          <w:color w:val="auto"/>
        </w:rPr>
        <w:tab/>
      </w:r>
      <w:r>
        <w:rPr>
          <w:rFonts w:ascii="Arial" w:cs="Arial" w:eastAsia="Arial" w:hAnsi="Arial"/>
          <w:sz w:val="16"/>
          <w:szCs w:val="16"/>
          <w:b w:val="1"/>
          <w:bCs w:val="1"/>
          <w:color w:val="636466"/>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-29845</wp:posOffset>
            </wp:positionV>
            <wp:extent cx="541782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342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Each standing committee operates under a written charter that sets forth the purposes, responsibilities, and membership requirements of that committee. Each committee reviews the adequacy of its charter at least annually and recommends changes to the Board for approval.</w:t>
      </w:r>
    </w:p>
    <w:p>
      <w:pPr>
        <w:spacing w:after="0" w:line="142" w:lineRule="exact"/>
        <w:rPr>
          <w:sz w:val="20"/>
          <w:szCs w:val="20"/>
          <w:color w:val="auto"/>
        </w:rPr>
      </w:pPr>
    </w:p>
    <w:p>
      <w:pPr>
        <w:jc w:val="both"/>
        <w:ind w:right="20" w:firstLine="324"/>
        <w:spacing w:after="0" w:line="296" w:lineRule="auto"/>
        <w:rPr>
          <w:sz w:val="20"/>
          <w:szCs w:val="20"/>
          <w:color w:val="auto"/>
        </w:rPr>
      </w:pPr>
      <w:r>
        <w:rPr>
          <w:rFonts w:ascii="Arial" w:cs="Arial" w:eastAsia="Arial" w:hAnsi="Arial"/>
          <w:sz w:val="16"/>
          <w:szCs w:val="16"/>
          <w:color w:val="auto"/>
        </w:rPr>
        <w:t xml:space="preserve">All committees also report regularly to the Board with respect to their activities. Committee charters are available on SLB’s website at </w:t>
      </w:r>
      <w:r>
        <w:rPr>
          <w:rFonts w:ascii="Arial" w:cs="Arial" w:eastAsia="Arial" w:hAnsi="Arial"/>
          <w:sz w:val="16"/>
          <w:szCs w:val="16"/>
          <w:b w:val="1"/>
          <w:bCs w:val="1"/>
          <w:i w:val="1"/>
          <w:iCs w:val="1"/>
          <w:color w:val="auto"/>
        </w:rPr>
        <w:t>https://www.slb.com/about/leadership-and-governance/corporate-governance.</w:t>
      </w:r>
    </w:p>
    <w:p>
      <w:pPr>
        <w:spacing w:after="0" w:line="149" w:lineRule="exact"/>
        <w:rPr>
          <w:sz w:val="20"/>
          <w:szCs w:val="20"/>
          <w:color w:val="auto"/>
        </w:rPr>
      </w:pPr>
    </w:p>
    <w:p>
      <w:pPr>
        <w:spacing w:after="0"/>
        <w:rPr>
          <w:sz w:val="20"/>
          <w:szCs w:val="20"/>
          <w:color w:val="auto"/>
        </w:rPr>
      </w:pPr>
      <w:r>
        <w:rPr>
          <w:rFonts w:ascii="Arial" w:cs="Arial" w:eastAsia="Arial" w:hAnsi="Arial"/>
          <w:sz w:val="29"/>
          <w:szCs w:val="29"/>
          <w:color w:val="0233A1"/>
        </w:rPr>
        <w:t>Meeting Attendance</w:t>
      </w:r>
    </w:p>
    <w:p>
      <w:pPr>
        <w:spacing w:after="0" w:line="225"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 xml:space="preserve">In 2023, our directors attended an average of </w:t>
      </w:r>
      <w:r>
        <w:rPr>
          <w:rFonts w:ascii="Arial" w:cs="Arial" w:eastAsia="Arial" w:hAnsi="Arial"/>
          <w:sz w:val="16"/>
          <w:szCs w:val="16"/>
          <w:b w:val="1"/>
          <w:bCs w:val="1"/>
          <w:color w:val="0233A1"/>
        </w:rPr>
        <w:t>99%</w:t>
      </w:r>
      <w:r>
        <w:rPr>
          <w:rFonts w:ascii="Arial" w:cs="Arial" w:eastAsia="Arial" w:hAnsi="Arial"/>
          <w:sz w:val="16"/>
          <w:szCs w:val="16"/>
          <w:color w:val="auto"/>
        </w:rPr>
        <w:t xml:space="preserve"> of the meetings of the Board and its committees on which they served, and no director attended fewer than 75% of the total number of meetings of the Board and its committees on which they served. Meetings of the Board and its committees were held in 2023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99"/>
        </w:trPr>
        <w:tc>
          <w:tcPr>
            <w:tcW w:w="6480" w:type="dxa"/>
            <w:vAlign w:val="bottom"/>
            <w:shd w:val="clear" w:color="auto" w:fill="0233A1"/>
          </w:tcPr>
          <w:p>
            <w:pPr>
              <w:spacing w:after="0"/>
              <w:rPr>
                <w:sz w:val="24"/>
                <w:szCs w:val="24"/>
                <w:color w:val="auto"/>
              </w:rPr>
            </w:pPr>
          </w:p>
        </w:tc>
        <w:tc>
          <w:tcPr>
            <w:tcW w:w="4760" w:type="dxa"/>
            <w:vAlign w:val="bottom"/>
            <w:shd w:val="clear" w:color="auto" w:fill="0233A1"/>
          </w:tcPr>
          <w:p>
            <w:pPr>
              <w:jc w:val="right"/>
              <w:spacing w:after="0"/>
              <w:rPr>
                <w:sz w:val="20"/>
                <w:szCs w:val="20"/>
                <w:color w:val="auto"/>
              </w:rPr>
            </w:pPr>
            <w:r>
              <w:rPr>
                <w:rFonts w:ascii="Arial" w:cs="Arial" w:eastAsia="Arial" w:hAnsi="Arial"/>
                <w:sz w:val="16"/>
                <w:szCs w:val="16"/>
                <w:b w:val="1"/>
                <w:bCs w:val="1"/>
                <w:color w:val="FFFFFF"/>
              </w:rPr>
              <w:t># of Meetings</w:t>
            </w:r>
            <w:r>
              <w:rPr>
                <w:rFonts w:ascii="Arial" w:cs="Arial" w:eastAsia="Arial" w:hAnsi="Arial"/>
                <w:sz w:val="26"/>
                <w:szCs w:val="26"/>
                <w:color w:val="FFFFFF"/>
                <w:vertAlign w:val="superscript"/>
              </w:rPr>
              <w:t>(1)</w:t>
            </w:r>
          </w:p>
        </w:tc>
      </w:tr>
      <w:tr>
        <w:trPr>
          <w:trHeight w:val="188"/>
        </w:trPr>
        <w:tc>
          <w:tcPr>
            <w:tcW w:w="6480" w:type="dxa"/>
            <w:vAlign w:val="bottom"/>
          </w:tcPr>
          <w:p>
            <w:pPr>
              <w:ind w:left="60"/>
              <w:spacing w:after="0"/>
              <w:rPr>
                <w:sz w:val="20"/>
                <w:szCs w:val="20"/>
                <w:color w:val="auto"/>
              </w:rPr>
            </w:pPr>
            <w:r>
              <w:rPr>
                <w:rFonts w:ascii="Arial" w:cs="Arial" w:eastAsia="Arial" w:hAnsi="Arial"/>
                <w:sz w:val="16"/>
                <w:szCs w:val="16"/>
                <w:color w:val="auto"/>
              </w:rPr>
              <w:t>Board of Directors</w:t>
            </w:r>
          </w:p>
        </w:tc>
        <w:tc>
          <w:tcPr>
            <w:tcW w:w="4760" w:type="dxa"/>
            <w:vAlign w:val="bottom"/>
          </w:tcPr>
          <w:p>
            <w:pPr>
              <w:jc w:val="right"/>
              <w:ind w:right="139"/>
              <w:spacing w:after="0"/>
              <w:rPr>
                <w:sz w:val="20"/>
                <w:szCs w:val="20"/>
                <w:color w:val="auto"/>
              </w:rPr>
            </w:pPr>
            <w:r>
              <w:rPr>
                <w:rFonts w:ascii="Arial" w:cs="Arial" w:eastAsia="Arial" w:hAnsi="Arial"/>
                <w:sz w:val="16"/>
                <w:szCs w:val="16"/>
                <w:color w:val="auto"/>
              </w:rPr>
              <w:t>4</w:t>
            </w:r>
          </w:p>
        </w:tc>
      </w:tr>
      <w:tr>
        <w:trPr>
          <w:trHeight w:val="203"/>
        </w:trPr>
        <w:tc>
          <w:tcPr>
            <w:tcW w:w="6480" w:type="dxa"/>
            <w:vAlign w:val="bottom"/>
          </w:tcPr>
          <w:p>
            <w:pPr>
              <w:ind w:left="60"/>
              <w:spacing w:after="0"/>
              <w:rPr>
                <w:sz w:val="20"/>
                <w:szCs w:val="20"/>
                <w:color w:val="auto"/>
              </w:rPr>
            </w:pPr>
            <w:r>
              <w:rPr>
                <w:rFonts w:ascii="Arial" w:cs="Arial" w:eastAsia="Arial" w:hAnsi="Arial"/>
                <w:sz w:val="16"/>
                <w:szCs w:val="16"/>
                <w:color w:val="auto"/>
              </w:rPr>
              <w:t>Audit Committee</w:t>
            </w:r>
          </w:p>
        </w:tc>
        <w:tc>
          <w:tcPr>
            <w:tcW w:w="4760" w:type="dxa"/>
            <w:vAlign w:val="bottom"/>
          </w:tcPr>
          <w:p>
            <w:pPr>
              <w:jc w:val="right"/>
              <w:ind w:right="139"/>
              <w:spacing w:after="0"/>
              <w:rPr>
                <w:sz w:val="20"/>
                <w:szCs w:val="20"/>
                <w:color w:val="auto"/>
              </w:rPr>
            </w:pPr>
            <w:r>
              <w:rPr>
                <w:rFonts w:ascii="Arial" w:cs="Arial" w:eastAsia="Arial" w:hAnsi="Arial"/>
                <w:sz w:val="16"/>
                <w:szCs w:val="16"/>
                <w:color w:val="auto"/>
              </w:rPr>
              <w:t>5</w:t>
            </w:r>
          </w:p>
        </w:tc>
      </w:tr>
      <w:tr>
        <w:trPr>
          <w:trHeight w:val="203"/>
        </w:trPr>
        <w:tc>
          <w:tcPr>
            <w:tcW w:w="6480" w:type="dxa"/>
            <w:vAlign w:val="bottom"/>
          </w:tcPr>
          <w:p>
            <w:pPr>
              <w:ind w:left="60"/>
              <w:spacing w:after="0"/>
              <w:rPr>
                <w:sz w:val="20"/>
                <w:szCs w:val="20"/>
                <w:color w:val="auto"/>
              </w:rPr>
            </w:pPr>
            <w:r>
              <w:rPr>
                <w:rFonts w:ascii="Arial" w:cs="Arial" w:eastAsia="Arial" w:hAnsi="Arial"/>
                <w:sz w:val="16"/>
                <w:szCs w:val="16"/>
                <w:color w:val="auto"/>
              </w:rPr>
              <w:t>Compensation Committee</w:t>
            </w:r>
          </w:p>
        </w:tc>
        <w:tc>
          <w:tcPr>
            <w:tcW w:w="4760" w:type="dxa"/>
            <w:vAlign w:val="bottom"/>
          </w:tcPr>
          <w:p>
            <w:pPr>
              <w:jc w:val="right"/>
              <w:ind w:right="139"/>
              <w:spacing w:after="0"/>
              <w:rPr>
                <w:sz w:val="20"/>
                <w:szCs w:val="20"/>
                <w:color w:val="auto"/>
              </w:rPr>
            </w:pPr>
            <w:r>
              <w:rPr>
                <w:rFonts w:ascii="Arial" w:cs="Arial" w:eastAsia="Arial" w:hAnsi="Arial"/>
                <w:sz w:val="16"/>
                <w:szCs w:val="16"/>
                <w:color w:val="auto"/>
              </w:rPr>
              <w:t>4</w:t>
            </w:r>
          </w:p>
        </w:tc>
      </w:tr>
      <w:tr>
        <w:trPr>
          <w:trHeight w:val="203"/>
        </w:trPr>
        <w:tc>
          <w:tcPr>
            <w:tcW w:w="6480" w:type="dxa"/>
            <w:vAlign w:val="bottom"/>
          </w:tcPr>
          <w:p>
            <w:pPr>
              <w:ind w:left="60"/>
              <w:spacing w:after="0"/>
              <w:rPr>
                <w:sz w:val="20"/>
                <w:szCs w:val="20"/>
                <w:color w:val="auto"/>
              </w:rPr>
            </w:pPr>
            <w:r>
              <w:rPr>
                <w:rFonts w:ascii="Arial" w:cs="Arial" w:eastAsia="Arial" w:hAnsi="Arial"/>
                <w:sz w:val="16"/>
                <w:szCs w:val="16"/>
                <w:color w:val="auto"/>
              </w:rPr>
              <w:t>Finance Committee</w:t>
            </w:r>
          </w:p>
        </w:tc>
        <w:tc>
          <w:tcPr>
            <w:tcW w:w="4760" w:type="dxa"/>
            <w:vAlign w:val="bottom"/>
          </w:tcPr>
          <w:p>
            <w:pPr>
              <w:jc w:val="right"/>
              <w:ind w:right="139"/>
              <w:spacing w:after="0"/>
              <w:rPr>
                <w:sz w:val="20"/>
                <w:szCs w:val="20"/>
                <w:color w:val="auto"/>
              </w:rPr>
            </w:pPr>
            <w:r>
              <w:rPr>
                <w:rFonts w:ascii="Arial" w:cs="Arial" w:eastAsia="Arial" w:hAnsi="Arial"/>
                <w:sz w:val="16"/>
                <w:szCs w:val="16"/>
                <w:color w:val="auto"/>
              </w:rPr>
              <w:t>4</w:t>
            </w:r>
          </w:p>
        </w:tc>
      </w:tr>
      <w:tr>
        <w:trPr>
          <w:trHeight w:val="203"/>
        </w:trPr>
        <w:tc>
          <w:tcPr>
            <w:tcW w:w="6480" w:type="dxa"/>
            <w:vAlign w:val="bottom"/>
          </w:tcPr>
          <w:p>
            <w:pPr>
              <w:ind w:left="60"/>
              <w:spacing w:after="0"/>
              <w:rPr>
                <w:sz w:val="20"/>
                <w:szCs w:val="20"/>
                <w:color w:val="auto"/>
              </w:rPr>
            </w:pPr>
            <w:r>
              <w:rPr>
                <w:rFonts w:ascii="Arial" w:cs="Arial" w:eastAsia="Arial" w:hAnsi="Arial"/>
                <w:sz w:val="16"/>
                <w:szCs w:val="16"/>
                <w:color w:val="auto"/>
              </w:rPr>
              <w:t>New Energy and Innovation Committee</w:t>
            </w:r>
          </w:p>
        </w:tc>
        <w:tc>
          <w:tcPr>
            <w:tcW w:w="4760" w:type="dxa"/>
            <w:vAlign w:val="bottom"/>
          </w:tcPr>
          <w:p>
            <w:pPr>
              <w:jc w:val="right"/>
              <w:ind w:right="139"/>
              <w:spacing w:after="0"/>
              <w:rPr>
                <w:sz w:val="20"/>
                <w:szCs w:val="20"/>
                <w:color w:val="auto"/>
              </w:rPr>
            </w:pPr>
            <w:r>
              <w:rPr>
                <w:rFonts w:ascii="Arial" w:cs="Arial" w:eastAsia="Arial" w:hAnsi="Arial"/>
                <w:sz w:val="16"/>
                <w:szCs w:val="16"/>
                <w:color w:val="auto"/>
              </w:rPr>
              <w:t>3</w:t>
            </w:r>
          </w:p>
        </w:tc>
      </w:tr>
      <w:tr>
        <w:trPr>
          <w:trHeight w:val="210"/>
        </w:trPr>
        <w:tc>
          <w:tcPr>
            <w:tcW w:w="6480" w:type="dxa"/>
            <w:vAlign w:val="bottom"/>
            <w:tcBorders>
              <w:bottom w:val="single" w:sz="8" w:color="0233A1"/>
            </w:tcBorders>
          </w:tcPr>
          <w:p>
            <w:pPr>
              <w:ind w:left="60"/>
              <w:spacing w:after="0"/>
              <w:rPr>
                <w:sz w:val="20"/>
                <w:szCs w:val="20"/>
                <w:color w:val="auto"/>
              </w:rPr>
            </w:pPr>
            <w:r>
              <w:rPr>
                <w:rFonts w:ascii="Arial" w:cs="Arial" w:eastAsia="Arial" w:hAnsi="Arial"/>
                <w:sz w:val="16"/>
                <w:szCs w:val="16"/>
                <w:color w:val="auto"/>
              </w:rPr>
              <w:t>Nominating and Governance Committee</w:t>
            </w:r>
          </w:p>
        </w:tc>
        <w:tc>
          <w:tcPr>
            <w:tcW w:w="4760" w:type="dxa"/>
            <w:vAlign w:val="bottom"/>
            <w:tcBorders>
              <w:bottom w:val="single" w:sz="8" w:color="0233A1"/>
            </w:tcBorders>
          </w:tcPr>
          <w:p>
            <w:pPr>
              <w:jc w:val="right"/>
              <w:ind w:right="139"/>
              <w:spacing w:after="0"/>
              <w:rPr>
                <w:sz w:val="20"/>
                <w:szCs w:val="20"/>
                <w:color w:val="auto"/>
              </w:rPr>
            </w:pPr>
            <w:r>
              <w:rPr>
                <w:rFonts w:ascii="Arial" w:cs="Arial" w:eastAsia="Arial" w:hAnsi="Arial"/>
                <w:sz w:val="16"/>
                <w:szCs w:val="16"/>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-402590</wp:posOffset>
            </wp:positionV>
            <wp:extent cx="713232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-530860</wp:posOffset>
            </wp:positionV>
            <wp:extent cx="713232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-659765</wp:posOffset>
            </wp:positionV>
            <wp:extent cx="713232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 w:lineRule="exact"/>
        <w:rPr>
          <w:sz w:val="20"/>
          <w:szCs w:val="20"/>
          <w:color w:val="auto"/>
        </w:rPr>
      </w:pPr>
    </w:p>
    <w:p>
      <w:pPr>
        <w:ind w:left="380" w:hanging="318"/>
        <w:spacing w:after="0"/>
        <w:tabs>
          <w:tab w:leader="none" w:pos="3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All meetings were regularly scheduled; no special meetings were held in 2023.</w:t>
      </w:r>
    </w:p>
    <w:p>
      <w:pPr>
        <w:spacing w:after="0" w:line="23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At each 2023 Board meeting, the Board’s independent Chair led one or more executive session(s) of non-employee directors. In addition, SLB officers regularly attend Board meetings to present information on our business and strategy, and directors have worldwide access to our employees outside of Board meetings. From time to time between meetings, Board and committee members confer with each other, with management, and with independent consultants, and representatives of management may meet with these consultants on behalf of the relevant committee.</w:t>
      </w:r>
    </w:p>
    <w:p>
      <w:pPr>
        <w:spacing w:after="0" w:line="164"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6"/>
          <w:szCs w:val="16"/>
          <w:color w:val="auto"/>
        </w:rPr>
        <w:t>No director attended our 2023 AGM, in line with our Articles of Incorporation and with the Board’s policy that directors are welcome, but not required, to attend our AGMs.</w:t>
      </w:r>
    </w:p>
    <w:p>
      <w:pPr>
        <w:spacing w:after="0" w:line="165" w:lineRule="exact"/>
        <w:rPr>
          <w:sz w:val="20"/>
          <w:szCs w:val="20"/>
          <w:color w:val="auto"/>
        </w:rPr>
      </w:pPr>
    </w:p>
    <w:p>
      <w:pPr>
        <w:spacing w:after="0"/>
        <w:rPr>
          <w:sz w:val="20"/>
          <w:szCs w:val="20"/>
          <w:color w:val="auto"/>
        </w:rPr>
      </w:pPr>
      <w:r>
        <w:rPr>
          <w:rFonts w:ascii="Arial" w:cs="Arial" w:eastAsia="Arial" w:hAnsi="Arial"/>
          <w:sz w:val="29"/>
          <w:szCs w:val="29"/>
          <w:color w:val="0233A1"/>
        </w:rPr>
        <w:t>Director Independence</w:t>
      </w:r>
    </w:p>
    <w:p>
      <w:pPr>
        <w:spacing w:after="0" w:line="265"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Our Corporate Governance Guidelines provide that at least a majority of the Board must consist of independent directors, in accordance with the NYSE listing standards. In addition, our Board has adopted director independence standards that meet or exceed the independence requirements in the NYSE listing standards, and which can be found in our Corporate Governance Guidelines.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Based on the review and recommendation by the Nominating and Governance Committee, the Board has determined that:</w:t>
      </w:r>
    </w:p>
    <w:p>
      <w:pPr>
        <w:spacing w:after="0" w:line="194" w:lineRule="exact"/>
        <w:rPr>
          <w:sz w:val="20"/>
          <w:szCs w:val="20"/>
          <w:color w:val="auto"/>
        </w:rPr>
      </w:pPr>
    </w:p>
    <w:p>
      <w:pPr>
        <w:ind w:left="500" w:hanging="168"/>
        <w:spacing w:after="0" w:line="286" w:lineRule="auto"/>
        <w:tabs>
          <w:tab w:leader="none" w:pos="500" w:val="left"/>
        </w:tabs>
        <w:numPr>
          <w:ilvl w:val="0"/>
          <w:numId w:val="22"/>
        </w:numPr>
        <w:rPr>
          <w:rFonts w:ascii="Arial" w:cs="Arial" w:eastAsia="Arial" w:hAnsi="Arial"/>
          <w:sz w:val="16"/>
          <w:szCs w:val="16"/>
          <w:b w:val="1"/>
          <w:bCs w:val="1"/>
          <w:color w:val="0233A1"/>
        </w:rPr>
      </w:pPr>
      <w:r>
        <w:rPr>
          <w:rFonts w:ascii="Arial" w:cs="Arial" w:eastAsia="Arial" w:hAnsi="Arial"/>
          <w:sz w:val="16"/>
          <w:szCs w:val="16"/>
          <w:color w:val="auto"/>
        </w:rPr>
        <w:t>Each director nominee listed above under “Election of Directors—Our Director Nominees” is “independent” under NYSE listing standards and our director independence standards, except for our CEO and Mr. Galuccio.</w:t>
      </w:r>
    </w:p>
    <w:p>
      <w:pPr>
        <w:spacing w:after="0" w:line="34" w:lineRule="exact"/>
        <w:rPr>
          <w:rFonts w:ascii="Arial" w:cs="Arial" w:eastAsia="Arial" w:hAnsi="Arial"/>
          <w:sz w:val="16"/>
          <w:szCs w:val="16"/>
          <w:b w:val="1"/>
          <w:bCs w:val="1"/>
          <w:color w:val="0233A1"/>
        </w:rPr>
      </w:pPr>
    </w:p>
    <w:p>
      <w:pPr>
        <w:ind w:left="500" w:hanging="168"/>
        <w:spacing w:after="0" w:line="286" w:lineRule="auto"/>
        <w:tabs>
          <w:tab w:leader="none" w:pos="500" w:val="left"/>
        </w:tabs>
        <w:numPr>
          <w:ilvl w:val="0"/>
          <w:numId w:val="22"/>
        </w:numPr>
        <w:rPr>
          <w:rFonts w:ascii="Arial" w:cs="Arial" w:eastAsia="Arial" w:hAnsi="Arial"/>
          <w:sz w:val="16"/>
          <w:szCs w:val="16"/>
          <w:b w:val="1"/>
          <w:bCs w:val="1"/>
          <w:color w:val="0233A1"/>
        </w:rPr>
      </w:pPr>
      <w:r>
        <w:rPr>
          <w:rFonts w:ascii="Arial" w:cs="Arial" w:eastAsia="Arial" w:hAnsi="Arial"/>
          <w:sz w:val="16"/>
          <w:szCs w:val="16"/>
          <w:color w:val="auto"/>
        </w:rPr>
        <w:t>Each member of the Audit Committee meets the heightened independence standards required for audit committee members under NYSE listing standards and the rules of the SEC.</w:t>
      </w:r>
    </w:p>
    <w:p>
      <w:pPr>
        <w:spacing w:after="0" w:line="34" w:lineRule="exact"/>
        <w:rPr>
          <w:rFonts w:ascii="Arial" w:cs="Arial" w:eastAsia="Arial" w:hAnsi="Arial"/>
          <w:sz w:val="16"/>
          <w:szCs w:val="16"/>
          <w:b w:val="1"/>
          <w:bCs w:val="1"/>
          <w:color w:val="0233A1"/>
        </w:rPr>
      </w:pPr>
    </w:p>
    <w:p>
      <w:pPr>
        <w:ind w:left="500" w:right="20" w:hanging="168"/>
        <w:spacing w:after="0" w:line="286" w:lineRule="auto"/>
        <w:tabs>
          <w:tab w:leader="none" w:pos="500" w:val="left"/>
        </w:tabs>
        <w:numPr>
          <w:ilvl w:val="0"/>
          <w:numId w:val="22"/>
        </w:numPr>
        <w:rPr>
          <w:rFonts w:ascii="Arial" w:cs="Arial" w:eastAsia="Arial" w:hAnsi="Arial"/>
          <w:sz w:val="16"/>
          <w:szCs w:val="16"/>
          <w:b w:val="1"/>
          <w:bCs w:val="1"/>
          <w:color w:val="0233A1"/>
        </w:rPr>
      </w:pPr>
      <w:r>
        <w:rPr>
          <w:rFonts w:ascii="Arial" w:cs="Arial" w:eastAsia="Arial" w:hAnsi="Arial"/>
          <w:sz w:val="16"/>
          <w:szCs w:val="16"/>
          <w:color w:val="auto"/>
        </w:rPr>
        <w:t>Each member of the Compensation Committee meets the heightened independence standards for compensation committee members under NYSE listing standards and the rules of the SEC.</w:t>
      </w:r>
    </w:p>
    <w:p>
      <w:pPr>
        <w:spacing w:after="0" w:line="34" w:lineRule="exact"/>
        <w:rPr>
          <w:rFonts w:ascii="Arial" w:cs="Arial" w:eastAsia="Arial" w:hAnsi="Arial"/>
          <w:sz w:val="16"/>
          <w:szCs w:val="16"/>
          <w:b w:val="1"/>
          <w:bCs w:val="1"/>
          <w:color w:val="0233A1"/>
        </w:rPr>
      </w:pPr>
    </w:p>
    <w:p>
      <w:pPr>
        <w:ind w:left="500" w:hanging="168"/>
        <w:spacing w:after="0"/>
        <w:tabs>
          <w:tab w:leader="none" w:pos="500" w:val="left"/>
        </w:tabs>
        <w:numPr>
          <w:ilvl w:val="0"/>
          <w:numId w:val="22"/>
        </w:numPr>
        <w:rPr>
          <w:rFonts w:ascii="Arial" w:cs="Arial" w:eastAsia="Arial" w:hAnsi="Arial"/>
          <w:sz w:val="16"/>
          <w:szCs w:val="16"/>
          <w:b w:val="1"/>
          <w:bCs w:val="1"/>
          <w:color w:val="0233A1"/>
        </w:rPr>
      </w:pPr>
      <w:r>
        <w:rPr>
          <w:rFonts w:ascii="Arial" w:cs="Arial" w:eastAsia="Arial" w:hAnsi="Arial"/>
          <w:sz w:val="16"/>
          <w:szCs w:val="16"/>
          <w:color w:val="auto"/>
        </w:rPr>
        <w:t>Additionally, our former Board Chair, Mr. Papa, was independent during the period he served on our Board in 2023.</w:t>
      </w:r>
    </w:p>
    <w:p>
      <w:pPr>
        <w:spacing w:after="0" w:line="20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Our Board’s confirmation of the independence of our independent directors includes a review of transactions that occurred since the beginning of 2021 with entities associated with our directors or members of their immediate family.</w:t>
      </w:r>
    </w:p>
    <w:p>
      <w:pPr>
        <w:spacing w:after="0" w:line="14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 xml:space="preserve">In making its independence determinations, the Board considered that our independent directors serve as directors, trustees, outside consultants, or advisory board members at companies and universities that have had commercial business relationships with SLB. These relationships all involved </w:t>
      </w:r>
      <w:r>
        <w:rPr>
          <w:rFonts w:ascii="Arial" w:cs="Arial" w:eastAsia="Arial" w:hAnsi="Arial"/>
          <w:sz w:val="16"/>
          <w:szCs w:val="16"/>
          <w:b w:val="1"/>
          <w:bCs w:val="1"/>
          <w:color w:val="0233A1"/>
        </w:rPr>
        <w:t xml:space="preserve">commercial transactions in the ordinary course </w:t>
      </w:r>
      <w:r>
        <w:rPr>
          <w:rFonts w:ascii="Arial" w:cs="Arial" w:eastAsia="Arial" w:hAnsi="Arial"/>
          <w:sz w:val="16"/>
          <w:szCs w:val="16"/>
          <w:color w:val="000000"/>
        </w:rPr>
        <w:t>with SLB, which were less than the greater of $1 million or 1% of the other entity’s annual revenues</w:t>
      </w:r>
      <w:r>
        <w:rPr>
          <w:rFonts w:ascii="Arial" w:cs="Arial" w:eastAsia="Arial" w:hAnsi="Arial"/>
          <w:sz w:val="16"/>
          <w:szCs w:val="16"/>
          <w:b w:val="1"/>
          <w:bCs w:val="1"/>
          <w:color w:val="0233A1"/>
        </w:rPr>
        <w:t xml:space="preserve"> </w:t>
      </w:r>
      <w:r>
        <w:rPr>
          <w:rFonts w:ascii="Arial" w:cs="Arial" w:eastAsia="Arial" w:hAnsi="Arial"/>
          <w:sz w:val="16"/>
          <w:szCs w:val="16"/>
          <w:color w:val="000000"/>
        </w:rPr>
        <w:t>during 2023, 2022, and 2021; except for transactions with Kosmos Energy (Kosmos), where Ms. Moræus Hanssen serves as a director, which involved commercial transactions in the ordinary course with SLB that were less than 5% of Kosmos’ 2023 and 2021 revenues.</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 xml:space="preserve">As part of SLB’s ongoing support of STEM research and educational initiatives, for many years SLB has provided </w:t>
      </w:r>
      <w:r>
        <w:rPr>
          <w:rFonts w:ascii="Arial" w:cs="Arial" w:eastAsia="Arial" w:hAnsi="Arial"/>
          <w:sz w:val="16"/>
          <w:szCs w:val="16"/>
          <w:b w:val="1"/>
          <w:bCs w:val="1"/>
          <w:color w:val="0233A1"/>
        </w:rPr>
        <w:t>charitable contributions</w:t>
      </w:r>
      <w:r>
        <w:rPr>
          <w:rFonts w:ascii="Arial" w:cs="Arial" w:eastAsia="Arial" w:hAnsi="Arial"/>
          <w:sz w:val="16"/>
          <w:szCs w:val="16"/>
          <w:color w:val="auto"/>
        </w:rPr>
        <w:t xml:space="preserve"> to, and has funded research collaborations with, universities and other non-profit organizations around the world. Our Board has voluntarily adopted an additional independence factor assessing charitable relationships in SLB’s Corporate Governance Guidelines. As a result, the Board reviews SLB’s charitable contributions to academic and other non-profit institutions with which our directors are affiliated.</w:t>
      </w:r>
    </w:p>
    <w:p>
      <w:pPr>
        <w:spacing w:after="0" w:line="16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Since the beginning of 2021, these contributions involved less than $120,000 per year, except for contributions to two universities where Mr. Hackett teaches or lectures—the University of Texas at Austin (contributions were less than $500,000 per year) and Rice University (contributions were less than $200,000 per year). Mr. Hackett had no involvement in any contributions made to these universities, most of which pre-dated his membership on the Board. No director received any personal benefit from any SLB charitable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190500</wp:posOffset>
            </wp:positionV>
            <wp:extent cx="471805" cy="28321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471805" cy="283210"/>
                    </a:xfrm>
                    <a:prstGeom prst="rect">
                      <a:avLst/>
                    </a:prstGeom>
                    <a:noFill/>
                  </pic:spPr>
                </pic:pic>
              </a:graphicData>
            </a:graphic>
          </wp:anchor>
        </w:drawing>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2024 Proxy Statement</w:t>
            </w:r>
          </w:p>
        </w:tc>
        <w:tc>
          <w:tcPr>
            <w:tcW w:w="3600" w:type="dxa"/>
            <w:vAlign w:val="bottom"/>
            <w:tcBorders>
              <w:bottom w:val="single" w:sz="8" w:color="auto"/>
            </w:tcBorders>
          </w:tcPr>
          <w:p>
            <w:pPr>
              <w:spacing w:after="0"/>
              <w:rPr>
                <w:sz w:val="12"/>
                <w:szCs w:val="12"/>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25</w:t>
            </w:r>
          </w:p>
        </w:tc>
        <w:tc>
          <w:tcPr>
            <w:tcW w:w="4480" w:type="dxa"/>
            <w:vAlign w:val="bottom"/>
            <w:tcBorders>
              <w:bottom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36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48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color w:val="0233A1"/>
        </w:rPr>
        <w:t>Corporate Governance Guidelines</w:t>
      </w:r>
    </w:p>
    <w:p>
      <w:pPr>
        <w:spacing w:after="0" w:line="36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6"/>
          <w:szCs w:val="16"/>
          <w:color w:val="auto"/>
        </w:rPr>
        <w:t xml:space="preserve">We have adopted Corporate Governance Guidelines that our Board believes are consistent with our values, and that promote the effective functioning of our Board, its committees, and the Company. At least annually, our Board reviews and, if appropriate, revises our Corporate Governance Guidelines to reflect the Board’s corporate governance objectives and commitments. Our Corporate Governance Guidelines are available on SLB’s website at </w:t>
      </w:r>
      <w:r>
        <w:rPr>
          <w:rFonts w:ascii="Arial" w:cs="Arial" w:eastAsia="Arial" w:hAnsi="Arial"/>
          <w:sz w:val="16"/>
          <w:szCs w:val="16"/>
          <w:b w:val="1"/>
          <w:bCs w:val="1"/>
          <w:i w:val="1"/>
          <w:iCs w:val="1"/>
          <w:color w:val="auto"/>
        </w:rPr>
        <w:t>https://www.slb.com/about/leadership-and-governance/corporate-governance/guidelines</w:t>
      </w:r>
      <w:r>
        <w:rPr>
          <w:rFonts w:ascii="Arial" w:cs="Arial" w:eastAsia="Arial" w:hAnsi="Arial"/>
          <w:sz w:val="16"/>
          <w:szCs w:val="16"/>
          <w:color w:val="auto"/>
        </w:rPr>
        <w:t>.</w:t>
      </w:r>
    </w:p>
    <w:p>
      <w:pPr>
        <w:spacing w:after="0" w:line="350" w:lineRule="exact"/>
        <w:rPr>
          <w:sz w:val="20"/>
          <w:szCs w:val="20"/>
          <w:color w:val="auto"/>
        </w:rPr>
      </w:pPr>
    </w:p>
    <w:p>
      <w:pPr>
        <w:spacing w:after="0"/>
        <w:rPr>
          <w:sz w:val="20"/>
          <w:szCs w:val="20"/>
          <w:color w:val="auto"/>
        </w:rPr>
      </w:pPr>
      <w:r>
        <w:rPr>
          <w:rFonts w:ascii="Arial" w:cs="Arial" w:eastAsia="Arial" w:hAnsi="Arial"/>
          <w:sz w:val="29"/>
          <w:szCs w:val="29"/>
          <w:color w:val="0233A1"/>
        </w:rPr>
        <w:t>Certain Relationships and Related Person Transactions</w:t>
      </w:r>
    </w:p>
    <w:p>
      <w:pPr>
        <w:spacing w:after="0" w:line="2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The Board has a written policy governing the review, approval, and ratification of “related person transactions.” Under SEC rules, as applied by the Board, “related persons” include any director, executive officer, director nominee, or greater than 5% shareholder of SLB since the beginning of the previous fiscal year, and their immediate family members. The policy applies to any transaction in which SLB is a participant and any related person has a direct or indirect material interest, where the amount involved exceeds $120,000, unless excluded under Item 404(a) of SEC Regulation S-K.</w:t>
      </w:r>
    </w:p>
    <w:p>
      <w:pPr>
        <w:spacing w:after="0" w:line="164"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The Nominating and Governance Committee is responsible for reviewing and, where appropriate, approving or ratifying, any related person transaction involving SLB and any related persons. The Nominating and Governance Committee approves only those related person transactions that are in, or are not inconsistent with, the best interests of SLB and its shareholders.</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SLB has an ongoing commercial relationship with Vista, where Mr. Galuccio serves as chairman of the board and chief executive officer. In 2023, SLB contracted in an arms’ length manner with Vista to deliver oilfield services and products in the ordinary course, for which Vista paid SLB approximately $275 million. These transactions between SLB and Vista render Mr. Galuccio non-independent under the NYSE listing rules and our Corporate Governance Guidelines.</w:t>
      </w:r>
    </w:p>
    <w:p>
      <w:pPr>
        <w:spacing w:after="0" w:line="362" w:lineRule="exact"/>
        <w:rPr>
          <w:sz w:val="20"/>
          <w:szCs w:val="20"/>
          <w:color w:val="auto"/>
        </w:rPr>
      </w:pPr>
    </w:p>
    <w:p>
      <w:pPr>
        <w:spacing w:after="0"/>
        <w:rPr>
          <w:sz w:val="20"/>
          <w:szCs w:val="20"/>
          <w:color w:val="auto"/>
        </w:rPr>
      </w:pPr>
      <w:r>
        <w:rPr>
          <w:rFonts w:ascii="Arial" w:cs="Arial" w:eastAsia="Arial" w:hAnsi="Arial"/>
          <w:sz w:val="29"/>
          <w:szCs w:val="29"/>
          <w:color w:val="0233A1"/>
        </w:rPr>
        <w:t>Compensation Committee Interlocks and Insider Participation</w:t>
      </w:r>
    </w:p>
    <w:p>
      <w:pPr>
        <w:spacing w:after="0" w:line="26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During all of 2023, Mr. Sheets (Chair), Ms. Moræus Hanssen, Ms. Narayanan and Dr. Spiesshofer served on the Compensation Committee. None of the members of the Compensation Committee that served during 2023 is or has been an officer or employee of the Company or had any relationship that is required to be disclosed as a transaction with a related person. In addition, during 2023, none of our executive officers served as a member of the board of directors or compensation committee (or other board committee performing equivalent functions) of an entity that has one or more executive officers serving as members of our Board or our Compensation Committee.</w:t>
      </w:r>
    </w:p>
    <w:p>
      <w:pPr>
        <w:spacing w:after="0" w:line="364" w:lineRule="exact"/>
        <w:rPr>
          <w:sz w:val="20"/>
          <w:szCs w:val="20"/>
          <w:color w:val="auto"/>
        </w:rPr>
      </w:pPr>
    </w:p>
    <w:p>
      <w:pPr>
        <w:spacing w:after="0"/>
        <w:rPr>
          <w:sz w:val="20"/>
          <w:szCs w:val="20"/>
          <w:color w:val="auto"/>
        </w:rPr>
      </w:pPr>
      <w:r>
        <w:rPr>
          <w:rFonts w:ascii="Arial" w:cs="Arial" w:eastAsia="Arial" w:hAnsi="Arial"/>
          <w:sz w:val="29"/>
          <w:szCs w:val="29"/>
          <w:color w:val="0233A1"/>
        </w:rPr>
        <w:t>How to Communicate with Our Board</w:t>
      </w:r>
    </w:p>
    <w:p>
      <w:pPr>
        <w:spacing w:after="0" w:line="26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We maintain a process for shareholders and others to direct communications to the Board, our independent Board Chair, or any Board member or committee by writing to our Chief Legal Officer and Secretary. This process assists the Board in reviewing and responding to communications by shareholders and other interested parties. The Board has instructed our Chief Legal Officer and Secretary to review correspondence directed to the Board (including to the Chair and any Board committee) and, at the Secretary’s discretion, to forward those items that she deems appropriate for the Board’s consideration. Communications can be sent to the following address:</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SLB Board of Directors</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 SLB Chief Legal Officer and Secretary</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5599 San Felipe</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Houston, Texas 77056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471170" cy="28257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471170" cy="28257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both"/>
        <w:ind w:left="5540"/>
        <w:spacing w:after="0"/>
        <w:tabs>
          <w:tab w:leader="none" w:pos="9540" w:val="left"/>
        </w:tabs>
        <w:rPr>
          <w:sz w:val="20"/>
          <w:szCs w:val="20"/>
          <w:color w:val="auto"/>
        </w:rPr>
      </w:pPr>
      <w:r>
        <w:rPr>
          <w:rFonts w:ascii="Arial" w:cs="Arial" w:eastAsia="Arial" w:hAnsi="Arial"/>
          <w:sz w:val="16"/>
          <w:szCs w:val="16"/>
          <w:b w:val="1"/>
          <w:bCs w:val="1"/>
          <w:color w:val="auto"/>
        </w:rPr>
        <w:t>26</w:t>
      </w:r>
      <w:r>
        <w:rPr>
          <w:sz w:val="20"/>
          <w:szCs w:val="20"/>
          <w:color w:val="auto"/>
        </w:rPr>
        <w:tab/>
      </w:r>
      <w:r>
        <w:rPr>
          <w:rFonts w:ascii="Arial" w:cs="Arial" w:eastAsia="Arial" w:hAnsi="Arial"/>
          <w:sz w:val="16"/>
          <w:szCs w:val="16"/>
          <w:b w:val="1"/>
          <w:bCs w:val="1"/>
          <w:color w:val="636466"/>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-29845</wp:posOffset>
            </wp:positionV>
            <wp:extent cx="5417820"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342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9" w:lineRule="exact"/>
        <w:rPr>
          <w:sz w:val="20"/>
          <w:szCs w:val="20"/>
          <w:color w:val="auto"/>
        </w:rPr>
      </w:pPr>
    </w:p>
    <w:p>
      <w:pPr>
        <w:spacing w:after="0"/>
        <w:rPr>
          <w:sz w:val="20"/>
          <w:szCs w:val="20"/>
          <w:color w:val="auto"/>
        </w:rPr>
      </w:pPr>
      <w:r>
        <w:rPr>
          <w:rFonts w:ascii="Arial" w:cs="Arial" w:eastAsia="Arial" w:hAnsi="Arial"/>
          <w:sz w:val="50"/>
          <w:szCs w:val="50"/>
          <w:color w:val="0233A1"/>
        </w:rPr>
        <w:t>Director Compensation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Our director compensation philosophy is to appropriately compensate our non-employee directors for the time, expertise, and effort required to serve as a director of a large and complex global company, and to align the interests of our directors with those of our shareholders. Directors who are SLB employees do not receive compensation for serving on the Board.</w:t>
      </w:r>
    </w:p>
    <w:p>
      <w:pPr>
        <w:spacing w:after="0" w:line="356" w:lineRule="exact"/>
        <w:rPr>
          <w:sz w:val="20"/>
          <w:szCs w:val="20"/>
          <w:color w:val="auto"/>
        </w:rPr>
      </w:pPr>
    </w:p>
    <w:p>
      <w:pPr>
        <w:spacing w:after="0"/>
        <w:rPr>
          <w:sz w:val="20"/>
          <w:szCs w:val="20"/>
          <w:color w:val="auto"/>
        </w:rPr>
      </w:pPr>
      <w:r>
        <w:rPr>
          <w:rFonts w:ascii="Arial" w:cs="Arial" w:eastAsia="Arial" w:hAnsi="Arial"/>
          <w:sz w:val="29"/>
          <w:szCs w:val="29"/>
          <w:color w:val="0233A1"/>
        </w:rPr>
        <w:t>Director Pay Components</w:t>
      </w: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color w:val="0233A1"/>
        </w:rPr>
        <w:t>Cash Compensation</w:t>
      </w:r>
    </w:p>
    <w:p>
      <w:pPr>
        <w:spacing w:after="0" w:line="26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Non-employee directors receive the following cash compensation:</w:t>
      </w:r>
    </w:p>
    <w:p>
      <w:pPr>
        <w:spacing w:after="0" w:line="194" w:lineRule="exact"/>
        <w:rPr>
          <w:sz w:val="20"/>
          <w:szCs w:val="20"/>
          <w:color w:val="auto"/>
        </w:rPr>
      </w:pPr>
    </w:p>
    <w:p>
      <w:pPr>
        <w:ind w:left="500" w:hanging="168"/>
        <w:spacing w:after="0"/>
        <w:tabs>
          <w:tab w:leader="none" w:pos="500" w:val="left"/>
        </w:tabs>
        <w:numPr>
          <w:ilvl w:val="0"/>
          <w:numId w:val="23"/>
        </w:numPr>
        <w:rPr>
          <w:rFonts w:ascii="Arial" w:cs="Arial" w:eastAsia="Arial" w:hAnsi="Arial"/>
          <w:sz w:val="16"/>
          <w:szCs w:val="16"/>
          <w:b w:val="1"/>
          <w:bCs w:val="1"/>
          <w:color w:val="0233A1"/>
        </w:rPr>
      </w:pPr>
      <w:r>
        <w:rPr>
          <w:rFonts w:ascii="Arial" w:cs="Arial" w:eastAsia="Arial" w:hAnsi="Arial"/>
          <w:sz w:val="16"/>
          <w:szCs w:val="16"/>
          <w:color w:val="auto"/>
        </w:rPr>
        <w:t>an annual cash retainer of $115,000;</w:t>
      </w:r>
    </w:p>
    <w:p>
      <w:pPr>
        <w:spacing w:after="0" w:line="86" w:lineRule="exact"/>
        <w:rPr>
          <w:rFonts w:ascii="Arial" w:cs="Arial" w:eastAsia="Arial" w:hAnsi="Arial"/>
          <w:sz w:val="16"/>
          <w:szCs w:val="16"/>
          <w:b w:val="1"/>
          <w:bCs w:val="1"/>
          <w:color w:val="0233A1"/>
        </w:rPr>
      </w:pPr>
    </w:p>
    <w:p>
      <w:pPr>
        <w:ind w:left="500" w:hanging="168"/>
        <w:spacing w:after="0"/>
        <w:tabs>
          <w:tab w:leader="none" w:pos="500" w:val="left"/>
        </w:tabs>
        <w:numPr>
          <w:ilvl w:val="0"/>
          <w:numId w:val="23"/>
        </w:numPr>
        <w:rPr>
          <w:rFonts w:ascii="Arial" w:cs="Arial" w:eastAsia="Arial" w:hAnsi="Arial"/>
          <w:sz w:val="16"/>
          <w:szCs w:val="16"/>
          <w:b w:val="1"/>
          <w:bCs w:val="1"/>
          <w:color w:val="0233A1"/>
        </w:rPr>
      </w:pPr>
      <w:r>
        <w:rPr>
          <w:rFonts w:ascii="Arial" w:cs="Arial" w:eastAsia="Arial" w:hAnsi="Arial"/>
          <w:sz w:val="16"/>
          <w:szCs w:val="16"/>
          <w:color w:val="auto"/>
        </w:rPr>
        <w:t>an annual fee of $10,000 for each committee membership;</w:t>
      </w:r>
    </w:p>
    <w:p>
      <w:pPr>
        <w:spacing w:after="0" w:line="86" w:lineRule="exact"/>
        <w:rPr>
          <w:rFonts w:ascii="Arial" w:cs="Arial" w:eastAsia="Arial" w:hAnsi="Arial"/>
          <w:sz w:val="16"/>
          <w:szCs w:val="16"/>
          <w:b w:val="1"/>
          <w:bCs w:val="1"/>
          <w:color w:val="0233A1"/>
        </w:rPr>
      </w:pPr>
    </w:p>
    <w:p>
      <w:pPr>
        <w:ind w:left="500" w:hanging="168"/>
        <w:spacing w:after="0"/>
        <w:tabs>
          <w:tab w:leader="none" w:pos="500" w:val="left"/>
        </w:tabs>
        <w:numPr>
          <w:ilvl w:val="0"/>
          <w:numId w:val="23"/>
        </w:numPr>
        <w:rPr>
          <w:rFonts w:ascii="Arial" w:cs="Arial" w:eastAsia="Arial" w:hAnsi="Arial"/>
          <w:sz w:val="16"/>
          <w:szCs w:val="16"/>
          <w:b w:val="1"/>
          <w:bCs w:val="1"/>
          <w:color w:val="0233A1"/>
        </w:rPr>
      </w:pPr>
      <w:r>
        <w:rPr>
          <w:rFonts w:ascii="Arial" w:cs="Arial" w:eastAsia="Arial" w:hAnsi="Arial"/>
          <w:sz w:val="16"/>
          <w:szCs w:val="16"/>
          <w:color w:val="auto"/>
        </w:rPr>
        <w:t>if the director is the chair of a committee, an annual fee of $20,000 in lieu of the fee for committee membership; and</w:t>
      </w:r>
    </w:p>
    <w:p>
      <w:pPr>
        <w:spacing w:after="0" w:line="86" w:lineRule="exact"/>
        <w:rPr>
          <w:rFonts w:ascii="Arial" w:cs="Arial" w:eastAsia="Arial" w:hAnsi="Arial"/>
          <w:sz w:val="16"/>
          <w:szCs w:val="16"/>
          <w:b w:val="1"/>
          <w:bCs w:val="1"/>
          <w:color w:val="0233A1"/>
        </w:rPr>
      </w:pPr>
    </w:p>
    <w:p>
      <w:pPr>
        <w:ind w:left="500" w:hanging="168"/>
        <w:spacing w:after="0"/>
        <w:tabs>
          <w:tab w:leader="none" w:pos="500" w:val="left"/>
        </w:tabs>
        <w:numPr>
          <w:ilvl w:val="0"/>
          <w:numId w:val="23"/>
        </w:numPr>
        <w:rPr>
          <w:rFonts w:ascii="Arial" w:cs="Arial" w:eastAsia="Arial" w:hAnsi="Arial"/>
          <w:sz w:val="16"/>
          <w:szCs w:val="16"/>
          <w:b w:val="1"/>
          <w:bCs w:val="1"/>
          <w:color w:val="0233A1"/>
        </w:rPr>
      </w:pPr>
      <w:r>
        <w:rPr>
          <w:rFonts w:ascii="Arial" w:cs="Arial" w:eastAsia="Arial" w:hAnsi="Arial"/>
          <w:sz w:val="16"/>
          <w:szCs w:val="16"/>
          <w:color w:val="auto"/>
        </w:rPr>
        <w:t>if the director is the independent Board Chair, an additional $100,000 annual cash fee.</w:t>
      </w:r>
    </w:p>
    <w:p>
      <w:pPr>
        <w:spacing w:after="0" w:line="199" w:lineRule="exact"/>
        <w:rPr>
          <w:sz w:val="20"/>
          <w:szCs w:val="20"/>
          <w:color w:val="auto"/>
        </w:rPr>
      </w:pPr>
    </w:p>
    <w:p>
      <w:pPr>
        <w:spacing w:after="0"/>
        <w:rPr>
          <w:sz w:val="20"/>
          <w:szCs w:val="20"/>
          <w:color w:val="auto"/>
        </w:rPr>
      </w:pPr>
      <w:r>
        <w:rPr>
          <w:rFonts w:ascii="Arial" w:cs="Arial" w:eastAsia="Arial" w:hAnsi="Arial"/>
          <w:sz w:val="25"/>
          <w:szCs w:val="25"/>
          <w:color w:val="0233A1"/>
        </w:rPr>
        <w:t>Equity Compensation</w:t>
      </w:r>
    </w:p>
    <w:p>
      <w:pPr>
        <w:spacing w:after="0" w:line="261"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We annually grant shares of SLB common stock valued at approximately $190,000 for each non-employee director, or $290,000 for our independent Board Chair.</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2023, our non-employee directors received the following grants of SLB common stock on May 1, 2023:</w:t>
      </w:r>
    </w:p>
    <w:p>
      <w:pPr>
        <w:spacing w:after="0" w:line="194" w:lineRule="exact"/>
        <w:rPr>
          <w:sz w:val="20"/>
          <w:szCs w:val="20"/>
          <w:color w:val="auto"/>
        </w:rPr>
      </w:pPr>
    </w:p>
    <w:p>
      <w:pPr>
        <w:ind w:left="500" w:hanging="168"/>
        <w:spacing w:after="0"/>
        <w:tabs>
          <w:tab w:leader="none" w:pos="500" w:val="left"/>
        </w:tabs>
        <w:numPr>
          <w:ilvl w:val="0"/>
          <w:numId w:val="24"/>
        </w:numPr>
        <w:rPr>
          <w:rFonts w:ascii="Arial" w:cs="Arial" w:eastAsia="Arial" w:hAnsi="Arial"/>
          <w:sz w:val="16"/>
          <w:szCs w:val="16"/>
          <w:b w:val="1"/>
          <w:bCs w:val="1"/>
          <w:color w:val="0233A1"/>
        </w:rPr>
      </w:pPr>
      <w:r>
        <w:rPr>
          <w:rFonts w:ascii="Arial" w:cs="Arial" w:eastAsia="Arial" w:hAnsi="Arial"/>
          <w:sz w:val="16"/>
          <w:szCs w:val="16"/>
          <w:color w:val="auto"/>
        </w:rPr>
        <w:t>6,085 shares to Mr. Hackett, who was our independent Board Chair from July 2023,</w:t>
      </w:r>
    </w:p>
    <w:p>
      <w:pPr>
        <w:spacing w:after="0" w:line="99" w:lineRule="exact"/>
        <w:rPr>
          <w:rFonts w:ascii="Arial" w:cs="Arial" w:eastAsia="Arial" w:hAnsi="Arial"/>
          <w:sz w:val="16"/>
          <w:szCs w:val="16"/>
          <w:b w:val="1"/>
          <w:bCs w:val="1"/>
          <w:color w:val="0233A1"/>
        </w:rPr>
      </w:pPr>
    </w:p>
    <w:p>
      <w:pPr>
        <w:ind w:left="500" w:hanging="168"/>
        <w:spacing w:after="0"/>
        <w:tabs>
          <w:tab w:leader="none" w:pos="500" w:val="left"/>
        </w:tabs>
        <w:numPr>
          <w:ilvl w:val="0"/>
          <w:numId w:val="24"/>
        </w:numPr>
        <w:rPr>
          <w:rFonts w:ascii="Arial" w:cs="Arial" w:eastAsia="Arial" w:hAnsi="Arial"/>
          <w:sz w:val="16"/>
          <w:szCs w:val="16"/>
          <w:b w:val="1"/>
          <w:bCs w:val="1"/>
          <w:color w:val="0233A1"/>
        </w:rPr>
      </w:pPr>
      <w:r>
        <w:rPr>
          <w:rFonts w:ascii="Arial" w:cs="Arial" w:eastAsia="Arial" w:hAnsi="Arial"/>
          <w:sz w:val="16"/>
          <w:szCs w:val="16"/>
          <w:color w:val="auto"/>
        </w:rPr>
        <w:t>4,188 shares to Mr. Papa, who served as Board Chair until June 2023 and as a director until July 2023, and</w:t>
      </w:r>
    </w:p>
    <w:p>
      <w:pPr>
        <w:spacing w:after="0" w:line="99" w:lineRule="exact"/>
        <w:rPr>
          <w:rFonts w:ascii="Arial" w:cs="Arial" w:eastAsia="Arial" w:hAnsi="Arial"/>
          <w:sz w:val="16"/>
          <w:szCs w:val="16"/>
          <w:b w:val="1"/>
          <w:bCs w:val="1"/>
          <w:color w:val="0233A1"/>
        </w:rPr>
      </w:pPr>
    </w:p>
    <w:p>
      <w:pPr>
        <w:ind w:left="500" w:hanging="168"/>
        <w:spacing w:after="0"/>
        <w:tabs>
          <w:tab w:leader="none" w:pos="500" w:val="left"/>
        </w:tabs>
        <w:numPr>
          <w:ilvl w:val="0"/>
          <w:numId w:val="24"/>
        </w:numPr>
        <w:rPr>
          <w:rFonts w:ascii="Arial" w:cs="Arial" w:eastAsia="Arial" w:hAnsi="Arial"/>
          <w:sz w:val="16"/>
          <w:szCs w:val="16"/>
          <w:b w:val="1"/>
          <w:bCs w:val="1"/>
          <w:color w:val="0233A1"/>
        </w:rPr>
      </w:pPr>
      <w:r>
        <w:rPr>
          <w:rFonts w:ascii="Arial" w:cs="Arial" w:eastAsia="Arial" w:hAnsi="Arial"/>
          <w:sz w:val="16"/>
          <w:szCs w:val="16"/>
          <w:color w:val="auto"/>
        </w:rPr>
        <w:t>3,850 shares to each other non-employee director.</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provides information on the compensation paid to our non-employee directors in 2023.</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99"/>
        </w:trPr>
        <w:tc>
          <w:tcPr>
            <w:tcW w:w="3940" w:type="dxa"/>
            <w:vAlign w:val="bottom"/>
            <w:tcBorders>
              <w:bottom w:val="single" w:sz="8" w:color="0233A1"/>
            </w:tcBorders>
          </w:tcPr>
          <w:p>
            <w:pPr>
              <w:ind w:left="60"/>
              <w:spacing w:after="0"/>
              <w:rPr>
                <w:sz w:val="20"/>
                <w:szCs w:val="20"/>
                <w:color w:val="auto"/>
              </w:rPr>
            </w:pPr>
            <w:r>
              <w:rPr>
                <w:rFonts w:ascii="Arial" w:cs="Arial" w:eastAsia="Arial" w:hAnsi="Arial"/>
                <w:sz w:val="16"/>
                <w:szCs w:val="16"/>
                <w:b w:val="1"/>
                <w:bCs w:val="1"/>
                <w:color w:val="0233A1"/>
              </w:rPr>
              <w:t>Name</w:t>
            </w:r>
          </w:p>
        </w:tc>
        <w:tc>
          <w:tcPr>
            <w:tcW w:w="4500" w:type="dxa"/>
            <w:vAlign w:val="bottom"/>
            <w:tcBorders>
              <w:bottom w:val="single" w:sz="8" w:color="0233A1"/>
            </w:tcBorders>
          </w:tcPr>
          <w:p>
            <w:pPr>
              <w:jc w:val="right"/>
              <w:spacing w:after="0"/>
              <w:rPr>
                <w:sz w:val="20"/>
                <w:szCs w:val="20"/>
                <w:color w:val="auto"/>
              </w:rPr>
            </w:pPr>
            <w:r>
              <w:rPr>
                <w:rFonts w:ascii="Arial" w:cs="Arial" w:eastAsia="Arial" w:hAnsi="Arial"/>
                <w:sz w:val="16"/>
                <w:szCs w:val="16"/>
                <w:b w:val="1"/>
                <w:bCs w:val="1"/>
                <w:color w:val="0233A1"/>
              </w:rPr>
              <w:t>Fees Earned or Paid in Cash ($)</w:t>
            </w:r>
          </w:p>
        </w:tc>
        <w:tc>
          <w:tcPr>
            <w:tcW w:w="1900" w:type="dxa"/>
            <w:vAlign w:val="bottom"/>
            <w:tcBorders>
              <w:bottom w:val="single" w:sz="8" w:color="0233A1"/>
            </w:tcBorders>
          </w:tcPr>
          <w:p>
            <w:pPr>
              <w:jc w:val="right"/>
              <w:ind w:right="279"/>
              <w:spacing w:after="0"/>
              <w:rPr>
                <w:sz w:val="20"/>
                <w:szCs w:val="20"/>
                <w:color w:val="auto"/>
              </w:rPr>
            </w:pPr>
            <w:r>
              <w:rPr>
                <w:rFonts w:ascii="Arial" w:cs="Arial" w:eastAsia="Arial" w:hAnsi="Arial"/>
                <w:sz w:val="16"/>
                <w:szCs w:val="16"/>
                <w:b w:val="1"/>
                <w:bCs w:val="1"/>
                <w:color w:val="0233A1"/>
              </w:rPr>
              <w:t>Stock Awards ($)</w:t>
            </w:r>
            <w:r>
              <w:rPr>
                <w:rFonts w:ascii="Arial" w:cs="Arial" w:eastAsia="Arial" w:hAnsi="Arial"/>
                <w:sz w:val="26"/>
                <w:szCs w:val="26"/>
                <w:b w:val="1"/>
                <w:bCs w:val="1"/>
                <w:color w:val="0233A1"/>
                <w:vertAlign w:val="superscript"/>
              </w:rPr>
              <w:t>(1)</w:t>
            </w:r>
          </w:p>
        </w:tc>
        <w:tc>
          <w:tcPr>
            <w:tcW w:w="900" w:type="dxa"/>
            <w:vAlign w:val="bottom"/>
            <w:tcBorders>
              <w:bottom w:val="single" w:sz="8" w:color="0233A1"/>
            </w:tcBorders>
          </w:tcPr>
          <w:p>
            <w:pPr>
              <w:jc w:val="right"/>
              <w:spacing w:after="0"/>
              <w:rPr>
                <w:sz w:val="20"/>
                <w:szCs w:val="20"/>
                <w:color w:val="auto"/>
              </w:rPr>
            </w:pPr>
            <w:r>
              <w:rPr>
                <w:rFonts w:ascii="Arial" w:cs="Arial" w:eastAsia="Arial" w:hAnsi="Arial"/>
                <w:sz w:val="16"/>
                <w:szCs w:val="16"/>
                <w:b w:val="1"/>
                <w:bCs w:val="1"/>
                <w:color w:val="0233A1"/>
              </w:rPr>
              <w:t>Total ($)</w:t>
            </w:r>
          </w:p>
        </w:tc>
      </w:tr>
      <w:tr>
        <w:trPr>
          <w:trHeight w:val="182"/>
        </w:trPr>
        <w:tc>
          <w:tcPr>
            <w:tcW w:w="3940" w:type="dxa"/>
            <w:vAlign w:val="bottom"/>
          </w:tcPr>
          <w:p>
            <w:pPr>
              <w:ind w:left="60"/>
              <w:spacing w:after="0" w:line="182" w:lineRule="exact"/>
              <w:rPr>
                <w:sz w:val="20"/>
                <w:szCs w:val="20"/>
                <w:color w:val="auto"/>
              </w:rPr>
            </w:pPr>
            <w:r>
              <w:rPr>
                <w:rFonts w:ascii="Arial" w:cs="Arial" w:eastAsia="Arial" w:hAnsi="Arial"/>
                <w:sz w:val="16"/>
                <w:szCs w:val="16"/>
                <w:color w:val="auto"/>
              </w:rPr>
              <w:t>Peter Coleman</w:t>
            </w:r>
          </w:p>
        </w:tc>
        <w:tc>
          <w:tcPr>
            <w:tcW w:w="4500" w:type="dxa"/>
            <w:vAlign w:val="bottom"/>
          </w:tcPr>
          <w:p>
            <w:pPr>
              <w:jc w:val="right"/>
              <w:spacing w:after="0" w:line="182" w:lineRule="exact"/>
              <w:rPr>
                <w:sz w:val="20"/>
                <w:szCs w:val="20"/>
                <w:color w:val="auto"/>
              </w:rPr>
            </w:pPr>
            <w:r>
              <w:rPr>
                <w:rFonts w:ascii="Arial" w:cs="Arial" w:eastAsia="Arial" w:hAnsi="Arial"/>
                <w:sz w:val="16"/>
                <w:szCs w:val="16"/>
                <w:color w:val="auto"/>
              </w:rPr>
              <w:t>135,000</w:t>
            </w:r>
          </w:p>
        </w:tc>
        <w:tc>
          <w:tcPr>
            <w:tcW w:w="1900" w:type="dxa"/>
            <w:vAlign w:val="bottom"/>
          </w:tcPr>
          <w:p>
            <w:pPr>
              <w:jc w:val="right"/>
              <w:ind w:right="459"/>
              <w:spacing w:after="0" w:line="182" w:lineRule="exact"/>
              <w:rPr>
                <w:sz w:val="20"/>
                <w:szCs w:val="20"/>
                <w:color w:val="auto"/>
              </w:rPr>
            </w:pPr>
            <w:r>
              <w:rPr>
                <w:rFonts w:ascii="Arial" w:cs="Arial" w:eastAsia="Arial" w:hAnsi="Arial"/>
                <w:sz w:val="16"/>
                <w:szCs w:val="16"/>
                <w:color w:val="auto"/>
              </w:rPr>
              <w:t>189,228</w:t>
            </w:r>
          </w:p>
        </w:tc>
        <w:tc>
          <w:tcPr>
            <w:tcW w:w="900" w:type="dxa"/>
            <w:vAlign w:val="bottom"/>
            <w:shd w:val="clear" w:color="auto" w:fill="EBECEE"/>
          </w:tcPr>
          <w:p>
            <w:pPr>
              <w:jc w:val="right"/>
              <w:spacing w:after="0" w:line="182" w:lineRule="exact"/>
              <w:rPr>
                <w:sz w:val="20"/>
                <w:szCs w:val="20"/>
                <w:color w:val="auto"/>
              </w:rPr>
            </w:pPr>
            <w:r>
              <w:rPr>
                <w:rFonts w:ascii="Arial" w:cs="Arial" w:eastAsia="Arial" w:hAnsi="Arial"/>
                <w:sz w:val="16"/>
                <w:szCs w:val="16"/>
                <w:color w:val="auto"/>
              </w:rPr>
              <w:t>324,228</w:t>
            </w:r>
          </w:p>
        </w:tc>
      </w:tr>
      <w:tr>
        <w:trPr>
          <w:trHeight w:val="203"/>
        </w:trPr>
        <w:tc>
          <w:tcPr>
            <w:tcW w:w="3940" w:type="dxa"/>
            <w:vAlign w:val="bottom"/>
          </w:tcPr>
          <w:p>
            <w:pPr>
              <w:ind w:left="60"/>
              <w:spacing w:after="0"/>
              <w:rPr>
                <w:sz w:val="20"/>
                <w:szCs w:val="20"/>
                <w:color w:val="auto"/>
              </w:rPr>
            </w:pPr>
            <w:r>
              <w:rPr>
                <w:rFonts w:ascii="Arial" w:cs="Arial" w:eastAsia="Arial" w:hAnsi="Arial"/>
                <w:sz w:val="16"/>
                <w:szCs w:val="16"/>
                <w:color w:val="auto"/>
              </w:rPr>
              <w:t>Patrick de La Chevardière</w:t>
            </w:r>
          </w:p>
        </w:tc>
        <w:tc>
          <w:tcPr>
            <w:tcW w:w="4500" w:type="dxa"/>
            <w:vAlign w:val="bottom"/>
          </w:tcPr>
          <w:p>
            <w:pPr>
              <w:jc w:val="right"/>
              <w:spacing w:after="0"/>
              <w:rPr>
                <w:sz w:val="20"/>
                <w:szCs w:val="20"/>
                <w:color w:val="auto"/>
              </w:rPr>
            </w:pPr>
            <w:r>
              <w:rPr>
                <w:rFonts w:ascii="Arial" w:cs="Arial" w:eastAsia="Arial" w:hAnsi="Arial"/>
                <w:sz w:val="16"/>
                <w:szCs w:val="16"/>
                <w:color w:val="auto"/>
              </w:rPr>
              <w:t>145,000</w:t>
            </w:r>
          </w:p>
        </w:tc>
        <w:tc>
          <w:tcPr>
            <w:tcW w:w="1900" w:type="dxa"/>
            <w:vAlign w:val="bottom"/>
          </w:tcPr>
          <w:p>
            <w:pPr>
              <w:jc w:val="right"/>
              <w:ind w:right="459"/>
              <w:spacing w:after="0"/>
              <w:rPr>
                <w:sz w:val="20"/>
                <w:szCs w:val="20"/>
                <w:color w:val="auto"/>
              </w:rPr>
            </w:pPr>
            <w:r>
              <w:rPr>
                <w:rFonts w:ascii="Arial" w:cs="Arial" w:eastAsia="Arial" w:hAnsi="Arial"/>
                <w:sz w:val="16"/>
                <w:szCs w:val="16"/>
                <w:color w:val="auto"/>
              </w:rPr>
              <w:t>189,228</w:t>
            </w:r>
          </w:p>
        </w:tc>
        <w:tc>
          <w:tcPr>
            <w:tcW w:w="900" w:type="dxa"/>
            <w:vAlign w:val="bottom"/>
            <w:shd w:val="clear" w:color="auto" w:fill="EBECEE"/>
          </w:tcPr>
          <w:p>
            <w:pPr>
              <w:jc w:val="right"/>
              <w:spacing w:after="0"/>
              <w:rPr>
                <w:sz w:val="20"/>
                <w:szCs w:val="20"/>
                <w:color w:val="auto"/>
              </w:rPr>
            </w:pPr>
            <w:r>
              <w:rPr>
                <w:rFonts w:ascii="Arial" w:cs="Arial" w:eastAsia="Arial" w:hAnsi="Arial"/>
                <w:sz w:val="16"/>
                <w:szCs w:val="16"/>
                <w:color w:val="auto"/>
              </w:rPr>
              <w:t>334,228</w:t>
            </w:r>
          </w:p>
        </w:tc>
      </w:tr>
      <w:tr>
        <w:trPr>
          <w:trHeight w:val="204"/>
        </w:trPr>
        <w:tc>
          <w:tcPr>
            <w:tcW w:w="3940" w:type="dxa"/>
            <w:vAlign w:val="bottom"/>
          </w:tcPr>
          <w:p>
            <w:pPr>
              <w:ind w:left="60"/>
              <w:spacing w:after="0"/>
              <w:rPr>
                <w:sz w:val="20"/>
                <w:szCs w:val="20"/>
                <w:color w:val="auto"/>
              </w:rPr>
            </w:pPr>
            <w:r>
              <w:rPr>
                <w:rFonts w:ascii="Arial" w:cs="Arial" w:eastAsia="Arial" w:hAnsi="Arial"/>
                <w:sz w:val="16"/>
                <w:szCs w:val="16"/>
                <w:color w:val="auto"/>
              </w:rPr>
              <w:t>Miguel Galuccio</w:t>
            </w:r>
          </w:p>
        </w:tc>
        <w:tc>
          <w:tcPr>
            <w:tcW w:w="4500" w:type="dxa"/>
            <w:vAlign w:val="bottom"/>
          </w:tcPr>
          <w:p>
            <w:pPr>
              <w:jc w:val="right"/>
              <w:spacing w:after="0"/>
              <w:rPr>
                <w:sz w:val="20"/>
                <w:szCs w:val="20"/>
                <w:color w:val="auto"/>
              </w:rPr>
            </w:pPr>
            <w:r>
              <w:rPr>
                <w:rFonts w:ascii="Arial" w:cs="Arial" w:eastAsia="Arial" w:hAnsi="Arial"/>
                <w:sz w:val="16"/>
                <w:szCs w:val="16"/>
                <w:color w:val="auto"/>
              </w:rPr>
              <w:t>135,000</w:t>
            </w:r>
          </w:p>
        </w:tc>
        <w:tc>
          <w:tcPr>
            <w:tcW w:w="1900" w:type="dxa"/>
            <w:vAlign w:val="bottom"/>
          </w:tcPr>
          <w:p>
            <w:pPr>
              <w:jc w:val="right"/>
              <w:ind w:right="459"/>
              <w:spacing w:after="0"/>
              <w:rPr>
                <w:sz w:val="20"/>
                <w:szCs w:val="20"/>
                <w:color w:val="auto"/>
              </w:rPr>
            </w:pPr>
            <w:r>
              <w:rPr>
                <w:rFonts w:ascii="Arial" w:cs="Arial" w:eastAsia="Arial" w:hAnsi="Arial"/>
                <w:sz w:val="16"/>
                <w:szCs w:val="16"/>
                <w:color w:val="auto"/>
              </w:rPr>
              <w:t>189,228</w:t>
            </w:r>
          </w:p>
        </w:tc>
        <w:tc>
          <w:tcPr>
            <w:tcW w:w="900" w:type="dxa"/>
            <w:vAlign w:val="bottom"/>
            <w:shd w:val="clear" w:color="auto" w:fill="EBECEE"/>
          </w:tcPr>
          <w:p>
            <w:pPr>
              <w:jc w:val="right"/>
              <w:spacing w:after="0"/>
              <w:rPr>
                <w:sz w:val="20"/>
                <w:szCs w:val="20"/>
                <w:color w:val="auto"/>
              </w:rPr>
            </w:pPr>
            <w:r>
              <w:rPr>
                <w:rFonts w:ascii="Arial" w:cs="Arial" w:eastAsia="Arial" w:hAnsi="Arial"/>
                <w:sz w:val="16"/>
                <w:szCs w:val="16"/>
                <w:color w:val="auto"/>
              </w:rPr>
              <w:t>324,228</w:t>
            </w:r>
          </w:p>
        </w:tc>
      </w:tr>
      <w:tr>
        <w:trPr>
          <w:trHeight w:val="242"/>
        </w:trPr>
        <w:tc>
          <w:tcPr>
            <w:tcW w:w="3940" w:type="dxa"/>
            <w:vAlign w:val="bottom"/>
          </w:tcPr>
          <w:p>
            <w:pPr>
              <w:ind w:left="60"/>
              <w:spacing w:after="0" w:line="241" w:lineRule="exact"/>
              <w:rPr>
                <w:sz w:val="20"/>
                <w:szCs w:val="20"/>
                <w:color w:val="auto"/>
              </w:rPr>
            </w:pPr>
            <w:r>
              <w:rPr>
                <w:rFonts w:ascii="Arial" w:cs="Arial" w:eastAsia="Arial" w:hAnsi="Arial"/>
                <w:sz w:val="16"/>
                <w:szCs w:val="16"/>
                <w:color w:val="auto"/>
              </w:rPr>
              <w:t>Jim Hackett</w:t>
            </w:r>
            <w:r>
              <w:rPr>
                <w:rFonts w:ascii="Arial" w:cs="Arial" w:eastAsia="Arial" w:hAnsi="Arial"/>
                <w:sz w:val="26"/>
                <w:szCs w:val="26"/>
                <w:color w:val="auto"/>
                <w:vertAlign w:val="superscript"/>
              </w:rPr>
              <w:t>(2)</w:t>
            </w:r>
          </w:p>
        </w:tc>
        <w:tc>
          <w:tcPr>
            <w:tcW w:w="4500" w:type="dxa"/>
            <w:vAlign w:val="bottom"/>
          </w:tcPr>
          <w:p>
            <w:pPr>
              <w:jc w:val="right"/>
              <w:spacing w:after="0"/>
              <w:rPr>
                <w:sz w:val="20"/>
                <w:szCs w:val="20"/>
                <w:color w:val="auto"/>
              </w:rPr>
            </w:pPr>
            <w:r>
              <w:rPr>
                <w:rFonts w:ascii="Arial" w:cs="Arial" w:eastAsia="Arial" w:hAnsi="Arial"/>
                <w:sz w:val="16"/>
                <w:szCs w:val="16"/>
                <w:color w:val="auto"/>
              </w:rPr>
              <w:t>167,095</w:t>
            </w:r>
          </w:p>
        </w:tc>
        <w:tc>
          <w:tcPr>
            <w:tcW w:w="1900" w:type="dxa"/>
            <w:vAlign w:val="bottom"/>
          </w:tcPr>
          <w:p>
            <w:pPr>
              <w:jc w:val="right"/>
              <w:ind w:right="459"/>
              <w:spacing w:after="0"/>
              <w:rPr>
                <w:sz w:val="20"/>
                <w:szCs w:val="20"/>
                <w:color w:val="auto"/>
              </w:rPr>
            </w:pPr>
            <w:r>
              <w:rPr>
                <w:rFonts w:ascii="Arial" w:cs="Arial" w:eastAsia="Arial" w:hAnsi="Arial"/>
                <w:sz w:val="16"/>
                <w:szCs w:val="16"/>
                <w:color w:val="auto"/>
              </w:rPr>
              <w:t>299,078</w:t>
            </w:r>
          </w:p>
        </w:tc>
        <w:tc>
          <w:tcPr>
            <w:tcW w:w="900" w:type="dxa"/>
            <w:vAlign w:val="bottom"/>
            <w:shd w:val="clear" w:color="auto" w:fill="EBECEE"/>
          </w:tcPr>
          <w:p>
            <w:pPr>
              <w:jc w:val="right"/>
              <w:spacing w:after="0"/>
              <w:rPr>
                <w:sz w:val="20"/>
                <w:szCs w:val="20"/>
                <w:color w:val="auto"/>
              </w:rPr>
            </w:pPr>
            <w:r>
              <w:rPr>
                <w:rFonts w:ascii="Arial" w:cs="Arial" w:eastAsia="Arial" w:hAnsi="Arial"/>
                <w:sz w:val="16"/>
                <w:szCs w:val="16"/>
                <w:color w:val="auto"/>
              </w:rPr>
              <w:t>466,173</w:t>
            </w:r>
          </w:p>
        </w:tc>
      </w:tr>
      <w:tr>
        <w:trPr>
          <w:trHeight w:val="203"/>
        </w:trPr>
        <w:tc>
          <w:tcPr>
            <w:tcW w:w="3940" w:type="dxa"/>
            <w:vAlign w:val="bottom"/>
          </w:tcPr>
          <w:p>
            <w:pPr>
              <w:ind w:left="60"/>
              <w:spacing w:after="0"/>
              <w:rPr>
                <w:sz w:val="20"/>
                <w:szCs w:val="20"/>
                <w:color w:val="auto"/>
              </w:rPr>
            </w:pPr>
            <w:r>
              <w:rPr>
                <w:rFonts w:ascii="Arial" w:cs="Arial" w:eastAsia="Arial" w:hAnsi="Arial"/>
                <w:sz w:val="16"/>
                <w:szCs w:val="16"/>
                <w:color w:val="auto"/>
              </w:rPr>
              <w:t>Samuel Leupold</w:t>
            </w:r>
          </w:p>
        </w:tc>
        <w:tc>
          <w:tcPr>
            <w:tcW w:w="4500" w:type="dxa"/>
            <w:vAlign w:val="bottom"/>
          </w:tcPr>
          <w:p>
            <w:pPr>
              <w:jc w:val="right"/>
              <w:spacing w:after="0"/>
              <w:rPr>
                <w:sz w:val="20"/>
                <w:szCs w:val="20"/>
                <w:color w:val="auto"/>
              </w:rPr>
            </w:pPr>
            <w:r>
              <w:rPr>
                <w:rFonts w:ascii="Arial" w:cs="Arial" w:eastAsia="Arial" w:hAnsi="Arial"/>
                <w:sz w:val="16"/>
                <w:szCs w:val="16"/>
                <w:color w:val="auto"/>
              </w:rPr>
              <w:t>145,000</w:t>
            </w:r>
          </w:p>
        </w:tc>
        <w:tc>
          <w:tcPr>
            <w:tcW w:w="1900" w:type="dxa"/>
            <w:vAlign w:val="bottom"/>
          </w:tcPr>
          <w:p>
            <w:pPr>
              <w:jc w:val="right"/>
              <w:ind w:right="459"/>
              <w:spacing w:after="0"/>
              <w:rPr>
                <w:sz w:val="20"/>
                <w:szCs w:val="20"/>
                <w:color w:val="auto"/>
              </w:rPr>
            </w:pPr>
            <w:r>
              <w:rPr>
                <w:rFonts w:ascii="Arial" w:cs="Arial" w:eastAsia="Arial" w:hAnsi="Arial"/>
                <w:sz w:val="16"/>
                <w:szCs w:val="16"/>
                <w:color w:val="auto"/>
              </w:rPr>
              <w:t>189,228</w:t>
            </w:r>
          </w:p>
        </w:tc>
        <w:tc>
          <w:tcPr>
            <w:tcW w:w="900" w:type="dxa"/>
            <w:vAlign w:val="bottom"/>
            <w:shd w:val="clear" w:color="auto" w:fill="EBECEE"/>
          </w:tcPr>
          <w:p>
            <w:pPr>
              <w:jc w:val="right"/>
              <w:spacing w:after="0"/>
              <w:rPr>
                <w:sz w:val="20"/>
                <w:szCs w:val="20"/>
                <w:color w:val="auto"/>
              </w:rPr>
            </w:pPr>
            <w:r>
              <w:rPr>
                <w:rFonts w:ascii="Arial" w:cs="Arial" w:eastAsia="Arial" w:hAnsi="Arial"/>
                <w:sz w:val="16"/>
                <w:szCs w:val="16"/>
                <w:color w:val="auto"/>
              </w:rPr>
              <w:t>334,228</w:t>
            </w:r>
          </w:p>
        </w:tc>
      </w:tr>
      <w:tr>
        <w:trPr>
          <w:trHeight w:val="203"/>
        </w:trPr>
        <w:tc>
          <w:tcPr>
            <w:tcW w:w="3940" w:type="dxa"/>
            <w:vAlign w:val="bottom"/>
          </w:tcPr>
          <w:p>
            <w:pPr>
              <w:ind w:left="60"/>
              <w:spacing w:after="0"/>
              <w:rPr>
                <w:sz w:val="20"/>
                <w:szCs w:val="20"/>
                <w:color w:val="auto"/>
              </w:rPr>
            </w:pPr>
            <w:r>
              <w:rPr>
                <w:rFonts w:ascii="Arial" w:cs="Arial" w:eastAsia="Arial" w:hAnsi="Arial"/>
                <w:sz w:val="16"/>
                <w:szCs w:val="16"/>
                <w:color w:val="auto"/>
              </w:rPr>
              <w:t>Tatiana Mitrova</w:t>
            </w:r>
          </w:p>
        </w:tc>
        <w:tc>
          <w:tcPr>
            <w:tcW w:w="4500" w:type="dxa"/>
            <w:vAlign w:val="bottom"/>
          </w:tcPr>
          <w:p>
            <w:pPr>
              <w:jc w:val="right"/>
              <w:spacing w:after="0"/>
              <w:rPr>
                <w:sz w:val="20"/>
                <w:szCs w:val="20"/>
                <w:color w:val="auto"/>
              </w:rPr>
            </w:pPr>
            <w:r>
              <w:rPr>
                <w:rFonts w:ascii="Arial" w:cs="Arial" w:eastAsia="Arial" w:hAnsi="Arial"/>
                <w:sz w:val="16"/>
                <w:szCs w:val="16"/>
                <w:color w:val="auto"/>
              </w:rPr>
              <w:t>145,000</w:t>
            </w:r>
          </w:p>
        </w:tc>
        <w:tc>
          <w:tcPr>
            <w:tcW w:w="1900" w:type="dxa"/>
            <w:vAlign w:val="bottom"/>
          </w:tcPr>
          <w:p>
            <w:pPr>
              <w:jc w:val="right"/>
              <w:ind w:right="459"/>
              <w:spacing w:after="0"/>
              <w:rPr>
                <w:sz w:val="20"/>
                <w:szCs w:val="20"/>
                <w:color w:val="auto"/>
              </w:rPr>
            </w:pPr>
            <w:r>
              <w:rPr>
                <w:rFonts w:ascii="Arial" w:cs="Arial" w:eastAsia="Arial" w:hAnsi="Arial"/>
                <w:sz w:val="16"/>
                <w:szCs w:val="16"/>
                <w:color w:val="auto"/>
              </w:rPr>
              <w:t>189,228</w:t>
            </w:r>
          </w:p>
        </w:tc>
        <w:tc>
          <w:tcPr>
            <w:tcW w:w="900" w:type="dxa"/>
            <w:vAlign w:val="bottom"/>
            <w:shd w:val="clear" w:color="auto" w:fill="EBECEE"/>
          </w:tcPr>
          <w:p>
            <w:pPr>
              <w:jc w:val="right"/>
              <w:spacing w:after="0"/>
              <w:rPr>
                <w:sz w:val="20"/>
                <w:szCs w:val="20"/>
                <w:color w:val="auto"/>
              </w:rPr>
            </w:pPr>
            <w:r>
              <w:rPr>
                <w:rFonts w:ascii="Arial" w:cs="Arial" w:eastAsia="Arial" w:hAnsi="Arial"/>
                <w:sz w:val="16"/>
                <w:szCs w:val="16"/>
                <w:color w:val="auto"/>
              </w:rPr>
              <w:t>334,228</w:t>
            </w:r>
          </w:p>
        </w:tc>
      </w:tr>
      <w:tr>
        <w:trPr>
          <w:trHeight w:val="203"/>
        </w:trPr>
        <w:tc>
          <w:tcPr>
            <w:tcW w:w="3940" w:type="dxa"/>
            <w:vAlign w:val="bottom"/>
          </w:tcPr>
          <w:p>
            <w:pPr>
              <w:ind w:left="60"/>
              <w:spacing w:after="0"/>
              <w:rPr>
                <w:sz w:val="20"/>
                <w:szCs w:val="20"/>
                <w:color w:val="auto"/>
              </w:rPr>
            </w:pPr>
            <w:r>
              <w:rPr>
                <w:rFonts w:ascii="Arial" w:cs="Arial" w:eastAsia="Arial" w:hAnsi="Arial"/>
                <w:sz w:val="16"/>
                <w:szCs w:val="16"/>
                <w:color w:val="auto"/>
              </w:rPr>
              <w:t>Maria Moræus Hanssen</w:t>
            </w:r>
          </w:p>
        </w:tc>
        <w:tc>
          <w:tcPr>
            <w:tcW w:w="4500" w:type="dxa"/>
            <w:vAlign w:val="bottom"/>
          </w:tcPr>
          <w:p>
            <w:pPr>
              <w:jc w:val="right"/>
              <w:spacing w:after="0"/>
              <w:rPr>
                <w:sz w:val="20"/>
                <w:szCs w:val="20"/>
                <w:color w:val="auto"/>
              </w:rPr>
            </w:pPr>
            <w:r>
              <w:rPr>
                <w:rFonts w:ascii="Arial" w:cs="Arial" w:eastAsia="Arial" w:hAnsi="Arial"/>
                <w:sz w:val="16"/>
                <w:szCs w:val="16"/>
                <w:color w:val="auto"/>
              </w:rPr>
              <w:t>155,000</w:t>
            </w:r>
          </w:p>
        </w:tc>
        <w:tc>
          <w:tcPr>
            <w:tcW w:w="1900" w:type="dxa"/>
            <w:vAlign w:val="bottom"/>
          </w:tcPr>
          <w:p>
            <w:pPr>
              <w:jc w:val="right"/>
              <w:ind w:right="459"/>
              <w:spacing w:after="0"/>
              <w:rPr>
                <w:sz w:val="20"/>
                <w:szCs w:val="20"/>
                <w:color w:val="auto"/>
              </w:rPr>
            </w:pPr>
            <w:r>
              <w:rPr>
                <w:rFonts w:ascii="Arial" w:cs="Arial" w:eastAsia="Arial" w:hAnsi="Arial"/>
                <w:sz w:val="16"/>
                <w:szCs w:val="16"/>
                <w:color w:val="auto"/>
              </w:rPr>
              <w:t>189,228</w:t>
            </w:r>
          </w:p>
        </w:tc>
        <w:tc>
          <w:tcPr>
            <w:tcW w:w="900" w:type="dxa"/>
            <w:vAlign w:val="bottom"/>
            <w:shd w:val="clear" w:color="auto" w:fill="EBECEE"/>
          </w:tcPr>
          <w:p>
            <w:pPr>
              <w:jc w:val="right"/>
              <w:spacing w:after="0"/>
              <w:rPr>
                <w:sz w:val="20"/>
                <w:szCs w:val="20"/>
                <w:color w:val="auto"/>
              </w:rPr>
            </w:pPr>
            <w:r>
              <w:rPr>
                <w:rFonts w:ascii="Arial" w:cs="Arial" w:eastAsia="Arial" w:hAnsi="Arial"/>
                <w:sz w:val="16"/>
                <w:szCs w:val="16"/>
                <w:color w:val="auto"/>
              </w:rPr>
              <w:t>344,228</w:t>
            </w:r>
          </w:p>
        </w:tc>
      </w:tr>
      <w:tr>
        <w:trPr>
          <w:trHeight w:val="204"/>
        </w:trPr>
        <w:tc>
          <w:tcPr>
            <w:tcW w:w="3940" w:type="dxa"/>
            <w:vAlign w:val="bottom"/>
          </w:tcPr>
          <w:p>
            <w:pPr>
              <w:ind w:left="60"/>
              <w:spacing w:after="0"/>
              <w:rPr>
                <w:sz w:val="20"/>
                <w:szCs w:val="20"/>
                <w:color w:val="auto"/>
              </w:rPr>
            </w:pPr>
            <w:r>
              <w:rPr>
                <w:rFonts w:ascii="Arial" w:cs="Arial" w:eastAsia="Arial" w:hAnsi="Arial"/>
                <w:sz w:val="16"/>
                <w:szCs w:val="16"/>
                <w:color w:val="auto"/>
              </w:rPr>
              <w:t>Vanitha Narayanan</w:t>
            </w:r>
          </w:p>
        </w:tc>
        <w:tc>
          <w:tcPr>
            <w:tcW w:w="4500" w:type="dxa"/>
            <w:vAlign w:val="bottom"/>
          </w:tcPr>
          <w:p>
            <w:pPr>
              <w:jc w:val="right"/>
              <w:spacing w:after="0"/>
              <w:rPr>
                <w:sz w:val="20"/>
                <w:szCs w:val="20"/>
                <w:color w:val="auto"/>
              </w:rPr>
            </w:pPr>
            <w:r>
              <w:rPr>
                <w:rFonts w:ascii="Arial" w:cs="Arial" w:eastAsia="Arial" w:hAnsi="Arial"/>
                <w:sz w:val="16"/>
                <w:szCs w:val="16"/>
                <w:color w:val="auto"/>
              </w:rPr>
              <w:t>137,500</w:t>
            </w:r>
          </w:p>
        </w:tc>
        <w:tc>
          <w:tcPr>
            <w:tcW w:w="1900" w:type="dxa"/>
            <w:vAlign w:val="bottom"/>
          </w:tcPr>
          <w:p>
            <w:pPr>
              <w:jc w:val="right"/>
              <w:ind w:right="459"/>
              <w:spacing w:after="0"/>
              <w:rPr>
                <w:sz w:val="20"/>
                <w:szCs w:val="20"/>
                <w:color w:val="auto"/>
              </w:rPr>
            </w:pPr>
            <w:r>
              <w:rPr>
                <w:rFonts w:ascii="Arial" w:cs="Arial" w:eastAsia="Arial" w:hAnsi="Arial"/>
                <w:sz w:val="16"/>
                <w:szCs w:val="16"/>
                <w:color w:val="auto"/>
              </w:rPr>
              <w:t>189,228</w:t>
            </w:r>
          </w:p>
        </w:tc>
        <w:tc>
          <w:tcPr>
            <w:tcW w:w="900" w:type="dxa"/>
            <w:vAlign w:val="bottom"/>
            <w:shd w:val="clear" w:color="auto" w:fill="EBECEE"/>
          </w:tcPr>
          <w:p>
            <w:pPr>
              <w:jc w:val="right"/>
              <w:spacing w:after="0"/>
              <w:rPr>
                <w:sz w:val="20"/>
                <w:szCs w:val="20"/>
                <w:color w:val="auto"/>
              </w:rPr>
            </w:pPr>
            <w:r>
              <w:rPr>
                <w:rFonts w:ascii="Arial" w:cs="Arial" w:eastAsia="Arial" w:hAnsi="Arial"/>
                <w:sz w:val="16"/>
                <w:szCs w:val="16"/>
                <w:color w:val="auto"/>
              </w:rPr>
              <w:t>326,728</w:t>
            </w:r>
          </w:p>
        </w:tc>
      </w:tr>
      <w:tr>
        <w:trPr>
          <w:trHeight w:val="242"/>
        </w:trPr>
        <w:tc>
          <w:tcPr>
            <w:tcW w:w="3940" w:type="dxa"/>
            <w:vAlign w:val="bottom"/>
          </w:tcPr>
          <w:p>
            <w:pPr>
              <w:ind w:left="60"/>
              <w:spacing w:after="0" w:line="241" w:lineRule="exact"/>
              <w:rPr>
                <w:sz w:val="20"/>
                <w:szCs w:val="20"/>
                <w:color w:val="auto"/>
              </w:rPr>
            </w:pPr>
            <w:r>
              <w:rPr>
                <w:rFonts w:ascii="Arial" w:cs="Arial" w:eastAsia="Arial" w:hAnsi="Arial"/>
                <w:sz w:val="16"/>
                <w:szCs w:val="16"/>
                <w:color w:val="auto"/>
              </w:rPr>
              <w:t>Mark Papa</w:t>
            </w:r>
            <w:r>
              <w:rPr>
                <w:rFonts w:ascii="Arial" w:cs="Arial" w:eastAsia="Arial" w:hAnsi="Arial"/>
                <w:sz w:val="26"/>
                <w:szCs w:val="26"/>
                <w:color w:val="auto"/>
                <w:vertAlign w:val="superscript"/>
              </w:rPr>
              <w:t>(3)</w:t>
            </w:r>
          </w:p>
        </w:tc>
        <w:tc>
          <w:tcPr>
            <w:tcW w:w="4500" w:type="dxa"/>
            <w:vAlign w:val="bottom"/>
          </w:tcPr>
          <w:p>
            <w:pPr>
              <w:jc w:val="right"/>
              <w:spacing w:after="0"/>
              <w:rPr>
                <w:sz w:val="20"/>
                <w:szCs w:val="20"/>
                <w:color w:val="auto"/>
              </w:rPr>
            </w:pPr>
            <w:r>
              <w:rPr>
                <w:rFonts w:ascii="Arial" w:cs="Arial" w:eastAsia="Arial" w:hAnsi="Arial"/>
                <w:sz w:val="16"/>
                <w:szCs w:val="16"/>
                <w:color w:val="auto"/>
              </w:rPr>
              <w:t>100,834</w:t>
            </w:r>
          </w:p>
        </w:tc>
        <w:tc>
          <w:tcPr>
            <w:tcW w:w="1900" w:type="dxa"/>
            <w:vAlign w:val="bottom"/>
          </w:tcPr>
          <w:p>
            <w:pPr>
              <w:jc w:val="right"/>
              <w:ind w:right="459"/>
              <w:spacing w:after="0"/>
              <w:rPr>
                <w:sz w:val="20"/>
                <w:szCs w:val="20"/>
                <w:color w:val="auto"/>
              </w:rPr>
            </w:pPr>
            <w:r>
              <w:rPr>
                <w:rFonts w:ascii="Arial" w:cs="Arial" w:eastAsia="Arial" w:hAnsi="Arial"/>
                <w:sz w:val="16"/>
                <w:szCs w:val="16"/>
                <w:color w:val="auto"/>
              </w:rPr>
              <w:t>205,840</w:t>
            </w:r>
          </w:p>
        </w:tc>
        <w:tc>
          <w:tcPr>
            <w:tcW w:w="900" w:type="dxa"/>
            <w:vAlign w:val="bottom"/>
            <w:shd w:val="clear" w:color="auto" w:fill="EBECEE"/>
          </w:tcPr>
          <w:p>
            <w:pPr>
              <w:jc w:val="right"/>
              <w:spacing w:after="0"/>
              <w:rPr>
                <w:sz w:val="20"/>
                <w:szCs w:val="20"/>
                <w:color w:val="auto"/>
              </w:rPr>
            </w:pPr>
            <w:r>
              <w:rPr>
                <w:rFonts w:ascii="Arial" w:cs="Arial" w:eastAsia="Arial" w:hAnsi="Arial"/>
                <w:sz w:val="16"/>
                <w:szCs w:val="16"/>
                <w:color w:val="auto"/>
              </w:rPr>
              <w:t>306,674</w:t>
            </w:r>
          </w:p>
        </w:tc>
      </w:tr>
      <w:tr>
        <w:trPr>
          <w:trHeight w:val="203"/>
        </w:trPr>
        <w:tc>
          <w:tcPr>
            <w:tcW w:w="3940" w:type="dxa"/>
            <w:vAlign w:val="bottom"/>
          </w:tcPr>
          <w:p>
            <w:pPr>
              <w:ind w:left="60"/>
              <w:spacing w:after="0"/>
              <w:rPr>
                <w:sz w:val="20"/>
                <w:szCs w:val="20"/>
                <w:color w:val="auto"/>
              </w:rPr>
            </w:pPr>
            <w:r>
              <w:rPr>
                <w:rFonts w:ascii="Arial" w:cs="Arial" w:eastAsia="Arial" w:hAnsi="Arial"/>
                <w:sz w:val="16"/>
                <w:szCs w:val="16"/>
                <w:color w:val="auto"/>
              </w:rPr>
              <w:t>Jeff Sheets</w:t>
            </w:r>
          </w:p>
        </w:tc>
        <w:tc>
          <w:tcPr>
            <w:tcW w:w="4500" w:type="dxa"/>
            <w:vAlign w:val="bottom"/>
          </w:tcPr>
          <w:p>
            <w:pPr>
              <w:jc w:val="right"/>
              <w:spacing w:after="0"/>
              <w:rPr>
                <w:sz w:val="20"/>
                <w:szCs w:val="20"/>
                <w:color w:val="auto"/>
              </w:rPr>
            </w:pPr>
            <w:r>
              <w:rPr>
                <w:rFonts w:ascii="Arial" w:cs="Arial" w:eastAsia="Arial" w:hAnsi="Arial"/>
                <w:sz w:val="16"/>
                <w:szCs w:val="16"/>
                <w:color w:val="auto"/>
              </w:rPr>
              <w:t>145,000</w:t>
            </w:r>
          </w:p>
        </w:tc>
        <w:tc>
          <w:tcPr>
            <w:tcW w:w="1900" w:type="dxa"/>
            <w:vAlign w:val="bottom"/>
          </w:tcPr>
          <w:p>
            <w:pPr>
              <w:jc w:val="right"/>
              <w:ind w:right="459"/>
              <w:spacing w:after="0"/>
              <w:rPr>
                <w:sz w:val="20"/>
                <w:szCs w:val="20"/>
                <w:color w:val="auto"/>
              </w:rPr>
            </w:pPr>
            <w:r>
              <w:rPr>
                <w:rFonts w:ascii="Arial" w:cs="Arial" w:eastAsia="Arial" w:hAnsi="Arial"/>
                <w:sz w:val="16"/>
                <w:szCs w:val="16"/>
                <w:color w:val="auto"/>
              </w:rPr>
              <w:t>189,228</w:t>
            </w:r>
          </w:p>
        </w:tc>
        <w:tc>
          <w:tcPr>
            <w:tcW w:w="900" w:type="dxa"/>
            <w:vAlign w:val="bottom"/>
            <w:shd w:val="clear" w:color="auto" w:fill="EBECEE"/>
          </w:tcPr>
          <w:p>
            <w:pPr>
              <w:jc w:val="right"/>
              <w:spacing w:after="0"/>
              <w:rPr>
                <w:sz w:val="20"/>
                <w:szCs w:val="20"/>
                <w:color w:val="auto"/>
              </w:rPr>
            </w:pPr>
            <w:r>
              <w:rPr>
                <w:rFonts w:ascii="Arial" w:cs="Arial" w:eastAsia="Arial" w:hAnsi="Arial"/>
                <w:sz w:val="16"/>
                <w:szCs w:val="16"/>
                <w:color w:val="auto"/>
              </w:rPr>
              <w:t>334,228</w:t>
            </w:r>
          </w:p>
        </w:tc>
      </w:tr>
      <w:tr>
        <w:trPr>
          <w:trHeight w:val="210"/>
        </w:trPr>
        <w:tc>
          <w:tcPr>
            <w:tcW w:w="3940" w:type="dxa"/>
            <w:vAlign w:val="bottom"/>
            <w:tcBorders>
              <w:bottom w:val="single" w:sz="8" w:color="0233A1"/>
            </w:tcBorders>
          </w:tcPr>
          <w:p>
            <w:pPr>
              <w:ind w:left="60"/>
              <w:spacing w:after="0"/>
              <w:rPr>
                <w:sz w:val="20"/>
                <w:szCs w:val="20"/>
                <w:color w:val="auto"/>
              </w:rPr>
            </w:pPr>
            <w:r>
              <w:rPr>
                <w:rFonts w:ascii="Arial" w:cs="Arial" w:eastAsia="Arial" w:hAnsi="Arial"/>
                <w:sz w:val="16"/>
                <w:szCs w:val="16"/>
                <w:color w:val="auto"/>
              </w:rPr>
              <w:t>Ulrich Spiesshofer</w:t>
            </w:r>
          </w:p>
        </w:tc>
        <w:tc>
          <w:tcPr>
            <w:tcW w:w="4500" w:type="dxa"/>
            <w:vAlign w:val="bottom"/>
            <w:tcBorders>
              <w:bottom w:val="single" w:sz="8" w:color="0233A1"/>
            </w:tcBorders>
          </w:tcPr>
          <w:p>
            <w:pPr>
              <w:jc w:val="right"/>
              <w:spacing w:after="0"/>
              <w:rPr>
                <w:sz w:val="20"/>
                <w:szCs w:val="20"/>
                <w:color w:val="auto"/>
              </w:rPr>
            </w:pPr>
            <w:r>
              <w:rPr>
                <w:rFonts w:ascii="Arial" w:cs="Arial" w:eastAsia="Arial" w:hAnsi="Arial"/>
                <w:sz w:val="16"/>
                <w:szCs w:val="16"/>
                <w:color w:val="auto"/>
              </w:rPr>
              <w:t>135,000</w:t>
            </w:r>
          </w:p>
        </w:tc>
        <w:tc>
          <w:tcPr>
            <w:tcW w:w="1900" w:type="dxa"/>
            <w:vAlign w:val="bottom"/>
            <w:tcBorders>
              <w:bottom w:val="single" w:sz="8" w:color="0233A1"/>
            </w:tcBorders>
          </w:tcPr>
          <w:p>
            <w:pPr>
              <w:jc w:val="right"/>
              <w:ind w:right="459"/>
              <w:spacing w:after="0"/>
              <w:rPr>
                <w:sz w:val="20"/>
                <w:szCs w:val="20"/>
                <w:color w:val="auto"/>
              </w:rPr>
            </w:pPr>
            <w:r>
              <w:rPr>
                <w:rFonts w:ascii="Arial" w:cs="Arial" w:eastAsia="Arial" w:hAnsi="Arial"/>
                <w:sz w:val="16"/>
                <w:szCs w:val="16"/>
                <w:color w:val="auto"/>
              </w:rPr>
              <w:t>189,228</w:t>
            </w:r>
          </w:p>
        </w:tc>
        <w:tc>
          <w:tcPr>
            <w:tcW w:w="900" w:type="dxa"/>
            <w:vAlign w:val="bottom"/>
            <w:tcBorders>
              <w:bottom w:val="single" w:sz="8" w:color="0233A1"/>
            </w:tcBorders>
            <w:shd w:val="clear" w:color="auto" w:fill="EBECEE"/>
          </w:tcPr>
          <w:p>
            <w:pPr>
              <w:jc w:val="right"/>
              <w:spacing w:after="0"/>
              <w:rPr>
                <w:sz w:val="20"/>
                <w:szCs w:val="20"/>
                <w:color w:val="auto"/>
              </w:rPr>
            </w:pPr>
            <w:r>
              <w:rPr>
                <w:rFonts w:ascii="Arial" w:cs="Arial" w:eastAsia="Arial" w:hAnsi="Arial"/>
                <w:sz w:val="16"/>
                <w:szCs w:val="16"/>
                <w:color w:val="auto"/>
              </w:rPr>
              <w:t>324,228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-556260</wp:posOffset>
            </wp:positionV>
            <wp:extent cx="713232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-685165</wp:posOffset>
            </wp:positionV>
            <wp:extent cx="713232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-813435</wp:posOffset>
            </wp:positionV>
            <wp:extent cx="713232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-942340</wp:posOffset>
            </wp:positionV>
            <wp:extent cx="713232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-1096645</wp:posOffset>
            </wp:positionV>
            <wp:extent cx="713232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-1224915</wp:posOffset>
            </wp:positionV>
            <wp:extent cx="713232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-1353820</wp:posOffset>
            </wp:positionV>
            <wp:extent cx="713232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2" w:lineRule="exact"/>
        <w:rPr>
          <w:sz w:val="20"/>
          <w:szCs w:val="20"/>
          <w:color w:val="auto"/>
        </w:rPr>
      </w:pPr>
    </w:p>
    <w:p>
      <w:pPr>
        <w:ind w:left="380" w:right="20" w:hanging="318"/>
        <w:spacing w:after="0" w:line="281" w:lineRule="auto"/>
        <w:tabs>
          <w:tab w:leader="none" w:pos="3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Amounts reported reflect the aggregate grant date fair value of the stock awards computed in accordance with applicable accounting standards, based on the closing stock price on May 1, 2023, the grant date.</w:t>
      </w:r>
    </w:p>
    <w:p>
      <w:pPr>
        <w:spacing w:after="0" w:line="1" w:lineRule="exact"/>
        <w:rPr>
          <w:rFonts w:ascii="Arial" w:cs="Arial" w:eastAsia="Arial" w:hAnsi="Arial"/>
          <w:sz w:val="14"/>
          <w:szCs w:val="14"/>
          <w:color w:val="auto"/>
        </w:rPr>
      </w:pPr>
    </w:p>
    <w:p>
      <w:pPr>
        <w:jc w:val="both"/>
        <w:ind w:left="380" w:hanging="318"/>
        <w:spacing w:after="0" w:line="256" w:lineRule="auto"/>
        <w:tabs>
          <w:tab w:leader="none" w:pos="3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Mr. Hackett was appointed as a member of the Board effective April 17, 2023, and as independent Chair effective July 1, 2023. As a result, on May 1, 2023, he received, in addition to his regular annual SLB stock grant for director service, 2,235 additional shares of our common stock reflecting a prorated amount for his Chair service beginning July 2023 and his director service beginning April 2023. He also received an additional $52,095 cash retainer during 2023, reflecting a prorated amount for his Chair service beginning July 2023.</w:t>
      </w:r>
    </w:p>
    <w:p>
      <w:pPr>
        <w:spacing w:after="0" w:line="15" w:lineRule="exact"/>
        <w:rPr>
          <w:rFonts w:ascii="Arial" w:cs="Arial" w:eastAsia="Arial" w:hAnsi="Arial"/>
          <w:sz w:val="14"/>
          <w:szCs w:val="14"/>
          <w:color w:val="auto"/>
        </w:rPr>
      </w:pPr>
    </w:p>
    <w:p>
      <w:pPr>
        <w:jc w:val="both"/>
        <w:ind w:left="380" w:hanging="318"/>
        <w:spacing w:after="0" w:line="263" w:lineRule="auto"/>
        <w:tabs>
          <w:tab w:leader="none" w:pos="3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Mr. Papa served as SLB’s independent Board Chair through June 30, 2023. As a result, on May 1, 2023, he received, in addition to his regular annual SLB stock grant for director service, 338 additional shares of our common stock reflecting a prorated amount for his Chair service from May 1, 2023 through June 30, 2023. Mr. Papa retired from the Board on July 21, 2023, and his cash fees reflect a prorated amount.</w:t>
      </w:r>
    </w:p>
    <w:p>
      <w:pPr>
        <w:spacing w:after="0" w:line="154"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Non-employee directors who begin their Board, Board Chair, committee, or committee chair service after the AGM receive a prorated amount of annual compensation. SLB also reimburses non-employee directors for travel, external board education opportunities, and other business expenses incurred in the performance of their services for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186055</wp:posOffset>
            </wp:positionV>
            <wp:extent cx="471805" cy="28257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2024 Proxy Statement</w:t>
            </w:r>
          </w:p>
        </w:tc>
        <w:tc>
          <w:tcPr>
            <w:tcW w:w="3600" w:type="dxa"/>
            <w:vAlign w:val="bottom"/>
            <w:tcBorders>
              <w:bottom w:val="single" w:sz="8" w:color="auto"/>
            </w:tcBorders>
          </w:tcPr>
          <w:p>
            <w:pPr>
              <w:spacing w:after="0"/>
              <w:rPr>
                <w:sz w:val="12"/>
                <w:szCs w:val="12"/>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27</w:t>
            </w:r>
          </w:p>
        </w:tc>
        <w:tc>
          <w:tcPr>
            <w:tcW w:w="4480" w:type="dxa"/>
            <w:vAlign w:val="bottom"/>
            <w:tcBorders>
              <w:bottom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36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48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color w:val="0233A1"/>
        </w:rPr>
        <w:t>Annual Director Pay Review</w:t>
      </w:r>
    </w:p>
    <w:p>
      <w:pPr>
        <w:spacing w:after="0" w:line="26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6"/>
          <w:szCs w:val="16"/>
          <w:color w:val="auto"/>
        </w:rPr>
        <w:t>Our Compensation Committee annually reviews our non-employee director compensation, and periodically recommends that the Board approve updates to director pay. In 2023, the Committee’s director pay review took into account multiple factors including our director compensation philosophy, changes in market practices, the continued expansion of director and committee chair responsibilities, consultations with the Committee’s independent compensation consultant, Pay Governance, and feedback received during our shareholder engagements. Based on that review, the Committee determined that no changes in non-employee director compensation were necessary for 2023. The Committee has not increased the directors’ annual cash retainer, committee chair or membership fees, or annual stock grant value since 2017 (except in connection with separating the Chair and CEO roles in 2019).</w:t>
      </w:r>
    </w:p>
    <w:p>
      <w:pPr>
        <w:spacing w:after="0" w:line="16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While our Compensation Committee is aware that other jurisdictions may have differing director compensation practices, the Committee believes it is in the best interests of SLB and our shareholders as a whole to align to market practice among NYSE-listed companies and companies like SLB with a large U.S. shareholder base. The Committee also believes that the interests of our non-employee directors are most aligned with the interests of our shareholders when a significant portion of director compensation is paid through stock grants.</w:t>
      </w:r>
    </w:p>
    <w:p>
      <w:pPr>
        <w:spacing w:after="0" w:line="362" w:lineRule="exact"/>
        <w:rPr>
          <w:sz w:val="20"/>
          <w:szCs w:val="20"/>
          <w:color w:val="auto"/>
        </w:rPr>
      </w:pPr>
    </w:p>
    <w:p>
      <w:pPr>
        <w:spacing w:after="0"/>
        <w:rPr>
          <w:sz w:val="20"/>
          <w:szCs w:val="20"/>
          <w:color w:val="auto"/>
        </w:rPr>
      </w:pPr>
      <w:r>
        <w:rPr>
          <w:rFonts w:ascii="Arial" w:cs="Arial" w:eastAsia="Arial" w:hAnsi="Arial"/>
          <w:sz w:val="29"/>
          <w:szCs w:val="29"/>
          <w:color w:val="0233A1"/>
        </w:rPr>
        <w:t>Director Stock Ownership Guidelines</w:t>
      </w:r>
    </w:p>
    <w:p>
      <w:pPr>
        <w:spacing w:after="0" w:line="2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The Board believes that ownership of SLB stock by our directors aligns their interests with the interests of our shareholders. Accordingly, the Board has established a guideline that each non-employee director must, within five years of joining the Board, own a minimum dollar value of shares of SLB common stock equal to five times (5x) that director’s annual cash retainer. Each of our non-employee directors who has been a Board member for at least five years is in compliance with these stock ownership guidelines.</w:t>
      </w:r>
    </w:p>
    <w:p>
      <w:pPr>
        <w:spacing w:after="0" w:line="362" w:lineRule="exact"/>
        <w:rPr>
          <w:sz w:val="20"/>
          <w:szCs w:val="20"/>
          <w:color w:val="auto"/>
        </w:rPr>
      </w:pPr>
    </w:p>
    <w:p>
      <w:pPr>
        <w:spacing w:after="0"/>
        <w:rPr>
          <w:sz w:val="20"/>
          <w:szCs w:val="20"/>
          <w:color w:val="auto"/>
        </w:rPr>
      </w:pPr>
      <w:r>
        <w:rPr>
          <w:rFonts w:ascii="Arial" w:cs="Arial" w:eastAsia="Arial" w:hAnsi="Arial"/>
          <w:sz w:val="29"/>
          <w:szCs w:val="29"/>
          <w:color w:val="0233A1"/>
        </w:rPr>
        <w:t>Director Deferral Plan</w:t>
      </w:r>
    </w:p>
    <w:p>
      <w:pPr>
        <w:spacing w:after="0" w:line="26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6"/>
          <w:szCs w:val="16"/>
          <w:color w:val="auto"/>
        </w:rPr>
        <w:t xml:space="preserve">Non-employee directors may elect to defer all or a portion of their annual stock or cash awards through the SLB 2004 Stock and Deferral Plan for Non-Employee Directors (the </w:t>
      </w:r>
      <w:r>
        <w:rPr>
          <w:rFonts w:ascii="Arial" w:cs="Arial" w:eastAsia="Arial" w:hAnsi="Arial"/>
          <w:sz w:val="16"/>
          <w:szCs w:val="16"/>
          <w:b w:val="1"/>
          <w:bCs w:val="1"/>
          <w:color w:val="auto"/>
        </w:rPr>
        <w:t>Directors Stock Plan</w:t>
      </w:r>
      <w:r>
        <w:rPr>
          <w:rFonts w:ascii="Arial" w:cs="Arial" w:eastAsia="Arial" w:hAnsi="Arial"/>
          <w:sz w:val="16"/>
          <w:szCs w:val="16"/>
          <w:color w:val="auto"/>
        </w:rPr>
        <w:t>). When directors elect to defer their stock award, their deferred compensation account is credited with a number of “stock units.” Each stock unit is equal in value to a share of our common stock, but because it is not an actual share of our common stock it does not have any voting rights. When directors elect to defer their cash award, they may choose to invest such deferred cash compensation into SLB common stock, or money market equivalents, or an S&amp;P 500 equivalent. Deferrals into a stock account are credited with dividend equivalents in the form of cash to be paid at the time of vesting and deferrals into the cash account are credited with gains or losses based on the monthly performance of the various investment options described above. Following retirement from our Board and depending on the director’s election, a non-employee director may receive the deferred compensation on the date of the director’s retirement or a date that is one year following the date of the director’s 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471170" cy="28257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471170" cy="28257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both"/>
        <w:ind w:left="5540"/>
        <w:spacing w:after="0"/>
        <w:tabs>
          <w:tab w:leader="none" w:pos="9540" w:val="left"/>
        </w:tabs>
        <w:rPr>
          <w:sz w:val="20"/>
          <w:szCs w:val="20"/>
          <w:color w:val="auto"/>
        </w:rPr>
      </w:pPr>
      <w:r>
        <w:rPr>
          <w:rFonts w:ascii="Arial" w:cs="Arial" w:eastAsia="Arial" w:hAnsi="Arial"/>
          <w:sz w:val="16"/>
          <w:szCs w:val="16"/>
          <w:b w:val="1"/>
          <w:bCs w:val="1"/>
          <w:color w:val="auto"/>
        </w:rPr>
        <w:t>28</w:t>
      </w:r>
      <w:r>
        <w:rPr>
          <w:sz w:val="20"/>
          <w:szCs w:val="20"/>
          <w:color w:val="auto"/>
        </w:rPr>
        <w:tab/>
      </w:r>
      <w:r>
        <w:rPr>
          <w:rFonts w:ascii="Arial" w:cs="Arial" w:eastAsia="Arial" w:hAnsi="Arial"/>
          <w:sz w:val="16"/>
          <w:szCs w:val="16"/>
          <w:b w:val="1"/>
          <w:bCs w:val="1"/>
          <w:color w:val="636466"/>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-29845</wp:posOffset>
            </wp:positionV>
            <wp:extent cx="5417820"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342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9" w:lineRule="exact"/>
        <w:rPr>
          <w:sz w:val="20"/>
          <w:szCs w:val="20"/>
          <w:color w:val="auto"/>
        </w:rPr>
      </w:pPr>
    </w:p>
    <w:p>
      <w:pPr>
        <w:spacing w:after="0"/>
        <w:rPr>
          <w:sz w:val="20"/>
          <w:szCs w:val="20"/>
          <w:color w:val="auto"/>
        </w:rPr>
      </w:pPr>
      <w:r>
        <w:rPr>
          <w:rFonts w:ascii="Arial" w:cs="Arial" w:eastAsia="Arial" w:hAnsi="Arial"/>
          <w:sz w:val="50"/>
          <w:szCs w:val="50"/>
          <w:color w:val="0233A1"/>
        </w:rPr>
        <w:t>Stock Ownership Information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9"/>
          <w:szCs w:val="29"/>
          <w:color w:val="0233A1"/>
        </w:rPr>
        <w:t>Security Ownership by Management and Our Board</w:t>
      </w:r>
    </w:p>
    <w:p>
      <w:pPr>
        <w:spacing w:after="0" w:line="265"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The following table sets forth information as of January 31, 2024 regarding the beneficial ownership of SLB common stock by each director and director nominee, each named executive officer, and all SLB directors and executive officers as a group.</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326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0233A1"/>
              </w:rPr>
              <w:t>Beneficial Ownership of</w:t>
            </w:r>
          </w:p>
        </w:tc>
        <w:tc>
          <w:tcPr>
            <w:tcW w:w="0" w:type="dxa"/>
            <w:vAlign w:val="bottom"/>
          </w:tcPr>
          <w:p>
            <w:pPr>
              <w:spacing w:after="0"/>
              <w:rPr>
                <w:sz w:val="1"/>
                <w:szCs w:val="1"/>
                <w:color w:val="auto"/>
              </w:rPr>
            </w:pPr>
          </w:p>
        </w:tc>
      </w:tr>
      <w:tr>
        <w:trPr>
          <w:trHeight w:val="203"/>
        </w:trPr>
        <w:tc>
          <w:tcPr>
            <w:tcW w:w="7980" w:type="dxa"/>
            <w:vAlign w:val="bottom"/>
          </w:tcPr>
          <w:p>
            <w:pPr>
              <w:spacing w:after="0"/>
              <w:rPr>
                <w:sz w:val="17"/>
                <w:szCs w:val="17"/>
                <w:color w:val="auto"/>
              </w:rPr>
            </w:pPr>
          </w:p>
        </w:tc>
        <w:tc>
          <w:tcPr>
            <w:tcW w:w="3260" w:type="dxa"/>
            <w:vAlign w:val="bottom"/>
            <w:tcBorders>
              <w:bottom w:val="single" w:sz="8" w:color="0233A1"/>
            </w:tcBorders>
            <w:gridSpan w:val="2"/>
          </w:tcPr>
          <w:p>
            <w:pPr>
              <w:jc w:val="right"/>
              <w:ind w:right="760"/>
              <w:spacing w:after="0"/>
              <w:rPr>
                <w:sz w:val="20"/>
                <w:szCs w:val="20"/>
                <w:color w:val="auto"/>
              </w:rPr>
            </w:pPr>
            <w:r>
              <w:rPr>
                <w:rFonts w:ascii="Arial" w:cs="Arial" w:eastAsia="Arial" w:hAnsi="Arial"/>
                <w:sz w:val="16"/>
                <w:szCs w:val="16"/>
                <w:b w:val="1"/>
                <w:bCs w:val="1"/>
                <w:color w:val="0233A1"/>
              </w:rPr>
              <w:t>SLB Common Stock</w:t>
            </w:r>
          </w:p>
        </w:tc>
        <w:tc>
          <w:tcPr>
            <w:tcW w:w="0" w:type="dxa"/>
            <w:vAlign w:val="bottom"/>
          </w:tcPr>
          <w:p>
            <w:pPr>
              <w:spacing w:after="0"/>
              <w:rPr>
                <w:sz w:val="1"/>
                <w:szCs w:val="1"/>
                <w:color w:val="auto"/>
              </w:rPr>
            </w:pPr>
          </w:p>
        </w:tc>
      </w:tr>
      <w:tr>
        <w:trPr>
          <w:trHeight w:val="184"/>
        </w:trPr>
        <w:tc>
          <w:tcPr>
            <w:tcW w:w="7980" w:type="dxa"/>
            <w:vAlign w:val="bottom"/>
            <w:vMerge w:val="restart"/>
          </w:tcPr>
          <w:p>
            <w:pPr>
              <w:ind w:left="60"/>
              <w:spacing w:after="0"/>
              <w:rPr>
                <w:sz w:val="20"/>
                <w:szCs w:val="20"/>
                <w:color w:val="auto"/>
              </w:rPr>
            </w:pPr>
            <w:r>
              <w:rPr>
                <w:rFonts w:ascii="Arial" w:cs="Arial" w:eastAsia="Arial" w:hAnsi="Arial"/>
                <w:sz w:val="16"/>
                <w:szCs w:val="16"/>
                <w:b w:val="1"/>
                <w:bCs w:val="1"/>
                <w:color w:val="0233A1"/>
              </w:rPr>
              <w:t>Name</w:t>
            </w:r>
          </w:p>
        </w:tc>
        <w:tc>
          <w:tcPr>
            <w:tcW w:w="1780" w:type="dxa"/>
            <w:vAlign w:val="bottom"/>
          </w:tcPr>
          <w:p>
            <w:pPr>
              <w:jc w:val="right"/>
              <w:ind w:right="300"/>
              <w:spacing w:after="0" w:line="185" w:lineRule="exact"/>
              <w:rPr>
                <w:sz w:val="20"/>
                <w:szCs w:val="20"/>
                <w:color w:val="auto"/>
              </w:rPr>
            </w:pPr>
            <w:r>
              <w:rPr>
                <w:rFonts w:ascii="Arial" w:cs="Arial" w:eastAsia="Arial" w:hAnsi="Arial"/>
                <w:sz w:val="14"/>
                <w:szCs w:val="14"/>
                <w:b w:val="1"/>
                <w:bCs w:val="1"/>
                <w:color w:val="0233A1"/>
              </w:rPr>
              <w:t>Number of</w:t>
            </w:r>
            <w:r>
              <w:rPr>
                <w:rFonts w:ascii="Arial" w:cs="Arial" w:eastAsia="Arial" w:hAnsi="Arial"/>
                <w:sz w:val="21"/>
                <w:szCs w:val="21"/>
                <w:b w:val="1"/>
                <w:bCs w:val="1"/>
                <w:color w:val="0233A1"/>
                <w:vertAlign w:val="subscript"/>
              </w:rPr>
              <w:t>(1)</w:t>
            </w:r>
          </w:p>
        </w:tc>
        <w:tc>
          <w:tcPr>
            <w:tcW w:w="1480" w:type="dxa"/>
            <w:vAlign w:val="bottom"/>
          </w:tcPr>
          <w:p>
            <w:pPr>
              <w:jc w:val="right"/>
              <w:spacing w:after="0" w:line="185" w:lineRule="exact"/>
              <w:rPr>
                <w:sz w:val="20"/>
                <w:szCs w:val="20"/>
                <w:color w:val="auto"/>
              </w:rPr>
            </w:pPr>
            <w:r>
              <w:rPr>
                <w:rFonts w:ascii="Arial" w:cs="Arial" w:eastAsia="Arial" w:hAnsi="Arial"/>
                <w:sz w:val="14"/>
                <w:szCs w:val="14"/>
                <w:b w:val="1"/>
                <w:bCs w:val="1"/>
                <w:color w:val="0233A1"/>
              </w:rPr>
              <w:t>Percentage</w:t>
            </w:r>
            <w:r>
              <w:rPr>
                <w:rFonts w:ascii="Arial" w:cs="Arial" w:eastAsia="Arial" w:hAnsi="Arial"/>
                <w:sz w:val="21"/>
                <w:szCs w:val="21"/>
                <w:b w:val="1"/>
                <w:bCs w:val="1"/>
                <w:color w:val="0233A1"/>
                <w:vertAlign w:val="subscript"/>
              </w:rPr>
              <w:t>(2)</w:t>
            </w:r>
          </w:p>
        </w:tc>
        <w:tc>
          <w:tcPr>
            <w:tcW w:w="0" w:type="dxa"/>
            <w:vAlign w:val="bottom"/>
          </w:tcPr>
          <w:p>
            <w:pPr>
              <w:spacing w:after="0"/>
              <w:rPr>
                <w:sz w:val="1"/>
                <w:szCs w:val="1"/>
                <w:color w:val="auto"/>
              </w:rPr>
            </w:pPr>
          </w:p>
        </w:tc>
      </w:tr>
      <w:tr>
        <w:trPr>
          <w:trHeight w:val="187"/>
        </w:trPr>
        <w:tc>
          <w:tcPr>
            <w:tcW w:w="7980" w:type="dxa"/>
            <w:vAlign w:val="bottom"/>
            <w:tcBorders>
              <w:bottom w:val="single" w:sz="8" w:color="0233A1"/>
            </w:tcBorders>
            <w:vMerge w:val="continue"/>
          </w:tcPr>
          <w:p>
            <w:pPr>
              <w:spacing w:after="0"/>
              <w:rPr>
                <w:sz w:val="16"/>
                <w:szCs w:val="16"/>
                <w:color w:val="auto"/>
              </w:rPr>
            </w:pPr>
          </w:p>
        </w:tc>
        <w:tc>
          <w:tcPr>
            <w:tcW w:w="1780" w:type="dxa"/>
            <w:vAlign w:val="bottom"/>
            <w:tcBorders>
              <w:bottom w:val="single" w:sz="8" w:color="0233A1"/>
            </w:tcBorders>
          </w:tcPr>
          <w:p>
            <w:pPr>
              <w:jc w:val="right"/>
              <w:ind w:right="460"/>
              <w:spacing w:after="0"/>
              <w:rPr>
                <w:sz w:val="20"/>
                <w:szCs w:val="20"/>
                <w:color w:val="auto"/>
              </w:rPr>
            </w:pPr>
            <w:r>
              <w:rPr>
                <w:rFonts w:ascii="Arial" w:cs="Arial" w:eastAsia="Arial" w:hAnsi="Arial"/>
                <w:sz w:val="16"/>
                <w:szCs w:val="16"/>
                <w:b w:val="1"/>
                <w:bCs w:val="1"/>
                <w:color w:val="0233A1"/>
              </w:rPr>
              <w:t>Shares</w:t>
            </w:r>
          </w:p>
        </w:tc>
        <w:tc>
          <w:tcPr>
            <w:tcW w:w="1480" w:type="dxa"/>
            <w:vAlign w:val="bottom"/>
            <w:tcBorders>
              <w:bottom w:val="single" w:sz="8" w:color="0233A1"/>
            </w:tcBorders>
          </w:tcPr>
          <w:p>
            <w:pPr>
              <w:jc w:val="right"/>
              <w:ind w:right="140"/>
              <w:spacing w:after="0"/>
              <w:rPr>
                <w:sz w:val="20"/>
                <w:szCs w:val="20"/>
                <w:color w:val="auto"/>
              </w:rPr>
            </w:pPr>
            <w:r>
              <w:rPr>
                <w:rFonts w:ascii="Arial" w:cs="Arial" w:eastAsia="Arial" w:hAnsi="Arial"/>
                <w:sz w:val="16"/>
                <w:szCs w:val="16"/>
                <w:b w:val="1"/>
                <w:bCs w:val="1"/>
                <w:color w:val="0233A1"/>
              </w:rPr>
              <w:t>of Class</w:t>
            </w:r>
          </w:p>
        </w:tc>
        <w:tc>
          <w:tcPr>
            <w:tcW w:w="0" w:type="dxa"/>
            <w:vAlign w:val="bottom"/>
          </w:tcPr>
          <w:p>
            <w:pPr>
              <w:spacing w:after="0"/>
              <w:rPr>
                <w:sz w:val="1"/>
                <w:szCs w:val="1"/>
                <w:color w:val="auto"/>
              </w:rPr>
            </w:pPr>
          </w:p>
        </w:tc>
      </w:tr>
      <w:tr>
        <w:trPr>
          <w:trHeight w:val="224"/>
        </w:trPr>
        <w:tc>
          <w:tcPr>
            <w:tcW w:w="7980" w:type="dxa"/>
            <w:vAlign w:val="bottom"/>
          </w:tcPr>
          <w:p>
            <w:pPr>
              <w:ind w:left="60"/>
              <w:spacing w:after="0"/>
              <w:rPr>
                <w:sz w:val="20"/>
                <w:szCs w:val="20"/>
                <w:color w:val="auto"/>
              </w:rPr>
            </w:pPr>
            <w:r>
              <w:rPr>
                <w:rFonts w:ascii="Arial" w:cs="Arial" w:eastAsia="Arial" w:hAnsi="Arial"/>
                <w:sz w:val="16"/>
                <w:szCs w:val="16"/>
                <w:color w:val="auto"/>
              </w:rPr>
              <w:t>Khaled Al Mogharbel (NEO)</w:t>
            </w:r>
          </w:p>
        </w:tc>
        <w:tc>
          <w:tcPr>
            <w:tcW w:w="1780" w:type="dxa"/>
            <w:vAlign w:val="bottom"/>
          </w:tcPr>
          <w:p>
            <w:pPr>
              <w:jc w:val="right"/>
              <w:ind w:right="300"/>
              <w:spacing w:after="0" w:line="223" w:lineRule="exact"/>
              <w:rPr>
                <w:sz w:val="20"/>
                <w:szCs w:val="20"/>
                <w:color w:val="auto"/>
              </w:rPr>
            </w:pPr>
            <w:r>
              <w:rPr>
                <w:rFonts w:ascii="Arial" w:cs="Arial" w:eastAsia="Arial" w:hAnsi="Arial"/>
                <w:sz w:val="16"/>
                <w:szCs w:val="16"/>
                <w:color w:val="auto"/>
              </w:rPr>
              <w:t>542,220</w:t>
            </w:r>
            <w:r>
              <w:rPr>
                <w:rFonts w:ascii="Arial" w:cs="Arial" w:eastAsia="Arial" w:hAnsi="Arial"/>
                <w:sz w:val="25"/>
                <w:szCs w:val="25"/>
                <w:color w:val="auto"/>
                <w:vertAlign w:val="superscript"/>
              </w:rPr>
              <w:t>(3)</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&lt;1%</w:t>
            </w:r>
          </w:p>
        </w:tc>
        <w:tc>
          <w:tcPr>
            <w:tcW w:w="0" w:type="dxa"/>
            <w:vAlign w:val="bottom"/>
          </w:tcPr>
          <w:p>
            <w:pPr>
              <w:spacing w:after="0"/>
              <w:rPr>
                <w:sz w:val="1"/>
                <w:szCs w:val="1"/>
                <w:color w:val="auto"/>
              </w:rPr>
            </w:pPr>
          </w:p>
        </w:tc>
      </w:tr>
      <w:tr>
        <w:trPr>
          <w:trHeight w:val="242"/>
        </w:trPr>
        <w:tc>
          <w:tcPr>
            <w:tcW w:w="7980" w:type="dxa"/>
            <w:vAlign w:val="bottom"/>
          </w:tcPr>
          <w:p>
            <w:pPr>
              <w:ind w:left="60"/>
              <w:spacing w:after="0"/>
              <w:rPr>
                <w:sz w:val="20"/>
                <w:szCs w:val="20"/>
                <w:color w:val="auto"/>
              </w:rPr>
            </w:pPr>
            <w:r>
              <w:rPr>
                <w:rFonts w:ascii="Arial" w:cs="Arial" w:eastAsia="Arial" w:hAnsi="Arial"/>
                <w:sz w:val="16"/>
                <w:szCs w:val="16"/>
                <w:color w:val="auto"/>
              </w:rPr>
              <w:t>Stephane Biguet (NEO)</w:t>
            </w:r>
          </w:p>
        </w:tc>
        <w:tc>
          <w:tcPr>
            <w:tcW w:w="1780" w:type="dxa"/>
            <w:vAlign w:val="bottom"/>
          </w:tcPr>
          <w:p>
            <w:pPr>
              <w:jc w:val="right"/>
              <w:ind w:right="300"/>
              <w:spacing w:after="0" w:line="241" w:lineRule="exact"/>
              <w:rPr>
                <w:sz w:val="20"/>
                <w:szCs w:val="20"/>
                <w:color w:val="auto"/>
              </w:rPr>
            </w:pPr>
            <w:r>
              <w:rPr>
                <w:rFonts w:ascii="Arial" w:cs="Arial" w:eastAsia="Arial" w:hAnsi="Arial"/>
                <w:sz w:val="16"/>
                <w:szCs w:val="16"/>
                <w:color w:val="auto"/>
              </w:rPr>
              <w:t>296,955</w:t>
            </w:r>
            <w:r>
              <w:rPr>
                <w:rFonts w:ascii="Arial" w:cs="Arial" w:eastAsia="Arial" w:hAnsi="Arial"/>
                <w:sz w:val="26"/>
                <w:szCs w:val="26"/>
                <w:color w:val="auto"/>
                <w:vertAlign w:val="superscript"/>
              </w:rPr>
              <w:t>(4)</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&lt;1%</w:t>
            </w:r>
          </w:p>
        </w:tc>
        <w:tc>
          <w:tcPr>
            <w:tcW w:w="0" w:type="dxa"/>
            <w:vAlign w:val="bottom"/>
          </w:tcPr>
          <w:p>
            <w:pPr>
              <w:spacing w:after="0"/>
              <w:rPr>
                <w:sz w:val="1"/>
                <w:szCs w:val="1"/>
                <w:color w:val="auto"/>
              </w:rPr>
            </w:pPr>
          </w:p>
        </w:tc>
      </w:tr>
      <w:tr>
        <w:trPr>
          <w:trHeight w:val="203"/>
        </w:trPr>
        <w:tc>
          <w:tcPr>
            <w:tcW w:w="7980" w:type="dxa"/>
            <w:vAlign w:val="bottom"/>
          </w:tcPr>
          <w:p>
            <w:pPr>
              <w:ind w:left="60"/>
              <w:spacing w:after="0"/>
              <w:rPr>
                <w:sz w:val="20"/>
                <w:szCs w:val="20"/>
                <w:color w:val="auto"/>
              </w:rPr>
            </w:pPr>
            <w:r>
              <w:rPr>
                <w:rFonts w:ascii="Arial" w:cs="Arial" w:eastAsia="Arial" w:hAnsi="Arial"/>
                <w:sz w:val="16"/>
                <w:szCs w:val="16"/>
                <w:color w:val="auto"/>
              </w:rPr>
              <w:t>Peter Coleman</w:t>
            </w:r>
          </w:p>
        </w:tc>
        <w:tc>
          <w:tcPr>
            <w:tcW w:w="1780" w:type="dxa"/>
            <w:vAlign w:val="bottom"/>
          </w:tcPr>
          <w:p>
            <w:pPr>
              <w:jc w:val="right"/>
              <w:ind w:right="460"/>
              <w:spacing w:after="0"/>
              <w:rPr>
                <w:sz w:val="20"/>
                <w:szCs w:val="20"/>
                <w:color w:val="auto"/>
              </w:rPr>
            </w:pPr>
            <w:r>
              <w:rPr>
                <w:rFonts w:ascii="Arial" w:cs="Arial" w:eastAsia="Arial" w:hAnsi="Arial"/>
                <w:sz w:val="16"/>
                <w:szCs w:val="16"/>
                <w:color w:val="auto"/>
              </w:rPr>
              <w:t>14,456</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&lt;1%</w:t>
            </w:r>
          </w:p>
        </w:tc>
        <w:tc>
          <w:tcPr>
            <w:tcW w:w="0" w:type="dxa"/>
            <w:vAlign w:val="bottom"/>
          </w:tcPr>
          <w:p>
            <w:pPr>
              <w:spacing w:after="0"/>
              <w:rPr>
                <w:sz w:val="1"/>
                <w:szCs w:val="1"/>
                <w:color w:val="auto"/>
              </w:rPr>
            </w:pPr>
          </w:p>
        </w:tc>
      </w:tr>
      <w:tr>
        <w:trPr>
          <w:trHeight w:val="203"/>
        </w:trPr>
        <w:tc>
          <w:tcPr>
            <w:tcW w:w="7980" w:type="dxa"/>
            <w:vAlign w:val="bottom"/>
          </w:tcPr>
          <w:p>
            <w:pPr>
              <w:ind w:left="60"/>
              <w:spacing w:after="0"/>
              <w:rPr>
                <w:sz w:val="20"/>
                <w:szCs w:val="20"/>
                <w:color w:val="auto"/>
              </w:rPr>
            </w:pPr>
            <w:r>
              <w:rPr>
                <w:rFonts w:ascii="Arial" w:cs="Arial" w:eastAsia="Arial" w:hAnsi="Arial"/>
                <w:sz w:val="16"/>
                <w:szCs w:val="16"/>
                <w:color w:val="auto"/>
              </w:rPr>
              <w:t>Patrick de La Chevardière</w:t>
            </w:r>
          </w:p>
        </w:tc>
        <w:tc>
          <w:tcPr>
            <w:tcW w:w="1780" w:type="dxa"/>
            <w:vAlign w:val="bottom"/>
          </w:tcPr>
          <w:p>
            <w:pPr>
              <w:jc w:val="right"/>
              <w:ind w:right="460"/>
              <w:spacing w:after="0"/>
              <w:rPr>
                <w:sz w:val="20"/>
                <w:szCs w:val="20"/>
                <w:color w:val="auto"/>
              </w:rPr>
            </w:pPr>
            <w:r>
              <w:rPr>
                <w:rFonts w:ascii="Arial" w:cs="Arial" w:eastAsia="Arial" w:hAnsi="Arial"/>
                <w:sz w:val="16"/>
                <w:szCs w:val="16"/>
                <w:color w:val="auto"/>
              </w:rPr>
              <w:t>28,810</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&lt;1%</w:t>
            </w:r>
          </w:p>
        </w:tc>
        <w:tc>
          <w:tcPr>
            <w:tcW w:w="0" w:type="dxa"/>
            <w:vAlign w:val="bottom"/>
          </w:tcPr>
          <w:p>
            <w:pPr>
              <w:spacing w:after="0"/>
              <w:rPr>
                <w:sz w:val="1"/>
                <w:szCs w:val="1"/>
                <w:color w:val="auto"/>
              </w:rPr>
            </w:pPr>
          </w:p>
        </w:tc>
      </w:tr>
      <w:tr>
        <w:trPr>
          <w:trHeight w:val="203"/>
        </w:trPr>
        <w:tc>
          <w:tcPr>
            <w:tcW w:w="7980" w:type="dxa"/>
            <w:vAlign w:val="bottom"/>
          </w:tcPr>
          <w:p>
            <w:pPr>
              <w:ind w:left="60"/>
              <w:spacing w:after="0"/>
              <w:rPr>
                <w:sz w:val="20"/>
                <w:szCs w:val="20"/>
                <w:color w:val="auto"/>
              </w:rPr>
            </w:pPr>
            <w:r>
              <w:rPr>
                <w:rFonts w:ascii="Arial" w:cs="Arial" w:eastAsia="Arial" w:hAnsi="Arial"/>
                <w:sz w:val="16"/>
                <w:szCs w:val="16"/>
                <w:color w:val="auto"/>
              </w:rPr>
              <w:t>Miguel Galuccio</w:t>
            </w:r>
          </w:p>
        </w:tc>
        <w:tc>
          <w:tcPr>
            <w:tcW w:w="1780" w:type="dxa"/>
            <w:vAlign w:val="bottom"/>
          </w:tcPr>
          <w:p>
            <w:pPr>
              <w:jc w:val="right"/>
              <w:ind w:right="460"/>
              <w:spacing w:after="0"/>
              <w:rPr>
                <w:sz w:val="20"/>
                <w:szCs w:val="20"/>
                <w:color w:val="auto"/>
              </w:rPr>
            </w:pPr>
            <w:r>
              <w:rPr>
                <w:rFonts w:ascii="Arial" w:cs="Arial" w:eastAsia="Arial" w:hAnsi="Arial"/>
                <w:sz w:val="16"/>
                <w:szCs w:val="16"/>
                <w:color w:val="auto"/>
              </w:rPr>
              <w:t>38,510</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&lt;1%</w:t>
            </w:r>
          </w:p>
        </w:tc>
        <w:tc>
          <w:tcPr>
            <w:tcW w:w="0" w:type="dxa"/>
            <w:vAlign w:val="bottom"/>
          </w:tcPr>
          <w:p>
            <w:pPr>
              <w:spacing w:after="0"/>
              <w:rPr>
                <w:sz w:val="1"/>
                <w:szCs w:val="1"/>
                <w:color w:val="auto"/>
              </w:rPr>
            </w:pPr>
          </w:p>
        </w:tc>
      </w:tr>
      <w:tr>
        <w:trPr>
          <w:trHeight w:val="204"/>
        </w:trPr>
        <w:tc>
          <w:tcPr>
            <w:tcW w:w="7980" w:type="dxa"/>
            <w:vAlign w:val="bottom"/>
          </w:tcPr>
          <w:p>
            <w:pPr>
              <w:ind w:left="60"/>
              <w:spacing w:after="0"/>
              <w:rPr>
                <w:sz w:val="20"/>
                <w:szCs w:val="20"/>
                <w:color w:val="auto"/>
              </w:rPr>
            </w:pPr>
            <w:r>
              <w:rPr>
                <w:rFonts w:ascii="Arial" w:cs="Arial" w:eastAsia="Arial" w:hAnsi="Arial"/>
                <w:sz w:val="16"/>
                <w:szCs w:val="16"/>
                <w:color w:val="auto"/>
              </w:rPr>
              <w:t>Jim Hackett</w:t>
            </w:r>
          </w:p>
        </w:tc>
        <w:tc>
          <w:tcPr>
            <w:tcW w:w="1780" w:type="dxa"/>
            <w:vAlign w:val="bottom"/>
          </w:tcPr>
          <w:p>
            <w:pPr>
              <w:jc w:val="right"/>
              <w:ind w:right="460"/>
              <w:spacing w:after="0"/>
              <w:rPr>
                <w:sz w:val="20"/>
                <w:szCs w:val="20"/>
                <w:color w:val="auto"/>
              </w:rPr>
            </w:pPr>
            <w:r>
              <w:rPr>
                <w:rFonts w:ascii="Arial" w:cs="Arial" w:eastAsia="Arial" w:hAnsi="Arial"/>
                <w:sz w:val="16"/>
                <w:szCs w:val="16"/>
                <w:color w:val="auto"/>
              </w:rPr>
              <w:t>6,085</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&lt;1%</w:t>
            </w:r>
          </w:p>
        </w:tc>
        <w:tc>
          <w:tcPr>
            <w:tcW w:w="0" w:type="dxa"/>
            <w:vAlign w:val="bottom"/>
          </w:tcPr>
          <w:p>
            <w:pPr>
              <w:spacing w:after="0"/>
              <w:rPr>
                <w:sz w:val="1"/>
                <w:szCs w:val="1"/>
                <w:color w:val="auto"/>
              </w:rPr>
            </w:pPr>
          </w:p>
        </w:tc>
      </w:tr>
      <w:tr>
        <w:trPr>
          <w:trHeight w:val="242"/>
        </w:trPr>
        <w:tc>
          <w:tcPr>
            <w:tcW w:w="7980" w:type="dxa"/>
            <w:vAlign w:val="bottom"/>
          </w:tcPr>
          <w:p>
            <w:pPr>
              <w:ind w:left="60"/>
              <w:spacing w:after="0"/>
              <w:rPr>
                <w:sz w:val="20"/>
                <w:szCs w:val="20"/>
                <w:color w:val="auto"/>
              </w:rPr>
            </w:pPr>
            <w:r>
              <w:rPr>
                <w:rFonts w:ascii="Arial" w:cs="Arial" w:eastAsia="Arial" w:hAnsi="Arial"/>
                <w:sz w:val="16"/>
                <w:szCs w:val="16"/>
                <w:color w:val="auto"/>
              </w:rPr>
              <w:t>Olivier Le Peuch (NEO)</w:t>
            </w:r>
          </w:p>
        </w:tc>
        <w:tc>
          <w:tcPr>
            <w:tcW w:w="1780" w:type="dxa"/>
            <w:vAlign w:val="bottom"/>
          </w:tcPr>
          <w:p>
            <w:pPr>
              <w:jc w:val="right"/>
              <w:ind w:right="300"/>
              <w:spacing w:after="0" w:line="241" w:lineRule="exact"/>
              <w:rPr>
                <w:sz w:val="20"/>
                <w:szCs w:val="20"/>
                <w:color w:val="auto"/>
              </w:rPr>
            </w:pPr>
            <w:r>
              <w:rPr>
                <w:rFonts w:ascii="Arial" w:cs="Arial" w:eastAsia="Arial" w:hAnsi="Arial"/>
                <w:sz w:val="16"/>
                <w:szCs w:val="16"/>
                <w:color w:val="auto"/>
              </w:rPr>
              <w:t>1,176,881</w:t>
            </w:r>
            <w:r>
              <w:rPr>
                <w:rFonts w:ascii="Arial" w:cs="Arial" w:eastAsia="Arial" w:hAnsi="Arial"/>
                <w:sz w:val="26"/>
                <w:szCs w:val="26"/>
                <w:color w:val="auto"/>
                <w:vertAlign w:val="superscript"/>
              </w:rPr>
              <w:t>(5)</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&lt;1%</w:t>
            </w:r>
          </w:p>
        </w:tc>
        <w:tc>
          <w:tcPr>
            <w:tcW w:w="0" w:type="dxa"/>
            <w:vAlign w:val="bottom"/>
          </w:tcPr>
          <w:p>
            <w:pPr>
              <w:spacing w:after="0"/>
              <w:rPr>
                <w:sz w:val="1"/>
                <w:szCs w:val="1"/>
                <w:color w:val="auto"/>
              </w:rPr>
            </w:pPr>
          </w:p>
        </w:tc>
      </w:tr>
      <w:tr>
        <w:trPr>
          <w:trHeight w:val="204"/>
        </w:trPr>
        <w:tc>
          <w:tcPr>
            <w:tcW w:w="7980" w:type="dxa"/>
            <w:vAlign w:val="bottom"/>
          </w:tcPr>
          <w:p>
            <w:pPr>
              <w:ind w:left="60"/>
              <w:spacing w:after="0"/>
              <w:rPr>
                <w:sz w:val="20"/>
                <w:szCs w:val="20"/>
                <w:color w:val="auto"/>
              </w:rPr>
            </w:pPr>
            <w:r>
              <w:rPr>
                <w:rFonts w:ascii="Arial" w:cs="Arial" w:eastAsia="Arial" w:hAnsi="Arial"/>
                <w:sz w:val="16"/>
                <w:szCs w:val="16"/>
                <w:color w:val="auto"/>
              </w:rPr>
              <w:t>Samuel Leupold</w:t>
            </w:r>
          </w:p>
        </w:tc>
        <w:tc>
          <w:tcPr>
            <w:tcW w:w="1780" w:type="dxa"/>
            <w:vAlign w:val="bottom"/>
          </w:tcPr>
          <w:p>
            <w:pPr>
              <w:jc w:val="right"/>
              <w:ind w:right="460"/>
              <w:spacing w:after="0"/>
              <w:rPr>
                <w:sz w:val="20"/>
                <w:szCs w:val="20"/>
                <w:color w:val="auto"/>
              </w:rPr>
            </w:pPr>
            <w:r>
              <w:rPr>
                <w:rFonts w:ascii="Arial" w:cs="Arial" w:eastAsia="Arial" w:hAnsi="Arial"/>
                <w:sz w:val="16"/>
                <w:szCs w:val="16"/>
                <w:color w:val="auto"/>
              </w:rPr>
              <w:t>15,593</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&lt;1%</w:t>
            </w:r>
          </w:p>
        </w:tc>
        <w:tc>
          <w:tcPr>
            <w:tcW w:w="0" w:type="dxa"/>
            <w:vAlign w:val="bottom"/>
          </w:tcPr>
          <w:p>
            <w:pPr>
              <w:spacing w:after="0"/>
              <w:rPr>
                <w:sz w:val="1"/>
                <w:szCs w:val="1"/>
                <w:color w:val="auto"/>
              </w:rPr>
            </w:pPr>
          </w:p>
        </w:tc>
      </w:tr>
      <w:tr>
        <w:trPr>
          <w:trHeight w:val="242"/>
        </w:trPr>
        <w:tc>
          <w:tcPr>
            <w:tcW w:w="7980" w:type="dxa"/>
            <w:vAlign w:val="bottom"/>
          </w:tcPr>
          <w:p>
            <w:pPr>
              <w:ind w:left="60"/>
              <w:spacing w:after="0"/>
              <w:rPr>
                <w:sz w:val="20"/>
                <w:szCs w:val="20"/>
                <w:color w:val="auto"/>
              </w:rPr>
            </w:pPr>
            <w:r>
              <w:rPr>
                <w:rFonts w:ascii="Arial" w:cs="Arial" w:eastAsia="Arial" w:hAnsi="Arial"/>
                <w:sz w:val="16"/>
                <w:szCs w:val="16"/>
                <w:color w:val="auto"/>
              </w:rPr>
              <w:t>Abdellah Merad (NEO)</w:t>
            </w:r>
          </w:p>
        </w:tc>
        <w:tc>
          <w:tcPr>
            <w:tcW w:w="1780" w:type="dxa"/>
            <w:vAlign w:val="bottom"/>
          </w:tcPr>
          <w:p>
            <w:pPr>
              <w:jc w:val="right"/>
              <w:ind w:right="300"/>
              <w:spacing w:after="0" w:line="241" w:lineRule="exact"/>
              <w:rPr>
                <w:sz w:val="20"/>
                <w:szCs w:val="20"/>
                <w:color w:val="auto"/>
              </w:rPr>
            </w:pPr>
            <w:r>
              <w:rPr>
                <w:rFonts w:ascii="Arial" w:cs="Arial" w:eastAsia="Arial" w:hAnsi="Arial"/>
                <w:sz w:val="16"/>
                <w:szCs w:val="16"/>
                <w:color w:val="auto"/>
              </w:rPr>
              <w:t>371,507</w:t>
            </w:r>
            <w:r>
              <w:rPr>
                <w:rFonts w:ascii="Arial" w:cs="Arial" w:eastAsia="Arial" w:hAnsi="Arial"/>
                <w:sz w:val="26"/>
                <w:szCs w:val="26"/>
                <w:color w:val="auto"/>
                <w:vertAlign w:val="superscript"/>
              </w:rPr>
              <w:t>(6)</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&lt;1%</w:t>
            </w:r>
          </w:p>
        </w:tc>
        <w:tc>
          <w:tcPr>
            <w:tcW w:w="0" w:type="dxa"/>
            <w:vAlign w:val="bottom"/>
          </w:tcPr>
          <w:p>
            <w:pPr>
              <w:spacing w:after="0"/>
              <w:rPr>
                <w:sz w:val="1"/>
                <w:szCs w:val="1"/>
                <w:color w:val="auto"/>
              </w:rPr>
            </w:pPr>
          </w:p>
        </w:tc>
      </w:tr>
      <w:tr>
        <w:trPr>
          <w:trHeight w:val="203"/>
        </w:trPr>
        <w:tc>
          <w:tcPr>
            <w:tcW w:w="7980" w:type="dxa"/>
            <w:vAlign w:val="bottom"/>
          </w:tcPr>
          <w:p>
            <w:pPr>
              <w:ind w:left="60"/>
              <w:spacing w:after="0"/>
              <w:rPr>
                <w:sz w:val="20"/>
                <w:szCs w:val="20"/>
                <w:color w:val="auto"/>
              </w:rPr>
            </w:pPr>
            <w:r>
              <w:rPr>
                <w:rFonts w:ascii="Arial" w:cs="Arial" w:eastAsia="Arial" w:hAnsi="Arial"/>
                <w:sz w:val="16"/>
                <w:szCs w:val="16"/>
                <w:color w:val="auto"/>
              </w:rPr>
              <w:t>Tatiana Mitrova</w:t>
            </w:r>
          </w:p>
        </w:tc>
        <w:tc>
          <w:tcPr>
            <w:tcW w:w="1780" w:type="dxa"/>
            <w:vAlign w:val="bottom"/>
          </w:tcPr>
          <w:p>
            <w:pPr>
              <w:jc w:val="right"/>
              <w:ind w:right="460"/>
              <w:spacing w:after="0"/>
              <w:rPr>
                <w:sz w:val="20"/>
                <w:szCs w:val="20"/>
                <w:color w:val="auto"/>
              </w:rPr>
            </w:pPr>
            <w:r>
              <w:rPr>
                <w:rFonts w:ascii="Arial" w:cs="Arial" w:eastAsia="Arial" w:hAnsi="Arial"/>
                <w:sz w:val="16"/>
                <w:szCs w:val="16"/>
                <w:color w:val="auto"/>
              </w:rPr>
              <w:t>32,994</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&lt;1%</w:t>
            </w:r>
          </w:p>
        </w:tc>
        <w:tc>
          <w:tcPr>
            <w:tcW w:w="0" w:type="dxa"/>
            <w:vAlign w:val="bottom"/>
          </w:tcPr>
          <w:p>
            <w:pPr>
              <w:spacing w:after="0"/>
              <w:rPr>
                <w:sz w:val="1"/>
                <w:szCs w:val="1"/>
                <w:color w:val="auto"/>
              </w:rPr>
            </w:pPr>
          </w:p>
        </w:tc>
      </w:tr>
      <w:tr>
        <w:trPr>
          <w:trHeight w:val="203"/>
        </w:trPr>
        <w:tc>
          <w:tcPr>
            <w:tcW w:w="7980" w:type="dxa"/>
            <w:vAlign w:val="bottom"/>
          </w:tcPr>
          <w:p>
            <w:pPr>
              <w:ind w:left="60"/>
              <w:spacing w:after="0"/>
              <w:rPr>
                <w:sz w:val="20"/>
                <w:szCs w:val="20"/>
                <w:color w:val="auto"/>
              </w:rPr>
            </w:pPr>
            <w:r>
              <w:rPr>
                <w:rFonts w:ascii="Arial" w:cs="Arial" w:eastAsia="Arial" w:hAnsi="Arial"/>
                <w:sz w:val="16"/>
                <w:szCs w:val="16"/>
                <w:color w:val="auto"/>
              </w:rPr>
              <w:t>Maria Moræus Hanssen</w:t>
            </w:r>
          </w:p>
        </w:tc>
        <w:tc>
          <w:tcPr>
            <w:tcW w:w="1780" w:type="dxa"/>
            <w:vAlign w:val="bottom"/>
          </w:tcPr>
          <w:p>
            <w:pPr>
              <w:jc w:val="right"/>
              <w:ind w:right="460"/>
              <w:spacing w:after="0"/>
              <w:rPr>
                <w:sz w:val="20"/>
                <w:szCs w:val="20"/>
                <w:color w:val="auto"/>
              </w:rPr>
            </w:pPr>
            <w:r>
              <w:rPr>
                <w:rFonts w:ascii="Arial" w:cs="Arial" w:eastAsia="Arial" w:hAnsi="Arial"/>
                <w:sz w:val="16"/>
                <w:szCs w:val="16"/>
                <w:color w:val="auto"/>
              </w:rPr>
              <w:t>21,873</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&lt;1%</w:t>
            </w:r>
          </w:p>
        </w:tc>
        <w:tc>
          <w:tcPr>
            <w:tcW w:w="0" w:type="dxa"/>
            <w:vAlign w:val="bottom"/>
          </w:tcPr>
          <w:p>
            <w:pPr>
              <w:spacing w:after="0"/>
              <w:rPr>
                <w:sz w:val="1"/>
                <w:szCs w:val="1"/>
                <w:color w:val="auto"/>
              </w:rPr>
            </w:pPr>
          </w:p>
        </w:tc>
      </w:tr>
      <w:tr>
        <w:trPr>
          <w:trHeight w:val="203"/>
        </w:trPr>
        <w:tc>
          <w:tcPr>
            <w:tcW w:w="7980" w:type="dxa"/>
            <w:vAlign w:val="bottom"/>
          </w:tcPr>
          <w:p>
            <w:pPr>
              <w:ind w:left="60"/>
              <w:spacing w:after="0"/>
              <w:rPr>
                <w:sz w:val="20"/>
                <w:szCs w:val="20"/>
                <w:color w:val="auto"/>
              </w:rPr>
            </w:pPr>
            <w:r>
              <w:rPr>
                <w:rFonts w:ascii="Arial" w:cs="Arial" w:eastAsia="Arial" w:hAnsi="Arial"/>
                <w:sz w:val="16"/>
                <w:szCs w:val="16"/>
                <w:color w:val="auto"/>
              </w:rPr>
              <w:t>Vanitha Narayanan</w:t>
            </w:r>
          </w:p>
        </w:tc>
        <w:tc>
          <w:tcPr>
            <w:tcW w:w="1780" w:type="dxa"/>
            <w:vAlign w:val="bottom"/>
          </w:tcPr>
          <w:p>
            <w:pPr>
              <w:jc w:val="right"/>
              <w:ind w:right="460"/>
              <w:spacing w:after="0"/>
              <w:rPr>
                <w:sz w:val="20"/>
                <w:szCs w:val="20"/>
                <w:color w:val="auto"/>
              </w:rPr>
            </w:pPr>
            <w:r>
              <w:rPr>
                <w:rFonts w:ascii="Arial" w:cs="Arial" w:eastAsia="Arial" w:hAnsi="Arial"/>
                <w:sz w:val="16"/>
                <w:szCs w:val="16"/>
                <w:color w:val="auto"/>
              </w:rPr>
              <w:t>7,545</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&lt;1%</w:t>
            </w:r>
          </w:p>
        </w:tc>
        <w:tc>
          <w:tcPr>
            <w:tcW w:w="0" w:type="dxa"/>
            <w:vAlign w:val="bottom"/>
          </w:tcPr>
          <w:p>
            <w:pPr>
              <w:spacing w:after="0"/>
              <w:rPr>
                <w:sz w:val="1"/>
                <w:szCs w:val="1"/>
                <w:color w:val="auto"/>
              </w:rPr>
            </w:pPr>
          </w:p>
        </w:tc>
      </w:tr>
      <w:tr>
        <w:trPr>
          <w:trHeight w:val="203"/>
        </w:trPr>
        <w:tc>
          <w:tcPr>
            <w:tcW w:w="7980" w:type="dxa"/>
            <w:vAlign w:val="bottom"/>
          </w:tcPr>
          <w:p>
            <w:pPr>
              <w:ind w:left="60"/>
              <w:spacing w:after="0"/>
              <w:rPr>
                <w:sz w:val="20"/>
                <w:szCs w:val="20"/>
                <w:color w:val="auto"/>
              </w:rPr>
            </w:pPr>
            <w:r>
              <w:rPr>
                <w:rFonts w:ascii="Arial" w:cs="Arial" w:eastAsia="Arial" w:hAnsi="Arial"/>
                <w:sz w:val="16"/>
                <w:szCs w:val="16"/>
                <w:color w:val="auto"/>
              </w:rPr>
              <w:t>Dianne Ralston (NEO)</w:t>
            </w:r>
          </w:p>
        </w:tc>
        <w:tc>
          <w:tcPr>
            <w:tcW w:w="1780" w:type="dxa"/>
            <w:vAlign w:val="bottom"/>
          </w:tcPr>
          <w:p>
            <w:pPr>
              <w:jc w:val="right"/>
              <w:ind w:right="460"/>
              <w:spacing w:after="0"/>
              <w:rPr>
                <w:sz w:val="20"/>
                <w:szCs w:val="20"/>
                <w:color w:val="auto"/>
              </w:rPr>
            </w:pPr>
            <w:r>
              <w:rPr>
                <w:rFonts w:ascii="Arial" w:cs="Arial" w:eastAsia="Arial" w:hAnsi="Arial"/>
                <w:sz w:val="16"/>
                <w:szCs w:val="16"/>
                <w:color w:val="auto"/>
              </w:rPr>
              <w:t>209,649</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&lt;1%</w:t>
            </w:r>
          </w:p>
        </w:tc>
        <w:tc>
          <w:tcPr>
            <w:tcW w:w="0" w:type="dxa"/>
            <w:vAlign w:val="bottom"/>
          </w:tcPr>
          <w:p>
            <w:pPr>
              <w:spacing w:after="0"/>
              <w:rPr>
                <w:sz w:val="1"/>
                <w:szCs w:val="1"/>
                <w:color w:val="auto"/>
              </w:rPr>
            </w:pPr>
          </w:p>
        </w:tc>
      </w:tr>
      <w:tr>
        <w:trPr>
          <w:trHeight w:val="203"/>
        </w:trPr>
        <w:tc>
          <w:tcPr>
            <w:tcW w:w="7980" w:type="dxa"/>
            <w:vAlign w:val="bottom"/>
          </w:tcPr>
          <w:p>
            <w:pPr>
              <w:ind w:left="60"/>
              <w:spacing w:after="0"/>
              <w:rPr>
                <w:sz w:val="20"/>
                <w:szCs w:val="20"/>
                <w:color w:val="auto"/>
              </w:rPr>
            </w:pPr>
            <w:r>
              <w:rPr>
                <w:rFonts w:ascii="Arial" w:cs="Arial" w:eastAsia="Arial" w:hAnsi="Arial"/>
                <w:sz w:val="16"/>
                <w:szCs w:val="16"/>
                <w:color w:val="auto"/>
              </w:rPr>
              <w:t>Jeff Sheets</w:t>
            </w:r>
          </w:p>
        </w:tc>
        <w:tc>
          <w:tcPr>
            <w:tcW w:w="1780" w:type="dxa"/>
            <w:vAlign w:val="bottom"/>
          </w:tcPr>
          <w:p>
            <w:pPr>
              <w:jc w:val="right"/>
              <w:ind w:right="460"/>
              <w:spacing w:after="0"/>
              <w:rPr>
                <w:sz w:val="20"/>
                <w:szCs w:val="20"/>
                <w:color w:val="auto"/>
              </w:rPr>
            </w:pPr>
            <w:r>
              <w:rPr>
                <w:rFonts w:ascii="Arial" w:cs="Arial" w:eastAsia="Arial" w:hAnsi="Arial"/>
                <w:sz w:val="16"/>
                <w:szCs w:val="16"/>
                <w:color w:val="auto"/>
              </w:rPr>
              <w:t>29,310</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&lt;1%</w:t>
            </w:r>
          </w:p>
        </w:tc>
        <w:tc>
          <w:tcPr>
            <w:tcW w:w="0" w:type="dxa"/>
            <w:vAlign w:val="bottom"/>
          </w:tcPr>
          <w:p>
            <w:pPr>
              <w:spacing w:after="0"/>
              <w:rPr>
                <w:sz w:val="1"/>
                <w:szCs w:val="1"/>
                <w:color w:val="auto"/>
              </w:rPr>
            </w:pPr>
          </w:p>
        </w:tc>
      </w:tr>
      <w:tr>
        <w:trPr>
          <w:trHeight w:val="204"/>
        </w:trPr>
        <w:tc>
          <w:tcPr>
            <w:tcW w:w="7980" w:type="dxa"/>
            <w:vAlign w:val="bottom"/>
          </w:tcPr>
          <w:p>
            <w:pPr>
              <w:ind w:left="60"/>
              <w:spacing w:after="0"/>
              <w:rPr>
                <w:sz w:val="20"/>
                <w:szCs w:val="20"/>
                <w:color w:val="auto"/>
              </w:rPr>
            </w:pPr>
            <w:r>
              <w:rPr>
                <w:rFonts w:ascii="Arial" w:cs="Arial" w:eastAsia="Arial" w:hAnsi="Arial"/>
                <w:sz w:val="16"/>
                <w:szCs w:val="16"/>
                <w:color w:val="auto"/>
              </w:rPr>
              <w:t>Ulrich Spiesshofer</w:t>
            </w:r>
          </w:p>
        </w:tc>
        <w:tc>
          <w:tcPr>
            <w:tcW w:w="1780" w:type="dxa"/>
            <w:vAlign w:val="bottom"/>
          </w:tcPr>
          <w:p>
            <w:pPr>
              <w:jc w:val="right"/>
              <w:ind w:right="460"/>
              <w:spacing w:after="0"/>
              <w:rPr>
                <w:sz w:val="20"/>
                <w:szCs w:val="20"/>
                <w:color w:val="auto"/>
              </w:rPr>
            </w:pPr>
            <w:r>
              <w:rPr>
                <w:rFonts w:ascii="Arial" w:cs="Arial" w:eastAsia="Arial" w:hAnsi="Arial"/>
                <w:sz w:val="16"/>
                <w:szCs w:val="16"/>
                <w:color w:val="auto"/>
              </w:rPr>
              <w:t>12,416</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&lt;1%</w:t>
            </w:r>
          </w:p>
        </w:tc>
        <w:tc>
          <w:tcPr>
            <w:tcW w:w="0" w:type="dxa"/>
            <w:vAlign w:val="bottom"/>
          </w:tcPr>
          <w:p>
            <w:pPr>
              <w:spacing w:after="0"/>
              <w:rPr>
                <w:sz w:val="1"/>
                <w:szCs w:val="1"/>
                <w:color w:val="auto"/>
              </w:rPr>
            </w:pPr>
          </w:p>
        </w:tc>
      </w:tr>
      <w:tr>
        <w:trPr>
          <w:trHeight w:val="249"/>
        </w:trPr>
        <w:tc>
          <w:tcPr>
            <w:tcW w:w="7980" w:type="dxa"/>
            <w:vAlign w:val="bottom"/>
            <w:tcBorders>
              <w:bottom w:val="single" w:sz="8" w:color="0233A1"/>
            </w:tcBorders>
          </w:tcPr>
          <w:p>
            <w:pPr>
              <w:ind w:left="60"/>
              <w:spacing w:after="0"/>
              <w:rPr>
                <w:sz w:val="20"/>
                <w:szCs w:val="20"/>
                <w:color w:val="auto"/>
              </w:rPr>
            </w:pPr>
            <w:r>
              <w:rPr>
                <w:rFonts w:ascii="Arial" w:cs="Arial" w:eastAsia="Arial" w:hAnsi="Arial"/>
                <w:sz w:val="16"/>
                <w:szCs w:val="16"/>
                <w:color w:val="auto"/>
              </w:rPr>
              <w:t>All directors and executive officers as a group (24 persons)</w:t>
            </w:r>
          </w:p>
        </w:tc>
        <w:tc>
          <w:tcPr>
            <w:tcW w:w="1780" w:type="dxa"/>
            <w:vAlign w:val="bottom"/>
            <w:tcBorders>
              <w:bottom w:val="single" w:sz="8" w:color="0233A1"/>
            </w:tcBorders>
          </w:tcPr>
          <w:p>
            <w:pPr>
              <w:jc w:val="right"/>
              <w:ind w:right="300"/>
              <w:spacing w:after="0" w:line="242" w:lineRule="exact"/>
              <w:rPr>
                <w:sz w:val="20"/>
                <w:szCs w:val="20"/>
                <w:color w:val="auto"/>
              </w:rPr>
            </w:pPr>
            <w:r>
              <w:rPr>
                <w:rFonts w:ascii="Arial" w:cs="Arial" w:eastAsia="Arial" w:hAnsi="Arial"/>
                <w:sz w:val="16"/>
                <w:szCs w:val="16"/>
                <w:color w:val="auto"/>
              </w:rPr>
              <w:t>3,738,430</w:t>
            </w:r>
            <w:r>
              <w:rPr>
                <w:rFonts w:ascii="Arial" w:cs="Arial" w:eastAsia="Arial" w:hAnsi="Arial"/>
                <w:sz w:val="26"/>
                <w:szCs w:val="26"/>
                <w:color w:val="auto"/>
                <w:vertAlign w:val="superscript"/>
              </w:rPr>
              <w:t>(7)</w:t>
            </w:r>
          </w:p>
        </w:tc>
        <w:tc>
          <w:tcPr>
            <w:tcW w:w="1480" w:type="dxa"/>
            <w:vAlign w:val="bottom"/>
            <w:tcBorders>
              <w:bottom w:val="single" w:sz="8" w:color="0233A1"/>
            </w:tcBorders>
          </w:tcPr>
          <w:p>
            <w:pPr>
              <w:jc w:val="right"/>
              <w:ind w:right="140"/>
              <w:spacing w:after="0"/>
              <w:rPr>
                <w:sz w:val="20"/>
                <w:szCs w:val="20"/>
                <w:color w:val="auto"/>
              </w:rPr>
            </w:pPr>
            <w:r>
              <w:rPr>
                <w:rFonts w:ascii="Arial" w:cs="Arial" w:eastAsia="Arial" w:hAnsi="Arial"/>
                <w:sz w:val="16"/>
                <w:szCs w:val="16"/>
                <w:color w:val="auto"/>
              </w:rPr>
              <w:t>&lt;1%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-556895</wp:posOffset>
            </wp:positionV>
            <wp:extent cx="713232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-685165</wp:posOffset>
            </wp:positionV>
            <wp:extent cx="713232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-814070</wp:posOffset>
            </wp:positionV>
            <wp:extent cx="713232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-942340</wp:posOffset>
            </wp:positionV>
            <wp:extent cx="713232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-1096645</wp:posOffset>
            </wp:positionV>
            <wp:extent cx="713232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-1224915</wp:posOffset>
            </wp:positionV>
            <wp:extent cx="713232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-1379855</wp:posOffset>
            </wp:positionV>
            <wp:extent cx="713232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-1508125</wp:posOffset>
            </wp:positionV>
            <wp:extent cx="713232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-1637030</wp:posOffset>
            </wp:positionV>
            <wp:extent cx="713232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-1765300</wp:posOffset>
            </wp:positionV>
            <wp:extent cx="713232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-1894205</wp:posOffset>
            </wp:positionV>
            <wp:extent cx="713232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-2047875</wp:posOffset>
            </wp:positionV>
            <wp:extent cx="713232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 w:lineRule="exact"/>
        <w:rPr>
          <w:sz w:val="20"/>
          <w:szCs w:val="20"/>
          <w:color w:val="auto"/>
        </w:rPr>
      </w:pPr>
    </w:p>
    <w:p>
      <w:pPr>
        <w:jc w:val="both"/>
        <w:ind w:left="380" w:hanging="318"/>
        <w:spacing w:after="0" w:line="263" w:lineRule="auto"/>
        <w:tabs>
          <w:tab w:leader="none" w:pos="3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Beneficial ownership is determined under the rules of the SEC and generally includes voting or investment power with respect to securities. Except as indicated in the below footnotes and subject to applicable community property laws, to our knowledge the persons named in this table have sole voting and investment power with respect to the securities listed. None of the shares are subject to any pledge.</w:t>
      </w:r>
    </w:p>
    <w:p>
      <w:pPr>
        <w:spacing w:after="0" w:line="10" w:lineRule="exact"/>
        <w:rPr>
          <w:rFonts w:ascii="Arial" w:cs="Arial" w:eastAsia="Arial" w:hAnsi="Arial"/>
          <w:sz w:val="14"/>
          <w:szCs w:val="14"/>
          <w:color w:val="auto"/>
        </w:rPr>
      </w:pPr>
    </w:p>
    <w:p>
      <w:pPr>
        <w:jc w:val="both"/>
        <w:ind w:left="380"/>
        <w:spacing w:after="0" w:line="250" w:lineRule="auto"/>
        <w:rPr>
          <w:rFonts w:ascii="Arial" w:cs="Arial" w:eastAsia="Arial" w:hAnsi="Arial"/>
          <w:sz w:val="14"/>
          <w:szCs w:val="14"/>
          <w:color w:val="auto"/>
        </w:rPr>
      </w:pPr>
      <w:r>
        <w:rPr>
          <w:rFonts w:ascii="Arial" w:cs="Arial" w:eastAsia="Arial" w:hAnsi="Arial"/>
          <w:sz w:val="14"/>
          <w:szCs w:val="14"/>
          <w:color w:val="auto"/>
        </w:rPr>
        <w:t>The number of shares beneficially owned includes shares of SLB common stock that the individual or group has the right to acquire within 60 days of January 31, 2024, including exercisable options to purchase SLB common stock, as well as RSUs and PSUs that will vest within 60 days. This column does not reflect (x) shares of SLB common stock deferred under the Directors Stock Plan, or (y) the number of shares earned but not yet issued under our 2021 ROCE PSUs, because SLB will finally determine the number of shares earned after the applicable comparator companies disclose their full-year audited 2023 results, as described under “Compensation Discussion and Analysis—Elements of 2023 Total Compensation—Long-Term Equity Incentive Awards—Payouts Under Prior LTI Awards—PSUs and RSUs Vesting in 2024” on page 45 of this proxy statement.</w:t>
      </w:r>
    </w:p>
    <w:p>
      <w:pPr>
        <w:spacing w:after="0" w:line="19" w:lineRule="exact"/>
        <w:rPr>
          <w:rFonts w:ascii="Arial" w:cs="Arial" w:eastAsia="Arial" w:hAnsi="Arial"/>
          <w:sz w:val="14"/>
          <w:szCs w:val="14"/>
          <w:color w:val="auto"/>
        </w:rPr>
      </w:pPr>
    </w:p>
    <w:p>
      <w:pPr>
        <w:ind w:left="380" w:hanging="318"/>
        <w:spacing w:after="0"/>
        <w:tabs>
          <w:tab w:leader="none" w:pos="3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Percentage ownership is calculated based on the 1,432,742,086 shares of our common stock outstanding on January 31, 2024.</w:t>
      </w:r>
    </w:p>
    <w:p>
      <w:pPr>
        <w:spacing w:after="0" w:line="55" w:lineRule="exact"/>
        <w:rPr>
          <w:rFonts w:ascii="Arial" w:cs="Arial" w:eastAsia="Arial" w:hAnsi="Arial"/>
          <w:sz w:val="14"/>
          <w:szCs w:val="14"/>
          <w:color w:val="auto"/>
        </w:rPr>
      </w:pPr>
    </w:p>
    <w:p>
      <w:pPr>
        <w:ind w:left="380" w:hanging="318"/>
        <w:spacing w:after="0"/>
        <w:tabs>
          <w:tab w:leader="none" w:pos="3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Includes options to purchase 185,000 SLB shares.</w:t>
      </w:r>
    </w:p>
    <w:p>
      <w:pPr>
        <w:spacing w:after="0" w:line="55" w:lineRule="exact"/>
        <w:rPr>
          <w:rFonts w:ascii="Arial" w:cs="Arial" w:eastAsia="Arial" w:hAnsi="Arial"/>
          <w:sz w:val="14"/>
          <w:szCs w:val="14"/>
          <w:color w:val="auto"/>
        </w:rPr>
      </w:pPr>
    </w:p>
    <w:p>
      <w:pPr>
        <w:ind w:left="380" w:hanging="318"/>
        <w:spacing w:after="0"/>
        <w:tabs>
          <w:tab w:leader="none" w:pos="3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Includes options to purchase 46,000 SLB shares and 1,773 shares beneficially owned by Mr. Biguet’s children.</w:t>
      </w:r>
    </w:p>
    <w:p>
      <w:pPr>
        <w:spacing w:after="0" w:line="55" w:lineRule="exact"/>
        <w:rPr>
          <w:rFonts w:ascii="Arial" w:cs="Arial" w:eastAsia="Arial" w:hAnsi="Arial"/>
          <w:sz w:val="14"/>
          <w:szCs w:val="14"/>
          <w:color w:val="auto"/>
        </w:rPr>
      </w:pPr>
    </w:p>
    <w:p>
      <w:pPr>
        <w:ind w:left="380" w:hanging="318"/>
        <w:spacing w:after="0"/>
        <w:tabs>
          <w:tab w:leader="none" w:pos="3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Includes options to purchase 99,000 SLB shares.</w:t>
      </w:r>
    </w:p>
    <w:p>
      <w:pPr>
        <w:spacing w:after="0" w:line="55" w:lineRule="exact"/>
        <w:rPr>
          <w:rFonts w:ascii="Arial" w:cs="Arial" w:eastAsia="Arial" w:hAnsi="Arial"/>
          <w:sz w:val="14"/>
          <w:szCs w:val="14"/>
          <w:color w:val="auto"/>
        </w:rPr>
      </w:pPr>
    </w:p>
    <w:p>
      <w:pPr>
        <w:ind w:left="380" w:hanging="318"/>
        <w:spacing w:after="0"/>
        <w:tabs>
          <w:tab w:leader="none" w:pos="3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Includes options to purchase 60,000 SLB shares.</w:t>
      </w:r>
    </w:p>
    <w:p>
      <w:pPr>
        <w:spacing w:after="0" w:line="55" w:lineRule="exact"/>
        <w:rPr>
          <w:rFonts w:ascii="Arial" w:cs="Arial" w:eastAsia="Arial" w:hAnsi="Arial"/>
          <w:sz w:val="14"/>
          <w:szCs w:val="14"/>
          <w:color w:val="auto"/>
        </w:rPr>
      </w:pPr>
    </w:p>
    <w:p>
      <w:pPr>
        <w:ind w:left="380" w:right="20" w:hanging="318"/>
        <w:spacing w:after="0" w:line="285" w:lineRule="auto"/>
        <w:tabs>
          <w:tab w:leader="none" w:pos="3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Includes options to purchase 887,888 SLB shares, all of which are held by our executive officers. Unless otherwise indicated, the address of each person listed on the table above is c/o SLB, 5599 San Felipe, Houston, Texas 77056.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174625</wp:posOffset>
            </wp:positionV>
            <wp:extent cx="471805" cy="28257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2024 Proxy Statement</w:t>
            </w:r>
          </w:p>
        </w:tc>
        <w:tc>
          <w:tcPr>
            <w:tcW w:w="3600" w:type="dxa"/>
            <w:vAlign w:val="bottom"/>
            <w:tcBorders>
              <w:bottom w:val="single" w:sz="8" w:color="auto"/>
            </w:tcBorders>
          </w:tcPr>
          <w:p>
            <w:pPr>
              <w:spacing w:after="0"/>
              <w:rPr>
                <w:sz w:val="12"/>
                <w:szCs w:val="12"/>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29</w:t>
            </w:r>
          </w:p>
        </w:tc>
        <w:tc>
          <w:tcPr>
            <w:tcW w:w="4480" w:type="dxa"/>
            <w:vAlign w:val="bottom"/>
            <w:tcBorders>
              <w:bottom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36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48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color w:val="0233A1"/>
        </w:rPr>
        <w:t>Security Ownership by Certain Beneficial Owners</w:t>
      </w:r>
    </w:p>
    <w:p>
      <w:pPr>
        <w:spacing w:after="0" w:line="265"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The following table sets forth information as of December 31, 2023 with respect to persons known by us to be the beneficial owners of more than 5% of our common stock, based solely on the information reported by such persons in their Schedule 13D and 13G filings with the SEC.</w:t>
      </w:r>
    </w:p>
    <w:p>
      <w:pPr>
        <w:spacing w:after="0" w:line="142"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For each entity included in the table below, percentage ownership is calculated by dividing the number of shares reported as beneficially owned by such entity by the 1,432,742,086 shares of our common stock outstanding on January 31, 2024.</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660" w:type="dxa"/>
            <w:vAlign w:val="bottom"/>
          </w:tcPr>
          <w:p>
            <w:pPr>
              <w:spacing w:after="0"/>
              <w:rPr>
                <w:sz w:val="16"/>
                <w:szCs w:val="16"/>
                <w:color w:val="auto"/>
              </w:rPr>
            </w:pPr>
          </w:p>
        </w:tc>
        <w:tc>
          <w:tcPr>
            <w:tcW w:w="258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0233A1"/>
              </w:rPr>
              <w:t>Beneficial Ownership of</w:t>
            </w:r>
          </w:p>
        </w:tc>
        <w:tc>
          <w:tcPr>
            <w:tcW w:w="0" w:type="dxa"/>
            <w:vAlign w:val="bottom"/>
          </w:tcPr>
          <w:p>
            <w:pPr>
              <w:spacing w:after="0"/>
              <w:rPr>
                <w:sz w:val="1"/>
                <w:szCs w:val="1"/>
                <w:color w:val="auto"/>
              </w:rPr>
            </w:pPr>
          </w:p>
        </w:tc>
      </w:tr>
      <w:tr>
        <w:trPr>
          <w:trHeight w:val="203"/>
        </w:trPr>
        <w:tc>
          <w:tcPr>
            <w:tcW w:w="8660" w:type="dxa"/>
            <w:vAlign w:val="bottom"/>
          </w:tcPr>
          <w:p>
            <w:pPr>
              <w:spacing w:after="0"/>
              <w:rPr>
                <w:sz w:val="17"/>
                <w:szCs w:val="17"/>
                <w:color w:val="auto"/>
              </w:rPr>
            </w:pPr>
          </w:p>
        </w:tc>
        <w:tc>
          <w:tcPr>
            <w:tcW w:w="2580" w:type="dxa"/>
            <w:vAlign w:val="bottom"/>
            <w:tcBorders>
              <w:bottom w:val="single" w:sz="8" w:color="0233A1"/>
            </w:tcBorders>
            <w:gridSpan w:val="2"/>
          </w:tcPr>
          <w:p>
            <w:pPr>
              <w:jc w:val="right"/>
              <w:ind w:right="439"/>
              <w:spacing w:after="0"/>
              <w:rPr>
                <w:sz w:val="20"/>
                <w:szCs w:val="20"/>
                <w:color w:val="auto"/>
              </w:rPr>
            </w:pPr>
            <w:r>
              <w:rPr>
                <w:rFonts w:ascii="Arial" w:cs="Arial" w:eastAsia="Arial" w:hAnsi="Arial"/>
                <w:sz w:val="16"/>
                <w:szCs w:val="16"/>
                <w:b w:val="1"/>
                <w:bCs w:val="1"/>
                <w:color w:val="0233A1"/>
              </w:rPr>
              <w:t>SLB Common Stock</w:t>
            </w:r>
          </w:p>
        </w:tc>
        <w:tc>
          <w:tcPr>
            <w:tcW w:w="0" w:type="dxa"/>
            <w:vAlign w:val="bottom"/>
          </w:tcPr>
          <w:p>
            <w:pPr>
              <w:spacing w:after="0"/>
              <w:rPr>
                <w:sz w:val="1"/>
                <w:szCs w:val="1"/>
                <w:color w:val="auto"/>
              </w:rPr>
            </w:pPr>
          </w:p>
        </w:tc>
      </w:tr>
      <w:tr>
        <w:trPr>
          <w:trHeight w:val="168"/>
        </w:trPr>
        <w:tc>
          <w:tcPr>
            <w:tcW w:w="8660" w:type="dxa"/>
            <w:vAlign w:val="bottom"/>
          </w:tcPr>
          <w:p>
            <w:pPr>
              <w:spacing w:after="0"/>
              <w:rPr>
                <w:sz w:val="14"/>
                <w:szCs w:val="14"/>
                <w:color w:val="auto"/>
              </w:rPr>
            </w:pPr>
          </w:p>
        </w:tc>
        <w:tc>
          <w:tcPr>
            <w:tcW w:w="1400" w:type="dxa"/>
            <w:vAlign w:val="bottom"/>
          </w:tcPr>
          <w:p>
            <w:pPr>
              <w:jc w:val="right"/>
              <w:ind w:right="179"/>
              <w:spacing w:after="0" w:line="168" w:lineRule="exact"/>
              <w:rPr>
                <w:sz w:val="20"/>
                <w:szCs w:val="20"/>
                <w:color w:val="auto"/>
              </w:rPr>
            </w:pPr>
            <w:r>
              <w:rPr>
                <w:rFonts w:ascii="Arial" w:cs="Arial" w:eastAsia="Arial" w:hAnsi="Arial"/>
                <w:sz w:val="16"/>
                <w:szCs w:val="16"/>
                <w:b w:val="1"/>
                <w:bCs w:val="1"/>
                <w:color w:val="0233A1"/>
              </w:rPr>
              <w:t>Number of</w:t>
            </w:r>
          </w:p>
        </w:tc>
        <w:tc>
          <w:tcPr>
            <w:tcW w:w="1180" w:type="dxa"/>
            <w:vAlign w:val="bottom"/>
          </w:tcPr>
          <w:p>
            <w:pPr>
              <w:jc w:val="right"/>
              <w:spacing w:after="0" w:line="168" w:lineRule="exact"/>
              <w:rPr>
                <w:sz w:val="20"/>
                <w:szCs w:val="20"/>
                <w:color w:val="auto"/>
              </w:rPr>
            </w:pPr>
            <w:r>
              <w:rPr>
                <w:rFonts w:ascii="Arial" w:cs="Arial" w:eastAsia="Arial" w:hAnsi="Arial"/>
                <w:sz w:val="16"/>
                <w:szCs w:val="16"/>
                <w:b w:val="1"/>
                <w:bCs w:val="1"/>
                <w:color w:val="0233A1"/>
              </w:rPr>
              <w:t>Percentage</w:t>
            </w:r>
          </w:p>
        </w:tc>
        <w:tc>
          <w:tcPr>
            <w:tcW w:w="0" w:type="dxa"/>
            <w:vAlign w:val="bottom"/>
          </w:tcPr>
          <w:p>
            <w:pPr>
              <w:spacing w:after="0"/>
              <w:rPr>
                <w:sz w:val="1"/>
                <w:szCs w:val="1"/>
                <w:color w:val="auto"/>
              </w:rPr>
            </w:pPr>
          </w:p>
        </w:tc>
      </w:tr>
      <w:tr>
        <w:trPr>
          <w:trHeight w:val="203"/>
        </w:trPr>
        <w:tc>
          <w:tcPr>
            <w:tcW w:w="8660" w:type="dxa"/>
            <w:vAlign w:val="bottom"/>
            <w:tcBorders>
              <w:bottom w:val="single" w:sz="8" w:color="0233A1"/>
            </w:tcBorders>
          </w:tcPr>
          <w:p>
            <w:pPr>
              <w:ind w:left="60"/>
              <w:spacing w:after="0"/>
              <w:rPr>
                <w:sz w:val="20"/>
                <w:szCs w:val="20"/>
                <w:color w:val="auto"/>
              </w:rPr>
            </w:pPr>
            <w:r>
              <w:rPr>
                <w:rFonts w:ascii="Arial" w:cs="Arial" w:eastAsia="Arial" w:hAnsi="Arial"/>
                <w:sz w:val="16"/>
                <w:szCs w:val="16"/>
                <w:b w:val="1"/>
                <w:bCs w:val="1"/>
                <w:color w:val="0233A1"/>
              </w:rPr>
              <w:t>Name and Address</w:t>
            </w:r>
          </w:p>
        </w:tc>
        <w:tc>
          <w:tcPr>
            <w:tcW w:w="1400" w:type="dxa"/>
            <w:vAlign w:val="bottom"/>
            <w:tcBorders>
              <w:bottom w:val="single" w:sz="8" w:color="0233A1"/>
            </w:tcBorders>
          </w:tcPr>
          <w:p>
            <w:pPr>
              <w:jc w:val="right"/>
              <w:ind w:right="179"/>
              <w:spacing w:after="0"/>
              <w:rPr>
                <w:sz w:val="20"/>
                <w:szCs w:val="20"/>
                <w:color w:val="auto"/>
              </w:rPr>
            </w:pPr>
            <w:r>
              <w:rPr>
                <w:rFonts w:ascii="Arial" w:cs="Arial" w:eastAsia="Arial" w:hAnsi="Arial"/>
                <w:sz w:val="16"/>
                <w:szCs w:val="16"/>
                <w:b w:val="1"/>
                <w:bCs w:val="1"/>
                <w:color w:val="0233A1"/>
              </w:rPr>
              <w:t>Shares</w:t>
            </w:r>
          </w:p>
        </w:tc>
        <w:tc>
          <w:tcPr>
            <w:tcW w:w="1180" w:type="dxa"/>
            <w:vAlign w:val="bottom"/>
            <w:tcBorders>
              <w:bottom w:val="single" w:sz="8" w:color="0233A1"/>
            </w:tcBorders>
          </w:tcPr>
          <w:p>
            <w:pPr>
              <w:jc w:val="right"/>
              <w:spacing w:after="0"/>
              <w:rPr>
                <w:sz w:val="20"/>
                <w:szCs w:val="20"/>
                <w:color w:val="auto"/>
              </w:rPr>
            </w:pPr>
            <w:r>
              <w:rPr>
                <w:rFonts w:ascii="Arial" w:cs="Arial" w:eastAsia="Arial" w:hAnsi="Arial"/>
                <w:sz w:val="16"/>
                <w:szCs w:val="16"/>
                <w:b w:val="1"/>
                <w:bCs w:val="1"/>
                <w:color w:val="0233A1"/>
              </w:rPr>
              <w:t>of Class</w:t>
            </w:r>
          </w:p>
        </w:tc>
        <w:tc>
          <w:tcPr>
            <w:tcW w:w="0" w:type="dxa"/>
            <w:vAlign w:val="bottom"/>
          </w:tcPr>
          <w:p>
            <w:pPr>
              <w:spacing w:after="0"/>
              <w:rPr>
                <w:sz w:val="1"/>
                <w:szCs w:val="1"/>
                <w:color w:val="auto"/>
              </w:rPr>
            </w:pPr>
          </w:p>
        </w:tc>
      </w:tr>
      <w:tr>
        <w:trPr>
          <w:trHeight w:val="209"/>
        </w:trPr>
        <w:tc>
          <w:tcPr>
            <w:tcW w:w="8660" w:type="dxa"/>
            <w:vAlign w:val="bottom"/>
          </w:tcPr>
          <w:p>
            <w:pPr>
              <w:ind w:left="60"/>
              <w:spacing w:after="0" w:line="209" w:lineRule="exact"/>
              <w:rPr>
                <w:sz w:val="20"/>
                <w:szCs w:val="20"/>
                <w:color w:val="auto"/>
              </w:rPr>
            </w:pPr>
            <w:r>
              <w:rPr>
                <w:rFonts w:ascii="Arial" w:cs="Arial" w:eastAsia="Arial" w:hAnsi="Arial"/>
                <w:sz w:val="15"/>
                <w:szCs w:val="15"/>
                <w:color w:val="auto"/>
              </w:rPr>
              <w:t>The Vanguard Group</w:t>
            </w:r>
            <w:r>
              <w:rPr>
                <w:rFonts w:ascii="Arial" w:cs="Arial" w:eastAsia="Arial" w:hAnsi="Arial"/>
                <w:sz w:val="24"/>
                <w:szCs w:val="24"/>
                <w:color w:val="auto"/>
                <w:vertAlign w:val="superscript"/>
              </w:rPr>
              <w:t>(1)</w:t>
            </w:r>
          </w:p>
        </w:tc>
        <w:tc>
          <w:tcPr>
            <w:tcW w:w="1400" w:type="dxa"/>
            <w:vAlign w:val="bottom"/>
          </w:tcPr>
          <w:p>
            <w:pPr>
              <w:jc w:val="right"/>
              <w:ind w:right="179"/>
              <w:spacing w:after="0"/>
              <w:rPr>
                <w:sz w:val="20"/>
                <w:szCs w:val="20"/>
                <w:color w:val="auto"/>
              </w:rPr>
            </w:pPr>
            <w:r>
              <w:rPr>
                <w:rFonts w:ascii="Arial" w:cs="Arial" w:eastAsia="Arial" w:hAnsi="Arial"/>
                <w:sz w:val="16"/>
                <w:szCs w:val="16"/>
                <w:color w:val="auto"/>
              </w:rPr>
              <w:t>132,254,196</w:t>
            </w:r>
          </w:p>
        </w:tc>
        <w:tc>
          <w:tcPr>
            <w:tcW w:w="1180" w:type="dxa"/>
            <w:vAlign w:val="bottom"/>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189"/>
        </w:trPr>
        <w:tc>
          <w:tcPr>
            <w:tcW w:w="8660" w:type="dxa"/>
            <w:vAlign w:val="bottom"/>
          </w:tcPr>
          <w:p>
            <w:pPr>
              <w:ind w:left="60"/>
              <w:spacing w:after="0"/>
              <w:rPr>
                <w:sz w:val="20"/>
                <w:szCs w:val="20"/>
                <w:color w:val="auto"/>
              </w:rPr>
            </w:pPr>
            <w:r>
              <w:rPr>
                <w:rFonts w:ascii="Arial" w:cs="Arial" w:eastAsia="Arial" w:hAnsi="Arial"/>
                <w:sz w:val="16"/>
                <w:szCs w:val="16"/>
                <w:color w:val="auto"/>
              </w:rPr>
              <w:t>100 Vanguard Blvd.</w:t>
            </w:r>
          </w:p>
        </w:tc>
        <w:tc>
          <w:tcPr>
            <w:tcW w:w="1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660" w:type="dxa"/>
            <w:vAlign w:val="bottom"/>
          </w:tcPr>
          <w:p>
            <w:pPr>
              <w:ind w:left="60"/>
              <w:spacing w:after="0"/>
              <w:rPr>
                <w:sz w:val="20"/>
                <w:szCs w:val="20"/>
                <w:color w:val="auto"/>
              </w:rPr>
            </w:pPr>
            <w:r>
              <w:rPr>
                <w:rFonts w:ascii="Arial" w:cs="Arial" w:eastAsia="Arial" w:hAnsi="Arial"/>
                <w:sz w:val="16"/>
                <w:szCs w:val="16"/>
                <w:color w:val="auto"/>
              </w:rPr>
              <w:t>Malvern, PA 19355</w:t>
            </w:r>
          </w:p>
        </w:tc>
        <w:tc>
          <w:tcPr>
            <w:tcW w:w="1400" w:type="dxa"/>
            <w:vAlign w:val="bottom"/>
            <w:vMerge w:val="restart"/>
          </w:tcPr>
          <w:p>
            <w:pPr>
              <w:jc w:val="right"/>
              <w:ind w:right="179"/>
              <w:spacing w:after="0"/>
              <w:rPr>
                <w:sz w:val="20"/>
                <w:szCs w:val="20"/>
                <w:color w:val="auto"/>
              </w:rPr>
            </w:pPr>
            <w:r>
              <w:rPr>
                <w:rFonts w:ascii="Arial" w:cs="Arial" w:eastAsia="Arial" w:hAnsi="Arial"/>
                <w:sz w:val="16"/>
                <w:szCs w:val="16"/>
                <w:color w:val="auto"/>
              </w:rPr>
              <w:t>108,344,912</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28"/>
        </w:trPr>
        <w:tc>
          <w:tcPr>
            <w:tcW w:w="8660" w:type="dxa"/>
            <w:vAlign w:val="bottom"/>
          </w:tcPr>
          <w:p>
            <w:pPr>
              <w:ind w:left="60"/>
              <w:spacing w:after="0" w:line="228" w:lineRule="exact"/>
              <w:rPr>
                <w:sz w:val="20"/>
                <w:szCs w:val="20"/>
                <w:color w:val="auto"/>
              </w:rPr>
            </w:pPr>
            <w:r>
              <w:rPr>
                <w:rFonts w:ascii="Arial" w:cs="Arial" w:eastAsia="Arial" w:hAnsi="Arial"/>
                <w:sz w:val="16"/>
                <w:szCs w:val="16"/>
                <w:color w:val="auto"/>
              </w:rPr>
              <w:t>BlackRock, Inc.</w:t>
            </w:r>
            <w:r>
              <w:rPr>
                <w:rFonts w:ascii="Arial" w:cs="Arial" w:eastAsia="Arial" w:hAnsi="Arial"/>
                <w:sz w:val="26"/>
                <w:szCs w:val="26"/>
                <w:color w:val="auto"/>
                <w:vertAlign w:val="superscript"/>
              </w:rPr>
              <w:t>(2)</w:t>
            </w:r>
          </w:p>
        </w:tc>
        <w:tc>
          <w:tcPr>
            <w:tcW w:w="140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660" w:type="dxa"/>
            <w:vAlign w:val="bottom"/>
          </w:tcPr>
          <w:p>
            <w:pPr>
              <w:ind w:left="60"/>
              <w:spacing w:after="0"/>
              <w:rPr>
                <w:sz w:val="20"/>
                <w:szCs w:val="20"/>
                <w:color w:val="auto"/>
              </w:rPr>
            </w:pPr>
            <w:r>
              <w:rPr>
                <w:rFonts w:ascii="Arial" w:cs="Arial" w:eastAsia="Arial" w:hAnsi="Arial"/>
                <w:sz w:val="16"/>
                <w:szCs w:val="16"/>
                <w:color w:val="auto"/>
              </w:rPr>
              <w:t>55 East 52nd Street</w:t>
            </w:r>
          </w:p>
        </w:tc>
        <w:tc>
          <w:tcPr>
            <w:tcW w:w="1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660" w:type="dxa"/>
            <w:vAlign w:val="bottom"/>
          </w:tcPr>
          <w:p>
            <w:pPr>
              <w:ind w:left="60"/>
              <w:spacing w:after="0"/>
              <w:rPr>
                <w:sz w:val="20"/>
                <w:szCs w:val="20"/>
                <w:color w:val="auto"/>
              </w:rPr>
            </w:pPr>
            <w:r>
              <w:rPr>
                <w:rFonts w:ascii="Arial" w:cs="Arial" w:eastAsia="Arial" w:hAnsi="Arial"/>
                <w:sz w:val="16"/>
                <w:szCs w:val="16"/>
                <w:color w:val="auto"/>
              </w:rPr>
              <w:t>New York, NY 10055</w:t>
            </w:r>
          </w:p>
        </w:tc>
        <w:tc>
          <w:tcPr>
            <w:tcW w:w="1400" w:type="dxa"/>
            <w:vAlign w:val="bottom"/>
            <w:vMerge w:val="restart"/>
          </w:tcPr>
          <w:p>
            <w:pPr>
              <w:jc w:val="right"/>
              <w:ind w:right="179"/>
              <w:spacing w:after="0"/>
              <w:rPr>
                <w:sz w:val="20"/>
                <w:szCs w:val="20"/>
                <w:color w:val="auto"/>
              </w:rPr>
            </w:pPr>
            <w:r>
              <w:rPr>
                <w:rFonts w:ascii="Arial" w:cs="Arial" w:eastAsia="Arial" w:hAnsi="Arial"/>
                <w:sz w:val="16"/>
                <w:szCs w:val="16"/>
                <w:color w:val="auto"/>
              </w:rPr>
              <w:t>84,804,647</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28"/>
        </w:trPr>
        <w:tc>
          <w:tcPr>
            <w:tcW w:w="8660" w:type="dxa"/>
            <w:vAlign w:val="bottom"/>
          </w:tcPr>
          <w:p>
            <w:pPr>
              <w:ind w:left="60"/>
              <w:spacing w:after="0" w:line="228" w:lineRule="exact"/>
              <w:rPr>
                <w:sz w:val="20"/>
                <w:szCs w:val="20"/>
                <w:color w:val="auto"/>
              </w:rPr>
            </w:pPr>
            <w:r>
              <w:rPr>
                <w:rFonts w:ascii="Arial" w:cs="Arial" w:eastAsia="Arial" w:hAnsi="Arial"/>
                <w:sz w:val="16"/>
                <w:szCs w:val="16"/>
                <w:color w:val="auto"/>
              </w:rPr>
              <w:t>State Street Corporation</w:t>
            </w:r>
            <w:r>
              <w:rPr>
                <w:rFonts w:ascii="Arial" w:cs="Arial" w:eastAsia="Arial" w:hAnsi="Arial"/>
                <w:sz w:val="26"/>
                <w:szCs w:val="26"/>
                <w:color w:val="auto"/>
                <w:vertAlign w:val="superscript"/>
              </w:rPr>
              <w:t>(3)</w:t>
            </w:r>
          </w:p>
        </w:tc>
        <w:tc>
          <w:tcPr>
            <w:tcW w:w="140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660" w:type="dxa"/>
            <w:vAlign w:val="bottom"/>
          </w:tcPr>
          <w:p>
            <w:pPr>
              <w:ind w:left="60"/>
              <w:spacing w:after="0"/>
              <w:rPr>
                <w:sz w:val="20"/>
                <w:szCs w:val="20"/>
                <w:color w:val="auto"/>
              </w:rPr>
            </w:pPr>
            <w:r>
              <w:rPr>
                <w:rFonts w:ascii="Arial" w:cs="Arial" w:eastAsia="Arial" w:hAnsi="Arial"/>
                <w:sz w:val="16"/>
                <w:szCs w:val="16"/>
                <w:color w:val="auto"/>
              </w:rPr>
              <w:t>State Street Financial Center</w:t>
            </w:r>
          </w:p>
        </w:tc>
        <w:tc>
          <w:tcPr>
            <w:tcW w:w="1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60" w:type="dxa"/>
            <w:vAlign w:val="bottom"/>
          </w:tcPr>
          <w:p>
            <w:pPr>
              <w:ind w:left="60"/>
              <w:spacing w:after="0"/>
              <w:rPr>
                <w:sz w:val="20"/>
                <w:szCs w:val="20"/>
                <w:color w:val="auto"/>
              </w:rPr>
            </w:pPr>
            <w:r>
              <w:rPr>
                <w:rFonts w:ascii="Arial" w:cs="Arial" w:eastAsia="Arial" w:hAnsi="Arial"/>
                <w:sz w:val="16"/>
                <w:szCs w:val="16"/>
                <w:color w:val="auto"/>
              </w:rPr>
              <w:t>One Lincoln Street</w:t>
            </w:r>
          </w:p>
        </w:tc>
        <w:tc>
          <w:tcPr>
            <w:tcW w:w="1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660" w:type="dxa"/>
            <w:vAlign w:val="bottom"/>
          </w:tcPr>
          <w:p>
            <w:pPr>
              <w:ind w:left="60"/>
              <w:spacing w:after="0"/>
              <w:rPr>
                <w:sz w:val="20"/>
                <w:szCs w:val="20"/>
                <w:color w:val="auto"/>
              </w:rPr>
            </w:pPr>
            <w:r>
              <w:rPr>
                <w:rFonts w:ascii="Arial" w:cs="Arial" w:eastAsia="Arial" w:hAnsi="Arial"/>
                <w:sz w:val="16"/>
                <w:szCs w:val="16"/>
                <w:color w:val="auto"/>
              </w:rPr>
              <w:t>Boston, MA 02111</w:t>
            </w:r>
          </w:p>
        </w:tc>
        <w:tc>
          <w:tcPr>
            <w:tcW w:w="1400" w:type="dxa"/>
            <w:vAlign w:val="bottom"/>
            <w:vMerge w:val="restart"/>
          </w:tcPr>
          <w:p>
            <w:pPr>
              <w:jc w:val="right"/>
              <w:ind w:right="179"/>
              <w:spacing w:after="0"/>
              <w:rPr>
                <w:sz w:val="20"/>
                <w:szCs w:val="20"/>
                <w:color w:val="auto"/>
              </w:rPr>
            </w:pPr>
            <w:r>
              <w:rPr>
                <w:rFonts w:ascii="Arial" w:cs="Arial" w:eastAsia="Arial" w:hAnsi="Arial"/>
                <w:sz w:val="16"/>
                <w:szCs w:val="16"/>
                <w:color w:val="auto"/>
              </w:rPr>
              <w:t>75,431,801</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28"/>
        </w:trPr>
        <w:tc>
          <w:tcPr>
            <w:tcW w:w="8660" w:type="dxa"/>
            <w:vAlign w:val="bottom"/>
          </w:tcPr>
          <w:p>
            <w:pPr>
              <w:ind w:left="60"/>
              <w:spacing w:after="0" w:line="228" w:lineRule="exact"/>
              <w:rPr>
                <w:sz w:val="20"/>
                <w:szCs w:val="20"/>
                <w:color w:val="auto"/>
              </w:rPr>
            </w:pPr>
            <w:r>
              <w:rPr>
                <w:rFonts w:ascii="Arial" w:cs="Arial" w:eastAsia="Arial" w:hAnsi="Arial"/>
                <w:sz w:val="16"/>
                <w:szCs w:val="16"/>
                <w:color w:val="auto"/>
              </w:rPr>
              <w:t>T. Rowe Price Associates, Inc.</w:t>
            </w:r>
            <w:r>
              <w:rPr>
                <w:rFonts w:ascii="Arial" w:cs="Arial" w:eastAsia="Arial" w:hAnsi="Arial"/>
                <w:sz w:val="26"/>
                <w:szCs w:val="26"/>
                <w:color w:val="auto"/>
                <w:vertAlign w:val="superscript"/>
              </w:rPr>
              <w:t>(4)</w:t>
            </w:r>
          </w:p>
        </w:tc>
        <w:tc>
          <w:tcPr>
            <w:tcW w:w="140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660" w:type="dxa"/>
            <w:vAlign w:val="bottom"/>
          </w:tcPr>
          <w:p>
            <w:pPr>
              <w:ind w:left="60"/>
              <w:spacing w:after="0"/>
              <w:rPr>
                <w:sz w:val="20"/>
                <w:szCs w:val="20"/>
                <w:color w:val="auto"/>
              </w:rPr>
            </w:pPr>
            <w:r>
              <w:rPr>
                <w:rFonts w:ascii="Arial" w:cs="Arial" w:eastAsia="Arial" w:hAnsi="Arial"/>
                <w:sz w:val="16"/>
                <w:szCs w:val="16"/>
                <w:color w:val="auto"/>
              </w:rPr>
              <w:t>100 E. Pratt Street</w:t>
            </w:r>
          </w:p>
        </w:tc>
        <w:tc>
          <w:tcPr>
            <w:tcW w:w="1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660" w:type="dxa"/>
            <w:vAlign w:val="bottom"/>
            <w:tcBorders>
              <w:bottom w:val="single" w:sz="8" w:color="0233A1"/>
            </w:tcBorders>
          </w:tcPr>
          <w:p>
            <w:pPr>
              <w:ind w:left="60"/>
              <w:spacing w:after="0"/>
              <w:rPr>
                <w:sz w:val="20"/>
                <w:szCs w:val="20"/>
                <w:color w:val="auto"/>
              </w:rPr>
            </w:pPr>
            <w:r>
              <w:rPr>
                <w:rFonts w:ascii="Arial" w:cs="Arial" w:eastAsia="Arial" w:hAnsi="Arial"/>
                <w:sz w:val="16"/>
                <w:szCs w:val="16"/>
                <w:color w:val="auto"/>
              </w:rPr>
              <w:t>Baltimore, MD 21202</w:t>
            </w:r>
          </w:p>
        </w:tc>
        <w:tc>
          <w:tcPr>
            <w:tcW w:w="1400" w:type="dxa"/>
            <w:vAlign w:val="bottom"/>
            <w:tcBorders>
              <w:bottom w:val="single" w:sz="8" w:color="0233A1"/>
            </w:tcBorders>
          </w:tcPr>
          <w:p>
            <w:pPr>
              <w:spacing w:after="0"/>
              <w:rPr>
                <w:sz w:val="18"/>
                <w:szCs w:val="18"/>
                <w:color w:val="auto"/>
              </w:rPr>
            </w:pPr>
          </w:p>
        </w:tc>
        <w:tc>
          <w:tcPr>
            <w:tcW w:w="1180" w:type="dxa"/>
            <w:vAlign w:val="bottom"/>
            <w:tcBorders>
              <w:bottom w:val="single" w:sz="8" w:color="0233A1"/>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-925195</wp:posOffset>
            </wp:positionV>
            <wp:extent cx="713232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-1319530</wp:posOffset>
            </wp:positionV>
            <wp:extent cx="713232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 w:lineRule="exact"/>
        <w:rPr>
          <w:sz w:val="20"/>
          <w:szCs w:val="20"/>
          <w:color w:val="auto"/>
        </w:rPr>
      </w:pPr>
    </w:p>
    <w:p>
      <w:pPr>
        <w:ind w:left="380" w:right="20" w:hanging="318"/>
        <w:spacing w:after="0" w:line="281" w:lineRule="auto"/>
        <w:tabs>
          <w:tab w:leader="none" w:pos="3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Based solely on a Statement on Schedule 13G/A filed on February 13, 2024. This filing indicates that The Vanguard Group has shared voting power with respect to 1,731,905 shares, sole investment power with respect to 126,446,801 shares and shared investment power with respect to 5,807,395 shares.</w:t>
      </w:r>
    </w:p>
    <w:p>
      <w:pPr>
        <w:spacing w:after="0" w:line="1" w:lineRule="exact"/>
        <w:rPr>
          <w:rFonts w:ascii="Arial" w:cs="Arial" w:eastAsia="Arial" w:hAnsi="Arial"/>
          <w:sz w:val="14"/>
          <w:szCs w:val="14"/>
          <w:color w:val="auto"/>
        </w:rPr>
      </w:pPr>
    </w:p>
    <w:p>
      <w:pPr>
        <w:ind w:left="380" w:hanging="318"/>
        <w:spacing w:after="0" w:line="281" w:lineRule="auto"/>
        <w:tabs>
          <w:tab w:leader="none" w:pos="3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Based solely on a Statement on Schedule 13G/A filed on February 6, 2024. This filing indicates that BlackRock, Inc. has sole voting power with respect to 98,480,988 shares and sole investment power with respect to 108,344,912 shares.</w:t>
      </w:r>
    </w:p>
    <w:p>
      <w:pPr>
        <w:spacing w:after="0" w:line="1" w:lineRule="exact"/>
        <w:rPr>
          <w:rFonts w:ascii="Arial" w:cs="Arial" w:eastAsia="Arial" w:hAnsi="Arial"/>
          <w:sz w:val="14"/>
          <w:szCs w:val="14"/>
          <w:color w:val="auto"/>
        </w:rPr>
      </w:pPr>
    </w:p>
    <w:p>
      <w:pPr>
        <w:ind w:left="380" w:hanging="318"/>
        <w:spacing w:after="0" w:line="281" w:lineRule="auto"/>
        <w:tabs>
          <w:tab w:leader="none" w:pos="3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Based solely on a Statement on Schedule 13G/A filed on January 30, 2024. This filing indicates that State Street Corporation has shared voting power with respect to 60,557,091 shares and shared investment power with respect to 84,755,731 shares.</w:t>
      </w:r>
    </w:p>
    <w:p>
      <w:pPr>
        <w:spacing w:after="0" w:line="1" w:lineRule="exact"/>
        <w:rPr>
          <w:rFonts w:ascii="Arial" w:cs="Arial" w:eastAsia="Arial" w:hAnsi="Arial"/>
          <w:sz w:val="14"/>
          <w:szCs w:val="14"/>
          <w:color w:val="auto"/>
        </w:rPr>
      </w:pPr>
    </w:p>
    <w:p>
      <w:pPr>
        <w:ind w:left="380" w:hanging="318"/>
        <w:spacing w:after="0" w:line="285" w:lineRule="auto"/>
        <w:tabs>
          <w:tab w:leader="none" w:pos="3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Based solely on a Statement on Schedule 13G filed on February 14, 2024. This filing indicates that T. Rowe Price Associates, Inc. has sole voting power with respect to 37,240,226 shares and sole investment power with respect to 75,303,985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471170" cy="28257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471170" cy="28257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both"/>
        <w:ind w:left="5540"/>
        <w:spacing w:after="0"/>
        <w:tabs>
          <w:tab w:leader="none" w:pos="9540" w:val="left"/>
        </w:tabs>
        <w:rPr>
          <w:sz w:val="20"/>
          <w:szCs w:val="20"/>
          <w:color w:val="auto"/>
        </w:rPr>
      </w:pPr>
      <w:r>
        <w:rPr>
          <w:rFonts w:ascii="Arial" w:cs="Arial" w:eastAsia="Arial" w:hAnsi="Arial"/>
          <w:sz w:val="16"/>
          <w:szCs w:val="16"/>
          <w:b w:val="1"/>
          <w:bCs w:val="1"/>
          <w:color w:val="auto"/>
        </w:rPr>
        <w:t>30</w:t>
      </w:r>
      <w:r>
        <w:rPr>
          <w:sz w:val="20"/>
          <w:szCs w:val="20"/>
          <w:color w:val="auto"/>
        </w:rPr>
        <w:tab/>
      </w:r>
      <w:r>
        <w:rPr>
          <w:rFonts w:ascii="Arial" w:cs="Arial" w:eastAsia="Arial" w:hAnsi="Arial"/>
          <w:sz w:val="16"/>
          <w:szCs w:val="16"/>
          <w:b w:val="1"/>
          <w:bCs w:val="1"/>
          <w:color w:val="636466"/>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-29845</wp:posOffset>
            </wp:positionV>
            <wp:extent cx="5417820"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342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7" w:lineRule="exact"/>
        <w:rPr>
          <w:sz w:val="20"/>
          <w:szCs w:val="20"/>
          <w:color w:val="auto"/>
        </w:rPr>
      </w:pPr>
    </w:p>
    <w:p>
      <w:pPr>
        <w:ind w:left="1980" w:right="1260" w:hanging="1979"/>
        <w:spacing w:after="0" w:line="282" w:lineRule="auto"/>
        <w:rPr>
          <w:sz w:val="20"/>
          <w:szCs w:val="20"/>
          <w:color w:val="auto"/>
        </w:rPr>
      </w:pPr>
      <w:r>
        <w:rPr>
          <w:rFonts w:ascii="Arial" w:cs="Arial" w:eastAsia="Arial" w:hAnsi="Arial"/>
          <w:sz w:val="50"/>
          <w:szCs w:val="50"/>
          <w:b w:val="1"/>
          <w:bCs w:val="1"/>
          <w:color w:val="0233A1"/>
        </w:rPr>
        <w:t xml:space="preserve">ITEM 2. </w:t>
      </w:r>
      <w:r>
        <w:rPr>
          <w:rFonts w:ascii="Arial" w:cs="Arial" w:eastAsia="Arial" w:hAnsi="Arial"/>
          <w:sz w:val="50"/>
          <w:szCs w:val="50"/>
          <w:color w:val="0233A1"/>
        </w:rPr>
        <w:t>Advisory Approval of Our Executive</w:t>
      </w:r>
      <w:r>
        <w:rPr>
          <w:rFonts w:ascii="Arial" w:cs="Arial" w:eastAsia="Arial" w:hAnsi="Arial"/>
          <w:sz w:val="50"/>
          <w:szCs w:val="50"/>
          <w:b w:val="1"/>
          <w:bCs w:val="1"/>
          <w:color w:val="0233A1"/>
        </w:rPr>
        <w:t xml:space="preserve"> </w:t>
      </w:r>
      <w:r>
        <w:rPr>
          <w:rFonts w:ascii="Arial" w:cs="Arial" w:eastAsia="Arial" w:hAnsi="Arial"/>
          <w:sz w:val="50"/>
          <w:szCs w:val="50"/>
          <w:color w:val="0233A1"/>
        </w:rPr>
        <w:t>Compensation</w:t>
      </w:r>
    </w:p>
    <w:p>
      <w:pPr>
        <w:spacing w:after="0" w:line="263"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Our Board is asking you to approve, on an advisory basis, the compensation of our NEOs as disclosed in this proxy statement. This item, which is provided pursuant to Section 14A of the Exchange Act, is commonly referred to as a “say-on-pay” resolution.</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Compensation Committee has structured our executive compensation program to achieve the following key objectives:</w:t>
      </w:r>
    </w:p>
    <w:p>
      <w:pPr>
        <w:spacing w:after="0" w:line="194" w:lineRule="exact"/>
        <w:rPr>
          <w:sz w:val="20"/>
          <w:szCs w:val="20"/>
          <w:color w:val="auto"/>
        </w:rPr>
      </w:pPr>
    </w:p>
    <w:p>
      <w:pPr>
        <w:ind w:left="500" w:hanging="168"/>
        <w:spacing w:after="0"/>
        <w:tabs>
          <w:tab w:leader="none" w:pos="500" w:val="left"/>
        </w:tabs>
        <w:numPr>
          <w:ilvl w:val="0"/>
          <w:numId w:val="28"/>
        </w:numPr>
        <w:rPr>
          <w:rFonts w:ascii="Arial" w:cs="Arial" w:eastAsia="Arial" w:hAnsi="Arial"/>
          <w:sz w:val="16"/>
          <w:szCs w:val="16"/>
          <w:b w:val="1"/>
          <w:bCs w:val="1"/>
          <w:color w:val="0233A1"/>
        </w:rPr>
      </w:pPr>
      <w:r>
        <w:rPr>
          <w:rFonts w:ascii="Arial" w:cs="Arial" w:eastAsia="Arial" w:hAnsi="Arial"/>
          <w:sz w:val="16"/>
          <w:szCs w:val="16"/>
          <w:color w:val="auto"/>
        </w:rPr>
        <w:t>to attract, motivate, and retain talented executive officers,</w:t>
      </w:r>
    </w:p>
    <w:p>
      <w:pPr>
        <w:spacing w:after="0" w:line="140" w:lineRule="exact"/>
        <w:rPr>
          <w:rFonts w:ascii="Arial" w:cs="Arial" w:eastAsia="Arial" w:hAnsi="Arial"/>
          <w:sz w:val="16"/>
          <w:szCs w:val="16"/>
          <w:b w:val="1"/>
          <w:bCs w:val="1"/>
          <w:color w:val="0233A1"/>
        </w:rPr>
      </w:pPr>
    </w:p>
    <w:p>
      <w:pPr>
        <w:ind w:left="500" w:right="20" w:hanging="168"/>
        <w:spacing w:after="0" w:line="286" w:lineRule="auto"/>
        <w:tabs>
          <w:tab w:leader="none" w:pos="500" w:val="left"/>
        </w:tabs>
        <w:numPr>
          <w:ilvl w:val="0"/>
          <w:numId w:val="28"/>
        </w:numPr>
        <w:rPr>
          <w:rFonts w:ascii="Arial" w:cs="Arial" w:eastAsia="Arial" w:hAnsi="Arial"/>
          <w:sz w:val="16"/>
          <w:szCs w:val="16"/>
          <w:b w:val="1"/>
          <w:bCs w:val="1"/>
          <w:color w:val="0233A1"/>
        </w:rPr>
      </w:pPr>
      <w:r>
        <w:rPr>
          <w:rFonts w:ascii="Arial" w:cs="Arial" w:eastAsia="Arial" w:hAnsi="Arial"/>
          <w:sz w:val="16"/>
          <w:szCs w:val="16"/>
          <w:color w:val="auto"/>
        </w:rPr>
        <w:t>to motivate the achievement of companywide financial objectives, as well as other strategic objectives, while balancing rewards for short-term and long-term performance, and</w:t>
      </w:r>
    </w:p>
    <w:p>
      <w:pPr>
        <w:spacing w:after="0" w:line="20" w:lineRule="exact"/>
        <w:rPr>
          <w:rFonts w:ascii="Arial" w:cs="Arial" w:eastAsia="Arial" w:hAnsi="Arial"/>
          <w:sz w:val="16"/>
          <w:szCs w:val="16"/>
          <w:b w:val="1"/>
          <w:bCs w:val="1"/>
          <w:color w:val="0233A1"/>
        </w:rPr>
      </w:pPr>
    </w:p>
    <w:p>
      <w:pPr>
        <w:ind w:left="500" w:hanging="168"/>
        <w:spacing w:after="0"/>
        <w:tabs>
          <w:tab w:leader="none" w:pos="500" w:val="left"/>
        </w:tabs>
        <w:numPr>
          <w:ilvl w:val="0"/>
          <w:numId w:val="28"/>
        </w:numPr>
        <w:rPr>
          <w:rFonts w:ascii="Arial" w:cs="Arial" w:eastAsia="Arial" w:hAnsi="Arial"/>
          <w:sz w:val="16"/>
          <w:szCs w:val="16"/>
          <w:b w:val="1"/>
          <w:bCs w:val="1"/>
          <w:color w:val="0233A1"/>
        </w:rPr>
      </w:pPr>
      <w:r>
        <w:rPr>
          <w:rFonts w:ascii="Arial" w:cs="Arial" w:eastAsia="Arial" w:hAnsi="Arial"/>
          <w:sz w:val="16"/>
          <w:szCs w:val="16"/>
          <w:color w:val="auto"/>
        </w:rPr>
        <w:t>to align the interests of our executive officers with those of our shareholders,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each as described in the “Compensation Discussion and Analysis” section of this proxy statement.</w:t>
      </w:r>
    </w:p>
    <w:p>
      <w:pPr>
        <w:spacing w:after="0" w:line="1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Our Compensation Committee and the Board believe that the policies and procedures articulated in the “Compensation Discussion and Analysis” are effective in achieving our goals, and that the compensation of our NEOs, as reported in this proxy statement, has contributed to SLB’s short-term and long-term success. Therefore, we are asking our shareholders to approve the compensation of our NEOs by voting “FOR” the following resolution on an advisory basis:</w:t>
      </w:r>
    </w:p>
    <w:p>
      <w:pPr>
        <w:spacing w:after="0" w:line="151" w:lineRule="exact"/>
        <w:rPr>
          <w:sz w:val="20"/>
          <w:szCs w:val="20"/>
          <w:color w:val="auto"/>
        </w:rPr>
      </w:pPr>
    </w:p>
    <w:p>
      <w:pPr>
        <w:jc w:val="both"/>
        <w:ind w:left="660" w:right="660" w:firstLine="324"/>
        <w:spacing w:after="0" w:line="266" w:lineRule="auto"/>
        <w:rPr>
          <w:sz w:val="20"/>
          <w:szCs w:val="20"/>
          <w:color w:val="auto"/>
        </w:rPr>
      </w:pPr>
      <w:r>
        <w:rPr>
          <w:rFonts w:ascii="Arial" w:cs="Arial" w:eastAsia="Arial" w:hAnsi="Arial"/>
          <w:sz w:val="16"/>
          <w:szCs w:val="16"/>
          <w:color w:val="auto"/>
        </w:rPr>
        <w:t>RESOLVED, that the compensation paid to Schlumberger Limited’s named executive officers, as disclosed in this proxy statement, including the Compensation Discussion and Analysis, compensation tables and narrative discussion, is hereby APPROVED on an advisory basis.</w:t>
      </w:r>
    </w:p>
    <w:p>
      <w:pPr>
        <w:spacing w:after="0" w:line="144"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6"/>
          <w:szCs w:val="16"/>
          <w:color w:val="auto"/>
        </w:rPr>
        <w:t>This vote is non-binding, but our Board and the Compensation Committee will review and consider the voting results when making future decisions regarding our executive compensation program.</w:t>
      </w:r>
    </w:p>
    <w:p>
      <w:pPr>
        <w:spacing w:after="0" w:line="12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6"/>
          <w:szCs w:val="16"/>
          <w:color w:val="auto"/>
        </w:rPr>
        <w:t>At our 2023 AGM, our shareholders supported, on an advisory basis, the Board’s proposal that the say-on-pay advisory vote occur on an annual basis. Although annual say-on-pay advisory votes are not required by our bylaws, the Board currently believes that having our shareholders provide annual feedback on our compensation practices supports effective governance. As a result, our proxy statement for our 2025 AGM will include a say-on-pay advisory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7132320" cy="47180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32320" cy="47180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720"/>
        <w:spacing w:after="0"/>
        <w:rPr>
          <w:sz w:val="20"/>
          <w:szCs w:val="20"/>
          <w:color w:val="auto"/>
        </w:rPr>
      </w:pPr>
      <w:r>
        <w:rPr>
          <w:rFonts w:ascii="Arial" w:cs="Arial" w:eastAsia="Arial" w:hAnsi="Arial"/>
          <w:sz w:val="25"/>
          <w:szCs w:val="25"/>
          <w:color w:val="FFFFFF"/>
        </w:rPr>
        <w:t xml:space="preserve">The Board of Directors recommends a vote </w:t>
      </w:r>
      <w:r>
        <w:rPr>
          <w:rFonts w:ascii="Arial" w:cs="Arial" w:eastAsia="Arial" w:hAnsi="Arial"/>
          <w:sz w:val="25"/>
          <w:szCs w:val="25"/>
          <w:b w:val="1"/>
          <w:bCs w:val="1"/>
          <w:color w:val="FFFFFF"/>
        </w:rPr>
        <w:t>FOR</w:t>
      </w:r>
      <w:r>
        <w:rPr>
          <w:rFonts w:ascii="Arial" w:cs="Arial" w:eastAsia="Arial" w:hAnsi="Arial"/>
          <w:sz w:val="25"/>
          <w:szCs w:val="25"/>
          <w:color w:val="FFFFFF"/>
        </w:rPr>
        <w:t xml:space="preserve"> this Item 2.</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9"/>
          <w:szCs w:val="29"/>
          <w:color w:val="0233A1"/>
        </w:rPr>
        <w:t>Compensation Committee Report</w:t>
      </w:r>
    </w:p>
    <w:p>
      <w:pPr>
        <w:spacing w:after="0" w:line="21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The Compensation Committee has reviewed and discussed the Compensation Discussion and Analysis with SLB’s management. Based on that review and discussion, the Compensation Committee recommended to the Board of Directors that the Compensation Discussion and Analysis be included in this proxy statement.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233A1"/>
        </w:rPr>
        <w:t>Submitted by the Compensation Committee of the SLB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132080</wp:posOffset>
            </wp:positionV>
            <wp:extent cx="788670" cy="93408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88670" cy="934085"/>
                    </a:xfrm>
                    <a:prstGeom prst="rect">
                      <a:avLst/>
                    </a:prstGeom>
                    <a:noFill/>
                  </pic:spPr>
                </pic:pic>
              </a:graphicData>
            </a:graphic>
          </wp:anchor>
        </w:drawing>
        <w:drawing>
          <wp:anchor simplePos="0" relativeHeight="251657728" behindDoc="1" locked="0" layoutInCell="0" allowOverlap="1">
            <wp:simplePos x="0" y="0"/>
            <wp:positionH relativeFrom="column">
              <wp:posOffset>2293620</wp:posOffset>
            </wp:positionH>
            <wp:positionV relativeFrom="paragraph">
              <wp:posOffset>132080</wp:posOffset>
            </wp:positionV>
            <wp:extent cx="779780" cy="93408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79780" cy="93408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132080</wp:posOffset>
            </wp:positionV>
            <wp:extent cx="779780" cy="93408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79780" cy="93408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132080</wp:posOffset>
            </wp:positionV>
            <wp:extent cx="780415" cy="93408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80415" cy="934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00" w:type="dxa"/>
            <w:vAlign w:val="bottom"/>
            <w:gridSpan w:val="2"/>
          </w:tcPr>
          <w:p>
            <w:pPr>
              <w:ind w:left="760"/>
              <w:spacing w:after="0"/>
              <w:rPr>
                <w:sz w:val="20"/>
                <w:szCs w:val="20"/>
                <w:color w:val="auto"/>
              </w:rPr>
            </w:pPr>
            <w:r>
              <w:rPr>
                <w:rFonts w:ascii="Arial" w:cs="Arial" w:eastAsia="Arial" w:hAnsi="Arial"/>
                <w:sz w:val="16"/>
                <w:szCs w:val="16"/>
                <w:color w:val="auto"/>
              </w:rPr>
              <w:t>Jeff Sheets, Chair</w:t>
            </w:r>
          </w:p>
        </w:tc>
        <w:tc>
          <w:tcPr>
            <w:tcW w:w="2700" w:type="dxa"/>
            <w:vAlign w:val="bottom"/>
          </w:tcPr>
          <w:p>
            <w:pPr>
              <w:ind w:left="660"/>
              <w:spacing w:after="0"/>
              <w:rPr>
                <w:sz w:val="20"/>
                <w:szCs w:val="20"/>
                <w:color w:val="auto"/>
              </w:rPr>
            </w:pPr>
            <w:r>
              <w:rPr>
                <w:rFonts w:ascii="Arial" w:cs="Arial" w:eastAsia="Arial" w:hAnsi="Arial"/>
                <w:sz w:val="16"/>
                <w:szCs w:val="16"/>
                <w:color w:val="auto"/>
              </w:rPr>
              <w:t>Maria Moræus Hanssen</w:t>
            </w:r>
          </w:p>
        </w:tc>
        <w:tc>
          <w:tcPr>
            <w:tcW w:w="460" w:type="dxa"/>
            <w:vAlign w:val="bottom"/>
          </w:tcPr>
          <w:p>
            <w:pPr>
              <w:spacing w:after="0"/>
              <w:rPr>
                <w:sz w:val="18"/>
                <w:szCs w:val="18"/>
                <w:color w:val="auto"/>
              </w:rPr>
            </w:pPr>
          </w:p>
        </w:tc>
        <w:tc>
          <w:tcPr>
            <w:tcW w:w="2580" w:type="dxa"/>
            <w:vAlign w:val="bottom"/>
          </w:tcPr>
          <w:p>
            <w:pPr>
              <w:ind w:left="480"/>
              <w:spacing w:after="0"/>
              <w:rPr>
                <w:sz w:val="20"/>
                <w:szCs w:val="20"/>
                <w:color w:val="auto"/>
              </w:rPr>
            </w:pPr>
            <w:r>
              <w:rPr>
                <w:rFonts w:ascii="Arial" w:cs="Arial" w:eastAsia="Arial" w:hAnsi="Arial"/>
                <w:sz w:val="16"/>
                <w:szCs w:val="16"/>
                <w:color w:val="auto"/>
              </w:rPr>
              <w:t>Vanitha Narayanan</w:t>
            </w:r>
          </w:p>
        </w:tc>
        <w:tc>
          <w:tcPr>
            <w:tcW w:w="2800" w:type="dxa"/>
            <w:vAlign w:val="bottom"/>
            <w:gridSpan w:val="2"/>
          </w:tcPr>
          <w:p>
            <w:pPr>
              <w:ind w:left="740"/>
              <w:spacing w:after="0"/>
              <w:rPr>
                <w:sz w:val="20"/>
                <w:szCs w:val="20"/>
                <w:color w:val="auto"/>
              </w:rPr>
            </w:pPr>
            <w:r>
              <w:rPr>
                <w:rFonts w:ascii="Arial" w:cs="Arial" w:eastAsia="Arial" w:hAnsi="Arial"/>
                <w:sz w:val="16"/>
                <w:szCs w:val="16"/>
                <w:color w:val="auto"/>
              </w:rPr>
              <w:t>Ulrich Spiesshofer</w:t>
            </w:r>
          </w:p>
        </w:tc>
        <w:tc>
          <w:tcPr>
            <w:tcW w:w="0" w:type="dxa"/>
            <w:vAlign w:val="bottom"/>
          </w:tcPr>
          <w:p>
            <w:pPr>
              <w:spacing w:after="0"/>
              <w:rPr>
                <w:sz w:val="1"/>
                <w:szCs w:val="1"/>
                <w:color w:val="auto"/>
              </w:rPr>
            </w:pPr>
          </w:p>
        </w:tc>
      </w:tr>
      <w:tr>
        <w:trPr>
          <w:trHeight w:val="521"/>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2024 Proxy Statement</w:t>
            </w:r>
          </w:p>
        </w:tc>
        <w:tc>
          <w:tcPr>
            <w:tcW w:w="9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31</w:t>
            </w:r>
          </w:p>
        </w:tc>
        <w:tc>
          <w:tcPr>
            <w:tcW w:w="25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900" w:type="dxa"/>
            <w:vAlign w:val="bottom"/>
          </w:tcPr>
          <w:p>
            <w:pPr>
              <w:spacing w:after="0"/>
              <w:rPr>
                <w:sz w:val="6"/>
                <w:szCs w:val="6"/>
                <w:color w:val="auto"/>
              </w:rPr>
            </w:pPr>
          </w:p>
        </w:tc>
        <w:tc>
          <w:tcPr>
            <w:tcW w:w="27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25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27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2580" w:type="dxa"/>
            <w:vAlign w:val="bottom"/>
            <w:tcBorders>
              <w:bottom w:val="single" w:sz="8" w:color="C0C0C0"/>
            </w:tcBorders>
          </w:tcPr>
          <w:p>
            <w:pPr>
              <w:spacing w:after="0"/>
              <w:rPr>
                <w:sz w:val="24"/>
                <w:szCs w:val="24"/>
                <w:color w:val="auto"/>
              </w:rPr>
            </w:pPr>
          </w:p>
        </w:tc>
        <w:tc>
          <w:tcPr>
            <w:tcW w:w="190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-470535</wp:posOffset>
            </wp:positionV>
            <wp:extent cx="471805" cy="28321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471805" cy="28321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9" w:lineRule="exact"/>
        <w:rPr>
          <w:sz w:val="20"/>
          <w:szCs w:val="20"/>
          <w:color w:val="auto"/>
        </w:rPr>
      </w:pPr>
    </w:p>
    <w:p>
      <w:pPr>
        <w:spacing w:after="0"/>
        <w:rPr>
          <w:sz w:val="20"/>
          <w:szCs w:val="20"/>
          <w:color w:val="auto"/>
        </w:rPr>
      </w:pPr>
      <w:r>
        <w:rPr>
          <w:rFonts w:ascii="Arial" w:cs="Arial" w:eastAsia="Arial" w:hAnsi="Arial"/>
          <w:sz w:val="50"/>
          <w:szCs w:val="50"/>
          <w:color w:val="0233A1"/>
        </w:rPr>
        <w:t>Compensation Discussion and Analysis</w:t>
      </w:r>
    </w:p>
    <w:p>
      <w:pPr>
        <w:spacing w:after="0" w:line="200" w:lineRule="exact"/>
        <w:rPr>
          <w:sz w:val="20"/>
          <w:szCs w:val="20"/>
          <w:color w:val="auto"/>
        </w:rPr>
      </w:pPr>
    </w:p>
    <w:p>
      <w:pPr>
        <w:spacing w:after="0" w:line="257"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This Compensation Discussion and Analysis (</w:t>
      </w:r>
      <w:r>
        <w:rPr>
          <w:rFonts w:ascii="Arial" w:cs="Arial" w:eastAsia="Arial" w:hAnsi="Arial"/>
          <w:sz w:val="16"/>
          <w:szCs w:val="16"/>
          <w:b w:val="1"/>
          <w:bCs w:val="1"/>
          <w:color w:val="auto"/>
        </w:rPr>
        <w:t>CD&amp;A</w:t>
      </w:r>
      <w:r>
        <w:rPr>
          <w:rFonts w:ascii="Arial" w:cs="Arial" w:eastAsia="Arial" w:hAnsi="Arial"/>
          <w:sz w:val="16"/>
          <w:szCs w:val="16"/>
          <w:color w:val="auto"/>
        </w:rPr>
        <w:t>) describes our compensation policies and practices as they relate to our five named executive officers (</w:t>
      </w:r>
      <w:r>
        <w:rPr>
          <w:rFonts w:ascii="Arial" w:cs="Arial" w:eastAsia="Arial" w:hAnsi="Arial"/>
          <w:sz w:val="16"/>
          <w:szCs w:val="16"/>
          <w:b w:val="1"/>
          <w:bCs w:val="1"/>
          <w:color w:val="auto"/>
        </w:rPr>
        <w:t>NEOs</w:t>
      </w:r>
      <w:r>
        <w:rPr>
          <w:rFonts w:ascii="Arial" w:cs="Arial" w:eastAsia="Arial" w:hAnsi="Arial"/>
          <w:sz w:val="16"/>
          <w:szCs w:val="16"/>
          <w:color w:val="auto"/>
        </w:rPr>
        <w:t>) identified below. The purpose of the CD&amp;A is to explain the elements of our NEOs’ 2023 compensation, the criteria for selecting these elements, the decisions our Compensation Committee made with respect to the 2023 compensation of our NEOs, and the reasons for those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100330</wp:posOffset>
            </wp:positionV>
            <wp:extent cx="779780" cy="93472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79780" cy="934720"/>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100330</wp:posOffset>
            </wp:positionV>
            <wp:extent cx="779780" cy="93472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79780" cy="934720"/>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109220</wp:posOffset>
            </wp:positionV>
            <wp:extent cx="788670" cy="92583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88670" cy="92583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109220</wp:posOffset>
            </wp:positionV>
            <wp:extent cx="779780" cy="92583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79780" cy="92583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109220</wp:posOffset>
            </wp:positionV>
            <wp:extent cx="779780" cy="92583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79780"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1760" w:type="dxa"/>
            <w:vAlign w:val="bottom"/>
          </w:tcPr>
          <w:p>
            <w:pPr>
              <w:jc w:val="center"/>
              <w:ind w:right="399"/>
              <w:spacing w:after="0"/>
              <w:rPr>
                <w:sz w:val="20"/>
                <w:szCs w:val="20"/>
                <w:color w:val="auto"/>
              </w:rPr>
            </w:pPr>
            <w:r>
              <w:rPr>
                <w:rFonts w:ascii="Arial" w:cs="Arial" w:eastAsia="Arial" w:hAnsi="Arial"/>
                <w:sz w:val="16"/>
                <w:szCs w:val="16"/>
                <w:b w:val="1"/>
                <w:bCs w:val="1"/>
                <w:color w:val="0233A1"/>
              </w:rPr>
              <w:t>Olivier Le Peuch</w:t>
            </w:r>
          </w:p>
        </w:tc>
        <w:tc>
          <w:tcPr>
            <w:tcW w:w="2180" w:type="dxa"/>
            <w:vAlign w:val="bottom"/>
          </w:tcPr>
          <w:p>
            <w:pPr>
              <w:jc w:val="center"/>
              <w:spacing w:after="0"/>
              <w:rPr>
                <w:sz w:val="20"/>
                <w:szCs w:val="20"/>
                <w:color w:val="auto"/>
              </w:rPr>
            </w:pPr>
            <w:r>
              <w:rPr>
                <w:rFonts w:ascii="Arial" w:cs="Arial" w:eastAsia="Arial" w:hAnsi="Arial"/>
                <w:sz w:val="16"/>
                <w:szCs w:val="16"/>
                <w:b w:val="1"/>
                <w:bCs w:val="1"/>
                <w:color w:val="0233A1"/>
                <w:w w:val="99"/>
              </w:rPr>
              <w:t>Stephane Biguet</w:t>
            </w:r>
          </w:p>
        </w:tc>
        <w:tc>
          <w:tcPr>
            <w:tcW w:w="2360" w:type="dxa"/>
            <w:vAlign w:val="bottom"/>
          </w:tcPr>
          <w:p>
            <w:pPr>
              <w:jc w:val="center"/>
              <w:spacing w:after="0"/>
              <w:rPr>
                <w:sz w:val="20"/>
                <w:szCs w:val="20"/>
                <w:color w:val="auto"/>
              </w:rPr>
            </w:pPr>
            <w:r>
              <w:rPr>
                <w:rFonts w:ascii="Arial" w:cs="Arial" w:eastAsia="Arial" w:hAnsi="Arial"/>
                <w:sz w:val="16"/>
                <w:szCs w:val="16"/>
                <w:b w:val="1"/>
                <w:bCs w:val="1"/>
                <w:color w:val="0233A1"/>
              </w:rPr>
              <w:t>Khaled Al Mogharbel</w:t>
            </w:r>
          </w:p>
        </w:tc>
        <w:tc>
          <w:tcPr>
            <w:tcW w:w="2220" w:type="dxa"/>
            <w:vAlign w:val="bottom"/>
          </w:tcPr>
          <w:p>
            <w:pPr>
              <w:jc w:val="center"/>
              <w:spacing w:after="0"/>
              <w:rPr>
                <w:sz w:val="20"/>
                <w:szCs w:val="20"/>
                <w:color w:val="auto"/>
              </w:rPr>
            </w:pPr>
            <w:r>
              <w:rPr>
                <w:rFonts w:ascii="Arial" w:cs="Arial" w:eastAsia="Arial" w:hAnsi="Arial"/>
                <w:sz w:val="16"/>
                <w:szCs w:val="16"/>
                <w:b w:val="1"/>
                <w:bCs w:val="1"/>
                <w:color w:val="0233A1"/>
              </w:rPr>
              <w:t>Abdellah Merad</w:t>
            </w:r>
          </w:p>
        </w:tc>
        <w:tc>
          <w:tcPr>
            <w:tcW w:w="1760" w:type="dxa"/>
            <w:vAlign w:val="bottom"/>
          </w:tcPr>
          <w:p>
            <w:pPr>
              <w:jc w:val="center"/>
              <w:ind w:left="359"/>
              <w:spacing w:after="0"/>
              <w:rPr>
                <w:sz w:val="20"/>
                <w:szCs w:val="20"/>
                <w:color w:val="auto"/>
              </w:rPr>
            </w:pPr>
            <w:r>
              <w:rPr>
                <w:rFonts w:ascii="Arial" w:cs="Arial" w:eastAsia="Arial" w:hAnsi="Arial"/>
                <w:sz w:val="16"/>
                <w:szCs w:val="16"/>
                <w:b w:val="1"/>
                <w:bCs w:val="1"/>
                <w:color w:val="0233A1"/>
                <w:w w:val="99"/>
              </w:rPr>
              <w:t>Dianne Ralston</w:t>
            </w:r>
          </w:p>
        </w:tc>
      </w:tr>
      <w:tr>
        <w:trPr>
          <w:trHeight w:val="189"/>
        </w:trPr>
        <w:tc>
          <w:tcPr>
            <w:tcW w:w="1760" w:type="dxa"/>
            <w:vAlign w:val="bottom"/>
          </w:tcPr>
          <w:p>
            <w:pPr>
              <w:jc w:val="center"/>
              <w:ind w:right="399"/>
              <w:spacing w:after="0"/>
              <w:rPr>
                <w:sz w:val="20"/>
                <w:szCs w:val="20"/>
                <w:color w:val="auto"/>
              </w:rPr>
            </w:pPr>
            <w:r>
              <w:rPr>
                <w:rFonts w:ascii="Arial" w:cs="Arial" w:eastAsia="Arial" w:hAnsi="Arial"/>
                <w:sz w:val="16"/>
                <w:szCs w:val="16"/>
                <w:color w:val="auto"/>
              </w:rPr>
              <w:t>Chief Executive</w:t>
            </w:r>
          </w:p>
        </w:tc>
        <w:tc>
          <w:tcPr>
            <w:tcW w:w="2180" w:type="dxa"/>
            <w:vAlign w:val="bottom"/>
          </w:tcPr>
          <w:p>
            <w:pPr>
              <w:jc w:val="center"/>
              <w:spacing w:after="0"/>
              <w:rPr>
                <w:sz w:val="20"/>
                <w:szCs w:val="20"/>
                <w:color w:val="auto"/>
              </w:rPr>
            </w:pPr>
            <w:r>
              <w:rPr>
                <w:rFonts w:ascii="Arial" w:cs="Arial" w:eastAsia="Arial" w:hAnsi="Arial"/>
                <w:sz w:val="16"/>
                <w:szCs w:val="16"/>
                <w:color w:val="auto"/>
              </w:rPr>
              <w:t>EVP and Chief</w:t>
            </w:r>
          </w:p>
        </w:tc>
        <w:tc>
          <w:tcPr>
            <w:tcW w:w="2360" w:type="dxa"/>
            <w:vAlign w:val="bottom"/>
          </w:tcPr>
          <w:p>
            <w:pPr>
              <w:jc w:val="center"/>
              <w:spacing w:after="0"/>
              <w:rPr>
                <w:sz w:val="20"/>
                <w:szCs w:val="20"/>
                <w:color w:val="auto"/>
              </w:rPr>
            </w:pPr>
            <w:r>
              <w:rPr>
                <w:rFonts w:ascii="Arial" w:cs="Arial" w:eastAsia="Arial" w:hAnsi="Arial"/>
                <w:sz w:val="16"/>
                <w:szCs w:val="16"/>
                <w:color w:val="auto"/>
                <w:w w:val="98"/>
              </w:rPr>
              <w:t>EVP,</w:t>
            </w:r>
          </w:p>
        </w:tc>
        <w:tc>
          <w:tcPr>
            <w:tcW w:w="2220" w:type="dxa"/>
            <w:vAlign w:val="bottom"/>
          </w:tcPr>
          <w:p>
            <w:pPr>
              <w:jc w:val="center"/>
              <w:spacing w:after="0"/>
              <w:rPr>
                <w:sz w:val="20"/>
                <w:szCs w:val="20"/>
                <w:color w:val="auto"/>
              </w:rPr>
            </w:pPr>
            <w:r>
              <w:rPr>
                <w:rFonts w:ascii="Arial" w:cs="Arial" w:eastAsia="Arial" w:hAnsi="Arial"/>
                <w:sz w:val="16"/>
                <w:szCs w:val="16"/>
                <w:color w:val="auto"/>
                <w:w w:val="98"/>
              </w:rPr>
              <w:t>EVP, Core Services</w:t>
            </w:r>
          </w:p>
        </w:tc>
        <w:tc>
          <w:tcPr>
            <w:tcW w:w="1760" w:type="dxa"/>
            <w:vAlign w:val="bottom"/>
          </w:tcPr>
          <w:p>
            <w:pPr>
              <w:jc w:val="center"/>
              <w:ind w:left="359"/>
              <w:spacing w:after="0"/>
              <w:rPr>
                <w:sz w:val="20"/>
                <w:szCs w:val="20"/>
                <w:color w:val="auto"/>
              </w:rPr>
            </w:pPr>
            <w:r>
              <w:rPr>
                <w:rFonts w:ascii="Arial" w:cs="Arial" w:eastAsia="Arial" w:hAnsi="Arial"/>
                <w:sz w:val="16"/>
                <w:szCs w:val="16"/>
                <w:color w:val="auto"/>
                <w:w w:val="99"/>
              </w:rPr>
              <w:t>Chief Legal Officer</w:t>
            </w:r>
          </w:p>
        </w:tc>
      </w:tr>
      <w:tr>
        <w:trPr>
          <w:trHeight w:val="215"/>
        </w:trPr>
        <w:tc>
          <w:tcPr>
            <w:tcW w:w="1760" w:type="dxa"/>
            <w:vAlign w:val="bottom"/>
          </w:tcPr>
          <w:p>
            <w:pPr>
              <w:jc w:val="center"/>
              <w:ind w:right="399"/>
              <w:spacing w:after="0"/>
              <w:rPr>
                <w:sz w:val="20"/>
                <w:szCs w:val="20"/>
                <w:color w:val="auto"/>
              </w:rPr>
            </w:pPr>
            <w:r>
              <w:rPr>
                <w:rFonts w:ascii="Arial" w:cs="Arial" w:eastAsia="Arial" w:hAnsi="Arial"/>
                <w:sz w:val="16"/>
                <w:szCs w:val="16"/>
                <w:color w:val="auto"/>
              </w:rPr>
              <w:t>Officer</w:t>
            </w:r>
          </w:p>
        </w:tc>
        <w:tc>
          <w:tcPr>
            <w:tcW w:w="2180" w:type="dxa"/>
            <w:vAlign w:val="bottom"/>
          </w:tcPr>
          <w:p>
            <w:pPr>
              <w:jc w:val="center"/>
              <w:spacing w:after="0"/>
              <w:rPr>
                <w:sz w:val="20"/>
                <w:szCs w:val="20"/>
                <w:color w:val="auto"/>
              </w:rPr>
            </w:pPr>
            <w:r>
              <w:rPr>
                <w:rFonts w:ascii="Arial" w:cs="Arial" w:eastAsia="Arial" w:hAnsi="Arial"/>
                <w:sz w:val="16"/>
                <w:szCs w:val="16"/>
                <w:color w:val="auto"/>
              </w:rPr>
              <w:t>Financial Officer</w:t>
            </w:r>
          </w:p>
        </w:tc>
        <w:tc>
          <w:tcPr>
            <w:tcW w:w="2360" w:type="dxa"/>
            <w:vAlign w:val="bottom"/>
          </w:tcPr>
          <w:p>
            <w:pPr>
              <w:jc w:val="center"/>
              <w:spacing w:after="0"/>
              <w:rPr>
                <w:sz w:val="20"/>
                <w:szCs w:val="20"/>
                <w:color w:val="auto"/>
              </w:rPr>
            </w:pPr>
            <w:r>
              <w:rPr>
                <w:rFonts w:ascii="Arial" w:cs="Arial" w:eastAsia="Arial" w:hAnsi="Arial"/>
                <w:sz w:val="16"/>
                <w:szCs w:val="16"/>
                <w:color w:val="auto"/>
              </w:rPr>
              <w:t>Geographies</w:t>
            </w:r>
          </w:p>
        </w:tc>
        <w:tc>
          <w:tcPr>
            <w:tcW w:w="2220" w:type="dxa"/>
            <w:vAlign w:val="bottom"/>
          </w:tcPr>
          <w:p>
            <w:pPr>
              <w:jc w:val="center"/>
              <w:spacing w:after="0"/>
              <w:rPr>
                <w:sz w:val="20"/>
                <w:szCs w:val="20"/>
                <w:color w:val="auto"/>
              </w:rPr>
            </w:pPr>
            <w:r>
              <w:rPr>
                <w:rFonts w:ascii="Arial" w:cs="Arial" w:eastAsia="Arial" w:hAnsi="Arial"/>
                <w:sz w:val="16"/>
                <w:szCs w:val="16"/>
                <w:color w:val="auto"/>
              </w:rPr>
              <w:t>and Equipment</w:t>
            </w:r>
          </w:p>
        </w:tc>
        <w:tc>
          <w:tcPr>
            <w:tcW w:w="1760" w:type="dxa"/>
            <w:vAlign w:val="bottom"/>
          </w:tcPr>
          <w:p>
            <w:pPr>
              <w:jc w:val="center"/>
              <w:ind w:left="359"/>
              <w:spacing w:after="0"/>
              <w:rPr>
                <w:sz w:val="20"/>
                <w:szCs w:val="20"/>
                <w:color w:val="auto"/>
              </w:rPr>
            </w:pPr>
            <w:r>
              <w:rPr>
                <w:rFonts w:ascii="Arial" w:cs="Arial" w:eastAsia="Arial" w:hAnsi="Arial"/>
                <w:sz w:val="16"/>
                <w:szCs w:val="16"/>
                <w:color w:val="auto"/>
              </w:rPr>
              <w:t>and Secretary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104140</wp:posOffset>
            </wp:positionV>
            <wp:extent cx="7148830" cy="401129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48830" cy="401129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0233A1"/>
        </w:rPr>
        <w:t>CD&amp;A Table of Contents</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221"/>
        </w:trPr>
        <w:tc>
          <w:tcPr>
            <w:tcW w:w="7860" w:type="dxa"/>
            <w:vAlign w:val="bottom"/>
            <w:tcBorders>
              <w:bottom w:val="single" w:sz="8" w:color="5A5C5F"/>
            </w:tcBorders>
          </w:tcPr>
          <w:p>
            <w:pPr>
              <w:spacing w:after="0"/>
              <w:rPr>
                <w:sz w:val="20"/>
                <w:szCs w:val="20"/>
                <w:color w:val="auto"/>
              </w:rPr>
            </w:pPr>
            <w:r>
              <w:rPr>
                <w:rFonts w:ascii="Arial" w:cs="Arial" w:eastAsia="Arial" w:hAnsi="Arial"/>
                <w:sz w:val="18"/>
                <w:szCs w:val="18"/>
                <w:b w:val="1"/>
                <w:bCs w:val="1"/>
                <w:color w:val="0233A1"/>
              </w:rPr>
              <w:t>2023 Compensation Decisions and Results</w:t>
            </w:r>
          </w:p>
        </w:tc>
        <w:tc>
          <w:tcPr>
            <w:tcW w:w="3260" w:type="dxa"/>
            <w:vAlign w:val="bottom"/>
            <w:tcBorders>
              <w:bottom w:val="single" w:sz="8" w:color="5A5C5F"/>
            </w:tcBorders>
          </w:tcPr>
          <w:p>
            <w:pPr>
              <w:jc w:val="right"/>
              <w:spacing w:after="0"/>
              <w:rPr>
                <w:sz w:val="20"/>
                <w:szCs w:val="20"/>
                <w:color w:val="auto"/>
              </w:rPr>
            </w:pPr>
            <w:r>
              <w:rPr>
                <w:rFonts w:ascii="Arial" w:cs="Arial" w:eastAsia="Arial" w:hAnsi="Arial"/>
                <w:sz w:val="16"/>
                <w:szCs w:val="16"/>
                <w:b w:val="1"/>
                <w:bCs w:val="1"/>
                <w:color w:val="0233A1"/>
              </w:rPr>
              <w:t>33</w:t>
            </w:r>
          </w:p>
        </w:tc>
      </w:tr>
      <w:tr>
        <w:trPr>
          <w:trHeight w:val="385"/>
        </w:trPr>
        <w:tc>
          <w:tcPr>
            <w:tcW w:w="7860" w:type="dxa"/>
            <w:vAlign w:val="bottom"/>
            <w:tcBorders>
              <w:bottom w:val="single" w:sz="8" w:color="5A5C5F"/>
            </w:tcBorders>
          </w:tcPr>
          <w:p>
            <w:pPr>
              <w:spacing w:after="0"/>
              <w:rPr>
                <w:sz w:val="20"/>
                <w:szCs w:val="20"/>
                <w:color w:val="auto"/>
              </w:rPr>
            </w:pPr>
            <w:r>
              <w:rPr>
                <w:rFonts w:ascii="Arial" w:cs="Arial" w:eastAsia="Arial" w:hAnsi="Arial"/>
                <w:sz w:val="18"/>
                <w:szCs w:val="18"/>
                <w:b w:val="1"/>
                <w:bCs w:val="1"/>
                <w:color w:val="0233A1"/>
              </w:rPr>
              <w:t>Framework for Setting 2023 Executive Compensation</w:t>
            </w:r>
          </w:p>
        </w:tc>
        <w:tc>
          <w:tcPr>
            <w:tcW w:w="3260" w:type="dxa"/>
            <w:vAlign w:val="bottom"/>
            <w:tcBorders>
              <w:bottom w:val="single" w:sz="8" w:color="5A5C5F"/>
            </w:tcBorders>
          </w:tcPr>
          <w:p>
            <w:pPr>
              <w:jc w:val="right"/>
              <w:spacing w:after="0"/>
              <w:rPr>
                <w:sz w:val="20"/>
                <w:szCs w:val="20"/>
                <w:color w:val="auto"/>
              </w:rPr>
            </w:pPr>
            <w:r>
              <w:rPr>
                <w:rFonts w:ascii="Arial" w:cs="Arial" w:eastAsia="Arial" w:hAnsi="Arial"/>
                <w:sz w:val="16"/>
                <w:szCs w:val="16"/>
                <w:b w:val="1"/>
                <w:bCs w:val="1"/>
                <w:color w:val="0233A1"/>
              </w:rPr>
              <w:t>34</w:t>
            </w:r>
          </w:p>
        </w:tc>
      </w:tr>
      <w:tr>
        <w:trPr>
          <w:trHeight w:val="249"/>
        </w:trPr>
        <w:tc>
          <w:tcPr>
            <w:tcW w:w="7860" w:type="dxa"/>
            <w:vAlign w:val="bottom"/>
          </w:tcPr>
          <w:p>
            <w:pPr>
              <w:spacing w:after="0"/>
              <w:rPr>
                <w:sz w:val="20"/>
                <w:szCs w:val="20"/>
                <w:color w:val="auto"/>
              </w:rPr>
            </w:pPr>
            <w:r>
              <w:rPr>
                <w:rFonts w:ascii="Arial" w:cs="Arial" w:eastAsia="Arial" w:hAnsi="Arial"/>
                <w:sz w:val="16"/>
                <w:szCs w:val="16"/>
                <w:color w:val="auto"/>
              </w:rPr>
              <w:t>Program Design and Pay-for-Performance Philosophy</w:t>
            </w:r>
          </w:p>
        </w:tc>
        <w:tc>
          <w:tcPr>
            <w:tcW w:w="326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189"/>
        </w:trPr>
        <w:tc>
          <w:tcPr>
            <w:tcW w:w="7860" w:type="dxa"/>
            <w:vAlign w:val="bottom"/>
          </w:tcPr>
          <w:p>
            <w:pPr>
              <w:spacing w:after="0"/>
              <w:rPr>
                <w:sz w:val="20"/>
                <w:szCs w:val="20"/>
                <w:color w:val="auto"/>
              </w:rPr>
            </w:pPr>
            <w:r>
              <w:rPr>
                <w:rFonts w:ascii="Arial" w:cs="Arial" w:eastAsia="Arial" w:hAnsi="Arial"/>
                <w:sz w:val="16"/>
                <w:szCs w:val="16"/>
                <w:color w:val="auto"/>
              </w:rPr>
              <w:t>At-Risk Pay Mix</w:t>
            </w:r>
          </w:p>
        </w:tc>
        <w:tc>
          <w:tcPr>
            <w:tcW w:w="326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189"/>
        </w:trPr>
        <w:tc>
          <w:tcPr>
            <w:tcW w:w="7860" w:type="dxa"/>
            <w:vAlign w:val="bottom"/>
          </w:tcPr>
          <w:p>
            <w:pPr>
              <w:spacing w:after="0"/>
              <w:rPr>
                <w:sz w:val="20"/>
                <w:szCs w:val="20"/>
                <w:color w:val="auto"/>
              </w:rPr>
            </w:pPr>
            <w:r>
              <w:rPr>
                <w:rFonts w:ascii="Arial" w:cs="Arial" w:eastAsia="Arial" w:hAnsi="Arial"/>
                <w:sz w:val="16"/>
                <w:szCs w:val="16"/>
                <w:color w:val="auto"/>
              </w:rPr>
              <w:t>Responsiveness to Shareholder Feedback</w:t>
            </w:r>
          </w:p>
        </w:tc>
        <w:tc>
          <w:tcPr>
            <w:tcW w:w="326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15"/>
        </w:trPr>
        <w:tc>
          <w:tcPr>
            <w:tcW w:w="7860" w:type="dxa"/>
            <w:vAlign w:val="bottom"/>
          </w:tcPr>
          <w:p>
            <w:pPr>
              <w:spacing w:after="0"/>
              <w:rPr>
                <w:sz w:val="20"/>
                <w:szCs w:val="20"/>
                <w:color w:val="auto"/>
              </w:rPr>
            </w:pPr>
            <w:r>
              <w:rPr>
                <w:rFonts w:ascii="Arial" w:cs="Arial" w:eastAsia="Arial" w:hAnsi="Arial"/>
                <w:sz w:val="16"/>
                <w:szCs w:val="16"/>
                <w:color w:val="auto"/>
              </w:rPr>
              <w:t>Best Practices in Executive Compensation Governance</w:t>
            </w:r>
          </w:p>
        </w:tc>
        <w:tc>
          <w:tcPr>
            <w:tcW w:w="326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380"/>
        </w:trPr>
        <w:tc>
          <w:tcPr>
            <w:tcW w:w="7860" w:type="dxa"/>
            <w:vAlign w:val="bottom"/>
            <w:tcBorders>
              <w:bottom w:val="single" w:sz="8" w:color="5A5C5F"/>
            </w:tcBorders>
          </w:tcPr>
          <w:p>
            <w:pPr>
              <w:spacing w:after="0"/>
              <w:rPr>
                <w:sz w:val="20"/>
                <w:szCs w:val="20"/>
                <w:color w:val="auto"/>
              </w:rPr>
            </w:pPr>
            <w:r>
              <w:rPr>
                <w:rFonts w:ascii="Arial" w:cs="Arial" w:eastAsia="Arial" w:hAnsi="Arial"/>
                <w:sz w:val="18"/>
                <w:szCs w:val="18"/>
                <w:b w:val="1"/>
                <w:bCs w:val="1"/>
                <w:color w:val="0233A1"/>
              </w:rPr>
              <w:t>Elements of 2023 Total Compensation</w:t>
            </w:r>
          </w:p>
        </w:tc>
        <w:tc>
          <w:tcPr>
            <w:tcW w:w="3260" w:type="dxa"/>
            <w:vAlign w:val="bottom"/>
            <w:tcBorders>
              <w:bottom w:val="single" w:sz="8" w:color="5A5C5F"/>
            </w:tcBorders>
          </w:tcPr>
          <w:p>
            <w:pPr>
              <w:jc w:val="right"/>
              <w:spacing w:after="0"/>
              <w:rPr>
                <w:sz w:val="20"/>
                <w:szCs w:val="20"/>
                <w:color w:val="auto"/>
              </w:rPr>
            </w:pPr>
            <w:r>
              <w:rPr>
                <w:rFonts w:ascii="Arial" w:cs="Arial" w:eastAsia="Arial" w:hAnsi="Arial"/>
                <w:sz w:val="16"/>
                <w:szCs w:val="16"/>
                <w:b w:val="1"/>
                <w:bCs w:val="1"/>
                <w:color w:val="0233A1"/>
              </w:rPr>
              <w:t>36</w:t>
            </w:r>
          </w:p>
        </w:tc>
      </w:tr>
      <w:tr>
        <w:trPr>
          <w:trHeight w:val="249"/>
        </w:trPr>
        <w:tc>
          <w:tcPr>
            <w:tcW w:w="7860" w:type="dxa"/>
            <w:vAlign w:val="bottom"/>
          </w:tcPr>
          <w:p>
            <w:pPr>
              <w:spacing w:after="0"/>
              <w:rPr>
                <w:sz w:val="20"/>
                <w:szCs w:val="20"/>
                <w:color w:val="auto"/>
              </w:rPr>
            </w:pPr>
            <w:r>
              <w:rPr>
                <w:rFonts w:ascii="Arial" w:cs="Arial" w:eastAsia="Arial" w:hAnsi="Arial"/>
                <w:sz w:val="16"/>
                <w:szCs w:val="16"/>
                <w:color w:val="auto"/>
              </w:rPr>
              <w:t>Base Salary</w:t>
            </w:r>
          </w:p>
        </w:tc>
        <w:tc>
          <w:tcPr>
            <w:tcW w:w="326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189"/>
        </w:trPr>
        <w:tc>
          <w:tcPr>
            <w:tcW w:w="7860" w:type="dxa"/>
            <w:vAlign w:val="bottom"/>
          </w:tcPr>
          <w:p>
            <w:pPr>
              <w:spacing w:after="0"/>
              <w:rPr>
                <w:sz w:val="20"/>
                <w:szCs w:val="20"/>
                <w:color w:val="auto"/>
              </w:rPr>
            </w:pPr>
            <w:r>
              <w:rPr>
                <w:rFonts w:ascii="Arial" w:cs="Arial" w:eastAsia="Arial" w:hAnsi="Arial"/>
                <w:sz w:val="16"/>
                <w:szCs w:val="16"/>
                <w:color w:val="auto"/>
              </w:rPr>
              <w:t>Short-Term Cash Incentive Awards</w:t>
            </w:r>
          </w:p>
        </w:tc>
        <w:tc>
          <w:tcPr>
            <w:tcW w:w="326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189"/>
        </w:trPr>
        <w:tc>
          <w:tcPr>
            <w:tcW w:w="7860" w:type="dxa"/>
            <w:vAlign w:val="bottom"/>
          </w:tcPr>
          <w:p>
            <w:pPr>
              <w:spacing w:after="0"/>
              <w:rPr>
                <w:sz w:val="20"/>
                <w:szCs w:val="20"/>
                <w:color w:val="auto"/>
              </w:rPr>
            </w:pPr>
            <w:r>
              <w:rPr>
                <w:rFonts w:ascii="Arial" w:cs="Arial" w:eastAsia="Arial" w:hAnsi="Arial"/>
                <w:sz w:val="16"/>
                <w:szCs w:val="16"/>
                <w:color w:val="auto"/>
              </w:rPr>
              <w:t>Long-Term Equity Incentive Awards</w:t>
            </w:r>
          </w:p>
        </w:tc>
        <w:tc>
          <w:tcPr>
            <w:tcW w:w="326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15"/>
        </w:trPr>
        <w:tc>
          <w:tcPr>
            <w:tcW w:w="7860" w:type="dxa"/>
            <w:vAlign w:val="bottom"/>
          </w:tcPr>
          <w:p>
            <w:pPr>
              <w:spacing w:after="0"/>
              <w:rPr>
                <w:sz w:val="20"/>
                <w:szCs w:val="20"/>
                <w:color w:val="auto"/>
              </w:rPr>
            </w:pPr>
            <w:r>
              <w:rPr>
                <w:rFonts w:ascii="Arial" w:cs="Arial" w:eastAsia="Arial" w:hAnsi="Arial"/>
                <w:sz w:val="16"/>
                <w:szCs w:val="16"/>
                <w:color w:val="auto"/>
              </w:rPr>
              <w:t>Other Benefits</w:t>
            </w:r>
          </w:p>
        </w:tc>
        <w:tc>
          <w:tcPr>
            <w:tcW w:w="326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380"/>
        </w:trPr>
        <w:tc>
          <w:tcPr>
            <w:tcW w:w="7860" w:type="dxa"/>
            <w:vAlign w:val="bottom"/>
            <w:tcBorders>
              <w:bottom w:val="single" w:sz="8" w:color="5A5C5F"/>
            </w:tcBorders>
          </w:tcPr>
          <w:p>
            <w:pPr>
              <w:spacing w:after="0"/>
              <w:rPr>
                <w:sz w:val="20"/>
                <w:szCs w:val="20"/>
                <w:color w:val="auto"/>
              </w:rPr>
            </w:pPr>
            <w:r>
              <w:rPr>
                <w:rFonts w:ascii="Arial" w:cs="Arial" w:eastAsia="Arial" w:hAnsi="Arial"/>
                <w:sz w:val="18"/>
                <w:szCs w:val="18"/>
                <w:b w:val="1"/>
                <w:bCs w:val="1"/>
                <w:color w:val="0233A1"/>
              </w:rPr>
              <w:t>Other Aspects of Our Executive Compensation Program</w:t>
            </w:r>
          </w:p>
        </w:tc>
        <w:tc>
          <w:tcPr>
            <w:tcW w:w="3260" w:type="dxa"/>
            <w:vAlign w:val="bottom"/>
            <w:tcBorders>
              <w:bottom w:val="single" w:sz="8" w:color="5A5C5F"/>
            </w:tcBorders>
          </w:tcPr>
          <w:p>
            <w:pPr>
              <w:jc w:val="right"/>
              <w:spacing w:after="0"/>
              <w:rPr>
                <w:sz w:val="20"/>
                <w:szCs w:val="20"/>
                <w:color w:val="auto"/>
              </w:rPr>
            </w:pPr>
            <w:r>
              <w:rPr>
                <w:rFonts w:ascii="Arial" w:cs="Arial" w:eastAsia="Arial" w:hAnsi="Arial"/>
                <w:sz w:val="16"/>
                <w:szCs w:val="16"/>
                <w:b w:val="1"/>
                <w:bCs w:val="1"/>
                <w:color w:val="0233A1"/>
              </w:rPr>
              <w:t>46</w:t>
            </w:r>
          </w:p>
        </w:tc>
      </w:tr>
      <w:tr>
        <w:trPr>
          <w:trHeight w:val="249"/>
        </w:trPr>
        <w:tc>
          <w:tcPr>
            <w:tcW w:w="7860" w:type="dxa"/>
            <w:vAlign w:val="bottom"/>
          </w:tcPr>
          <w:p>
            <w:pPr>
              <w:spacing w:after="0"/>
              <w:rPr>
                <w:sz w:val="20"/>
                <w:szCs w:val="20"/>
                <w:color w:val="auto"/>
              </w:rPr>
            </w:pPr>
            <w:r>
              <w:rPr>
                <w:rFonts w:ascii="Arial" w:cs="Arial" w:eastAsia="Arial" w:hAnsi="Arial"/>
                <w:sz w:val="16"/>
                <w:szCs w:val="16"/>
                <w:color w:val="auto"/>
              </w:rPr>
              <w:t>Competition for Our Executive Talent</w:t>
            </w:r>
          </w:p>
        </w:tc>
        <w:tc>
          <w:tcPr>
            <w:tcW w:w="326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15"/>
        </w:trPr>
        <w:tc>
          <w:tcPr>
            <w:tcW w:w="7860" w:type="dxa"/>
            <w:vAlign w:val="bottom"/>
          </w:tcPr>
          <w:p>
            <w:pPr>
              <w:spacing w:after="0"/>
              <w:rPr>
                <w:sz w:val="20"/>
                <w:szCs w:val="20"/>
                <w:color w:val="auto"/>
              </w:rPr>
            </w:pPr>
            <w:r>
              <w:rPr>
                <w:rFonts w:ascii="Arial" w:cs="Arial" w:eastAsia="Arial" w:hAnsi="Arial"/>
                <w:sz w:val="16"/>
                <w:szCs w:val="16"/>
                <w:color w:val="auto"/>
              </w:rPr>
              <w:t>Our Peer Group Companies</w:t>
            </w:r>
          </w:p>
        </w:tc>
        <w:tc>
          <w:tcPr>
            <w:tcW w:w="326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380"/>
        </w:trPr>
        <w:tc>
          <w:tcPr>
            <w:tcW w:w="7860" w:type="dxa"/>
            <w:vAlign w:val="bottom"/>
            <w:tcBorders>
              <w:bottom w:val="single" w:sz="8" w:color="5A5C5F"/>
            </w:tcBorders>
          </w:tcPr>
          <w:p>
            <w:pPr>
              <w:spacing w:after="0"/>
              <w:rPr>
                <w:sz w:val="20"/>
                <w:szCs w:val="20"/>
                <w:color w:val="auto"/>
              </w:rPr>
            </w:pPr>
            <w:r>
              <w:rPr>
                <w:rFonts w:ascii="Arial" w:cs="Arial" w:eastAsia="Arial" w:hAnsi="Arial"/>
                <w:sz w:val="18"/>
                <w:szCs w:val="18"/>
                <w:b w:val="1"/>
                <w:bCs w:val="1"/>
                <w:color w:val="0233A1"/>
              </w:rPr>
              <w:t>Executive Compensation Governance</w:t>
            </w:r>
          </w:p>
        </w:tc>
        <w:tc>
          <w:tcPr>
            <w:tcW w:w="3260" w:type="dxa"/>
            <w:vAlign w:val="bottom"/>
            <w:tcBorders>
              <w:bottom w:val="single" w:sz="8" w:color="5A5C5F"/>
            </w:tcBorders>
          </w:tcPr>
          <w:p>
            <w:pPr>
              <w:jc w:val="right"/>
              <w:spacing w:after="0"/>
              <w:rPr>
                <w:sz w:val="20"/>
                <w:szCs w:val="20"/>
                <w:color w:val="auto"/>
              </w:rPr>
            </w:pPr>
            <w:r>
              <w:rPr>
                <w:rFonts w:ascii="Arial" w:cs="Arial" w:eastAsia="Arial" w:hAnsi="Arial"/>
                <w:sz w:val="16"/>
                <w:szCs w:val="16"/>
                <w:b w:val="1"/>
                <w:bCs w:val="1"/>
                <w:color w:val="0233A1"/>
              </w:rPr>
              <w:t>48</w:t>
            </w:r>
          </w:p>
        </w:tc>
      </w:tr>
      <w:tr>
        <w:trPr>
          <w:trHeight w:val="249"/>
        </w:trPr>
        <w:tc>
          <w:tcPr>
            <w:tcW w:w="7860" w:type="dxa"/>
            <w:vAlign w:val="bottom"/>
          </w:tcPr>
          <w:p>
            <w:pPr>
              <w:spacing w:after="0"/>
              <w:rPr>
                <w:sz w:val="20"/>
                <w:szCs w:val="20"/>
                <w:color w:val="auto"/>
              </w:rPr>
            </w:pPr>
            <w:r>
              <w:rPr>
                <w:rFonts w:ascii="Arial" w:cs="Arial" w:eastAsia="Arial" w:hAnsi="Arial"/>
                <w:sz w:val="16"/>
                <w:szCs w:val="16"/>
                <w:color w:val="auto"/>
              </w:rPr>
              <w:t>No NEO Employment Agreements</w:t>
            </w:r>
          </w:p>
        </w:tc>
        <w:tc>
          <w:tcPr>
            <w:tcW w:w="326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189"/>
        </w:trPr>
        <w:tc>
          <w:tcPr>
            <w:tcW w:w="7860" w:type="dxa"/>
            <w:vAlign w:val="bottom"/>
          </w:tcPr>
          <w:p>
            <w:pPr>
              <w:spacing w:after="0"/>
              <w:rPr>
                <w:sz w:val="20"/>
                <w:szCs w:val="20"/>
                <w:color w:val="auto"/>
              </w:rPr>
            </w:pPr>
            <w:r>
              <w:rPr>
                <w:rFonts w:ascii="Arial" w:cs="Arial" w:eastAsia="Arial" w:hAnsi="Arial"/>
                <w:sz w:val="16"/>
                <w:szCs w:val="16"/>
                <w:color w:val="auto"/>
              </w:rPr>
              <w:t>Stock Ownership and Holding Requirements</w:t>
            </w:r>
          </w:p>
        </w:tc>
        <w:tc>
          <w:tcPr>
            <w:tcW w:w="326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189"/>
        </w:trPr>
        <w:tc>
          <w:tcPr>
            <w:tcW w:w="7860" w:type="dxa"/>
            <w:vAlign w:val="bottom"/>
          </w:tcPr>
          <w:p>
            <w:pPr>
              <w:spacing w:after="0"/>
              <w:rPr>
                <w:sz w:val="20"/>
                <w:szCs w:val="20"/>
                <w:color w:val="auto"/>
              </w:rPr>
            </w:pPr>
            <w:r>
              <w:rPr>
                <w:rFonts w:ascii="Arial" w:cs="Arial" w:eastAsia="Arial" w:hAnsi="Arial"/>
                <w:sz w:val="16"/>
                <w:szCs w:val="16"/>
                <w:color w:val="auto"/>
              </w:rPr>
              <w:t>Anti-Hedging and Anti-Pledging</w:t>
            </w:r>
          </w:p>
        </w:tc>
        <w:tc>
          <w:tcPr>
            <w:tcW w:w="326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189"/>
        </w:trPr>
        <w:tc>
          <w:tcPr>
            <w:tcW w:w="7860" w:type="dxa"/>
            <w:vAlign w:val="bottom"/>
          </w:tcPr>
          <w:p>
            <w:pPr>
              <w:spacing w:after="0"/>
              <w:rPr>
                <w:sz w:val="20"/>
                <w:szCs w:val="20"/>
                <w:color w:val="auto"/>
              </w:rPr>
            </w:pPr>
            <w:r>
              <w:rPr>
                <w:rFonts w:ascii="Arial" w:cs="Arial" w:eastAsia="Arial" w:hAnsi="Arial"/>
                <w:sz w:val="16"/>
                <w:szCs w:val="16"/>
                <w:color w:val="auto"/>
              </w:rPr>
              <w:t>Process for Setting Executive Compensation</w:t>
            </w:r>
          </w:p>
        </w:tc>
        <w:tc>
          <w:tcPr>
            <w:tcW w:w="326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15"/>
        </w:trPr>
        <w:tc>
          <w:tcPr>
            <w:tcW w:w="7860" w:type="dxa"/>
            <w:vAlign w:val="bottom"/>
          </w:tcPr>
          <w:p>
            <w:pPr>
              <w:spacing w:after="0"/>
              <w:rPr>
                <w:sz w:val="20"/>
                <w:szCs w:val="20"/>
                <w:color w:val="auto"/>
              </w:rPr>
            </w:pPr>
            <w:r>
              <w:rPr>
                <w:rFonts w:ascii="Arial" w:cs="Arial" w:eastAsia="Arial" w:hAnsi="Arial"/>
                <w:sz w:val="16"/>
                <w:szCs w:val="16"/>
                <w:color w:val="auto"/>
              </w:rPr>
              <w:t>Clawback Policy</w:t>
            </w:r>
          </w:p>
        </w:tc>
        <w:tc>
          <w:tcPr>
            <w:tcW w:w="3260" w:type="dxa"/>
            <w:vAlign w:val="bottom"/>
          </w:tcPr>
          <w:p>
            <w:pPr>
              <w:jc w:val="right"/>
              <w:spacing w:after="0"/>
              <w:rPr>
                <w:sz w:val="20"/>
                <w:szCs w:val="20"/>
                <w:color w:val="auto"/>
              </w:rPr>
            </w:pPr>
            <w:r>
              <w:rPr>
                <w:rFonts w:ascii="Arial" w:cs="Arial" w:eastAsia="Arial" w:hAnsi="Arial"/>
                <w:sz w:val="16"/>
                <w:szCs w:val="16"/>
                <w:color w:val="auto"/>
              </w:rPr>
              <w:t>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507365</wp:posOffset>
            </wp:positionV>
            <wp:extent cx="471170" cy="28257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47117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5540"/>
        <w:spacing w:after="0"/>
        <w:tabs>
          <w:tab w:leader="none" w:pos="9540" w:val="left"/>
        </w:tabs>
        <w:rPr>
          <w:sz w:val="20"/>
          <w:szCs w:val="20"/>
          <w:color w:val="auto"/>
        </w:rPr>
      </w:pPr>
      <w:r>
        <w:rPr>
          <w:rFonts w:ascii="Arial" w:cs="Arial" w:eastAsia="Arial" w:hAnsi="Arial"/>
          <w:sz w:val="16"/>
          <w:szCs w:val="16"/>
          <w:b w:val="1"/>
          <w:bCs w:val="1"/>
          <w:color w:val="auto"/>
        </w:rPr>
        <w:t>32</w:t>
      </w:r>
      <w:r>
        <w:rPr>
          <w:sz w:val="20"/>
          <w:szCs w:val="20"/>
          <w:color w:val="auto"/>
        </w:rPr>
        <w:tab/>
      </w:r>
      <w:r>
        <w:rPr>
          <w:rFonts w:ascii="Arial" w:cs="Arial" w:eastAsia="Arial" w:hAnsi="Arial"/>
          <w:sz w:val="16"/>
          <w:szCs w:val="16"/>
          <w:b w:val="1"/>
          <w:bCs w:val="1"/>
          <w:color w:val="636466"/>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-38735</wp:posOffset>
            </wp:positionV>
            <wp:extent cx="5417820" cy="171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342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color w:val="0233A1"/>
        </w:rPr>
        <w:t>2023 Compensation Decisions and Results</w:t>
      </w:r>
    </w:p>
    <w:p>
      <w:pPr>
        <w:spacing w:after="0" w:line="21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In making decisions for 2023 executive compensation, our Compensation Committee continued to focus on strengthening pay-for-performance alignment, motivating and incentivizing outperformance, maintaining stability and retaining our top talent through business cycles, and appropriately compensating our executives for effectively deploying capital, generating strong cash flow, and creating long-term shareholder value.</w:t>
      </w:r>
    </w:p>
    <w:p>
      <w:pPr>
        <w:spacing w:after="0" w:line="144"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 xml:space="preserve">In addition, the Committee considered that our executive compensation program received the support of nearly </w:t>
      </w:r>
      <w:r>
        <w:rPr>
          <w:rFonts w:ascii="Arial" w:cs="Arial" w:eastAsia="Arial" w:hAnsi="Arial"/>
          <w:sz w:val="16"/>
          <w:szCs w:val="16"/>
          <w:b w:val="1"/>
          <w:bCs w:val="1"/>
          <w:color w:val="0233A1"/>
        </w:rPr>
        <w:t>97%</w:t>
      </w:r>
      <w:r>
        <w:rPr>
          <w:rFonts w:ascii="Arial" w:cs="Arial" w:eastAsia="Arial" w:hAnsi="Arial"/>
          <w:sz w:val="16"/>
          <w:szCs w:val="16"/>
          <w:color w:val="auto"/>
        </w:rPr>
        <w:t xml:space="preserve"> of the votes cast at our 2023 AGM. Based on this overwhelming support, as well as direct shareholder feedback, the Committee maintained our executives’ long- and short-term incentive compensation programs largely consistent with 2022. Accordingly: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233A1"/>
        </w:rPr>
        <w:t>Diversified LTI Program Structure with Rigorous PSU Performance Targets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20320</wp:posOffset>
            </wp:positionV>
            <wp:extent cx="1645920" cy="162877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645920" cy="162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Our NEOs continued to receive a mix of LTI grants in 2023, with 75% of their target LTI opportunity awarded in the form of PSUs, and 25% awarded in the form of three-year, time-based RSUs. As in 2022, payout under the 2023 PSUs will be contingent on achieving rigorous absolute FCF margin, relative ROCE, and relative TSR performance goals over a three-year period.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233A1"/>
        </w:rPr>
        <w:t>Strategy-Focused STI Program with Emissions Reduction Objectives for All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20320</wp:posOffset>
            </wp:positionV>
            <wp:extent cx="1645920" cy="162877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645920" cy="162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We continued to tie 70% of our NEOs’ target short-term cash incentive opportunity to Company financial goals—namely, full-year adjusted EBITDA and free cash flow—to ensure our executives remained focused on profitable, sustainable growth. In addition, we incorporated into our 2023 STI plan a new quantitative component focused on reducing our Scope 3 emissions intensity and improving gender diversity.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233A1"/>
        </w:rPr>
        <w:t>Performance-Aligned LTI and STI Payouts</w:t>
      </w:r>
    </w:p>
    <w:p>
      <w:pPr>
        <w:spacing w:after="0" w:line="2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Our NEOs’ LTI award payouts in 2023 were based on SLB’s strong multi-year ROCE results, as well as achieving target under our three-year FCF margin PSUs, partially offset by below-target relative TSR performance. Our NEOs also earned performance-aligned 2023 STI payouts based on SLB’s strong adjusted EBITDA and exceptional free cash flow results, together with key sustainability and workforce diversity achievements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294894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32320" cy="2948940"/>
                    </a:xfrm>
                    <a:prstGeom prst="rect">
                      <a:avLst/>
                    </a:prstGeom>
                    <a:noFill/>
                  </pic:spPr>
                </pic:pic>
              </a:graphicData>
            </a:graphic>
          </wp:anchor>
        </w:drawing>
      </w:r>
    </w:p>
    <w:p>
      <w:pPr>
        <w:sectPr>
          <w:pgSz w:w="11900" w:h="16838" w:orient="portrait"/>
          <w:cols w:equalWidth="0" w:num="1">
            <w:col w:w="11240"/>
          </w:cols>
          <w:pgMar w:left="320" w:top="238" w:right="339" w:bottom="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FFFF"/>
        </w:rPr>
        <w:t>Long-Term Equity Incentive Results</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Total LTI Award Payout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25"/>
          <w:szCs w:val="25"/>
          <w:b w:val="1"/>
          <w:bCs w:val="1"/>
          <w:color w:val="0233A1"/>
        </w:rPr>
        <w:t>127%</w:t>
      </w:r>
      <w:r>
        <w:rPr>
          <w:rFonts w:ascii="Arial" w:cs="Arial" w:eastAsia="Arial" w:hAnsi="Arial"/>
          <w:sz w:val="16"/>
          <w:szCs w:val="16"/>
          <w:b w:val="1"/>
          <w:bCs w:val="1"/>
          <w:color w:val="auto"/>
        </w:rPr>
        <w:t xml:space="preserve"> </w:t>
      </w:r>
      <w:r>
        <w:rPr>
          <w:rFonts w:ascii="Arial" w:cs="Arial" w:eastAsia="Arial" w:hAnsi="Arial"/>
          <w:sz w:val="16"/>
          <w:szCs w:val="16"/>
          <w:color w:val="auto"/>
        </w:rPr>
        <w:t>— Our NEOs earned total LTI</w:t>
      </w:r>
    </w:p>
    <w:p>
      <w:pPr>
        <w:spacing w:after="0" w:line="36" w:lineRule="exact"/>
        <w:rPr>
          <w:sz w:val="20"/>
          <w:szCs w:val="20"/>
          <w:color w:val="auto"/>
        </w:rPr>
      </w:pPr>
    </w:p>
    <w:p>
      <w:pPr>
        <w:jc w:val="both"/>
        <w:ind w:left="60"/>
        <w:spacing w:after="0" w:line="256" w:lineRule="auto"/>
        <w:rPr>
          <w:sz w:val="20"/>
          <w:szCs w:val="20"/>
          <w:color w:val="auto"/>
        </w:rPr>
      </w:pPr>
      <w:r>
        <w:rPr>
          <w:rFonts w:ascii="Arial" w:cs="Arial" w:eastAsia="Arial" w:hAnsi="Arial"/>
          <w:sz w:val="16"/>
          <w:szCs w:val="16"/>
          <w:color w:val="auto"/>
        </w:rPr>
        <w:t>payouts of 127% of target with respect to their three-year LTI awards (including RSUs vested at 100%) that were granted in 2021 and vested in January 2024.</w:t>
      </w:r>
    </w:p>
    <w:p>
      <w:pPr>
        <w:spacing w:after="0" w:line="151" w:lineRule="exact"/>
        <w:rPr>
          <w:sz w:val="20"/>
          <w:szCs w:val="20"/>
          <w:color w:val="auto"/>
        </w:rPr>
      </w:pPr>
    </w:p>
    <w:p>
      <w:pPr>
        <w:jc w:val="both"/>
        <w:ind w:left="340"/>
        <w:spacing w:after="0" w:line="259" w:lineRule="auto"/>
        <w:rPr>
          <w:sz w:val="20"/>
          <w:szCs w:val="20"/>
          <w:color w:val="auto"/>
        </w:rPr>
      </w:pPr>
      <w:r>
        <w:rPr>
          <w:rFonts w:ascii="Arial" w:cs="Arial" w:eastAsia="Arial" w:hAnsi="Arial"/>
          <w:sz w:val="16"/>
          <w:szCs w:val="16"/>
          <w:b w:val="1"/>
          <w:bCs w:val="1"/>
          <w:color w:val="auto"/>
        </w:rPr>
        <w:t xml:space="preserve">Target FCF Margin PSU Payout </w:t>
      </w:r>
      <w:r>
        <w:rPr>
          <w:rFonts w:ascii="Arial" w:cs="Arial" w:eastAsia="Arial" w:hAnsi="Arial"/>
          <w:sz w:val="16"/>
          <w:szCs w:val="16"/>
          <w:color w:val="auto"/>
        </w:rPr>
        <w:t>— Our NEOs earned 100% of the</w:t>
      </w:r>
      <w:r>
        <w:rPr>
          <w:rFonts w:ascii="Arial" w:cs="Arial" w:eastAsia="Arial" w:hAnsi="Arial"/>
          <w:sz w:val="16"/>
          <w:szCs w:val="16"/>
          <w:b w:val="1"/>
          <w:bCs w:val="1"/>
          <w:color w:val="auto"/>
        </w:rPr>
        <w:t xml:space="preserve"> </w:t>
      </w:r>
      <w:r>
        <w:rPr>
          <w:rFonts w:ascii="Arial" w:cs="Arial" w:eastAsia="Arial" w:hAnsi="Arial"/>
          <w:sz w:val="16"/>
          <w:szCs w:val="16"/>
          <w:color w:val="auto"/>
        </w:rPr>
        <w:t>target shares of SLB stock under the FCF margin PSUs that they received in 2021, because SLB achieved its target three-year, cumulative FCF margin of 10.0%.</w:t>
      </w:r>
    </w:p>
    <w:p>
      <w:pPr>
        <w:spacing w:after="0" w:line="151" w:lineRule="exact"/>
        <w:rPr>
          <w:sz w:val="20"/>
          <w:szCs w:val="20"/>
          <w:color w:val="auto"/>
        </w:rPr>
      </w:pPr>
    </w:p>
    <w:p>
      <w:pPr>
        <w:jc w:val="both"/>
        <w:ind w:left="340"/>
        <w:spacing w:after="0" w:line="254" w:lineRule="auto"/>
        <w:rPr>
          <w:sz w:val="20"/>
          <w:szCs w:val="20"/>
          <w:color w:val="auto"/>
        </w:rPr>
      </w:pPr>
      <w:r>
        <w:rPr>
          <w:rFonts w:ascii="Arial" w:cs="Arial" w:eastAsia="Arial" w:hAnsi="Arial"/>
          <w:sz w:val="16"/>
          <w:szCs w:val="16"/>
          <w:b w:val="1"/>
          <w:bCs w:val="1"/>
          <w:color w:val="auto"/>
        </w:rPr>
        <w:t xml:space="preserve">Strong Relative and Absolute ROCE Results </w:t>
      </w:r>
      <w:r>
        <w:rPr>
          <w:rFonts w:ascii="Arial" w:cs="Arial" w:eastAsia="Arial" w:hAnsi="Arial"/>
          <w:sz w:val="16"/>
          <w:szCs w:val="16"/>
          <w:color w:val="auto"/>
        </w:rPr>
        <w:t>— Our NEOs earned</w:t>
      </w:r>
      <w:r>
        <w:rPr>
          <w:rFonts w:ascii="Arial" w:cs="Arial" w:eastAsia="Arial" w:hAnsi="Arial"/>
          <w:sz w:val="16"/>
          <w:szCs w:val="16"/>
          <w:b w:val="1"/>
          <w:bCs w:val="1"/>
          <w:color w:val="auto"/>
        </w:rPr>
        <w:t xml:space="preserve"> </w:t>
      </w:r>
      <w:r>
        <w:rPr>
          <w:rFonts w:ascii="Arial" w:cs="Arial" w:eastAsia="Arial" w:hAnsi="Arial"/>
          <w:sz w:val="16"/>
          <w:szCs w:val="16"/>
          <w:color w:val="auto"/>
        </w:rPr>
        <w:t>250% of the target shares of SLB stock under the ROCE PSUs they received in 2021, based on SLB’s average annual ROCE for the three-year performance period, which was 477 bps above the average ROCE of the comparator group, together with SLB’s absolute 2023 ROCE of 16%.</w:t>
      </w:r>
    </w:p>
    <w:p>
      <w:pPr>
        <w:spacing w:after="0" w:line="155" w:lineRule="exact"/>
        <w:rPr>
          <w:sz w:val="20"/>
          <w:szCs w:val="20"/>
          <w:color w:val="auto"/>
        </w:rPr>
      </w:pPr>
    </w:p>
    <w:p>
      <w:pPr>
        <w:jc w:val="both"/>
        <w:ind w:left="340"/>
        <w:spacing w:after="0" w:line="256" w:lineRule="auto"/>
        <w:rPr>
          <w:sz w:val="20"/>
          <w:szCs w:val="20"/>
          <w:color w:val="auto"/>
        </w:rPr>
      </w:pPr>
      <w:r>
        <w:rPr>
          <w:rFonts w:ascii="Arial" w:cs="Arial" w:eastAsia="Arial" w:hAnsi="Arial"/>
          <w:sz w:val="16"/>
          <w:szCs w:val="16"/>
          <w:b w:val="1"/>
          <w:bCs w:val="1"/>
          <w:color w:val="auto"/>
        </w:rPr>
        <w:t xml:space="preserve">Below-Target TSR Payout </w:t>
      </w:r>
      <w:r>
        <w:rPr>
          <w:rFonts w:ascii="Arial" w:cs="Arial" w:eastAsia="Arial" w:hAnsi="Arial"/>
          <w:sz w:val="16"/>
          <w:szCs w:val="16"/>
          <w:color w:val="auto"/>
        </w:rPr>
        <w:t>— Our NEOs earned 59% of the target</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SLB stock under the TSR PSUs they received in 2021. This payout was based on SLB’s relative TSR percentile rank of 41% as compared to the three-year cumulative TSR results achieved by eight comparator companies in our core industry.</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FFFFFF"/>
        </w:rPr>
        <w:t>Short-Term Cash Incentive Results</w:t>
      </w:r>
    </w:p>
    <w:p>
      <w:pPr>
        <w:spacing w:after="0" w:line="130" w:lineRule="exact"/>
        <w:rPr>
          <w:sz w:val="20"/>
          <w:szCs w:val="20"/>
          <w:color w:val="auto"/>
        </w:rPr>
      </w:pPr>
    </w:p>
    <w:p>
      <w:pPr>
        <w:ind w:right="60"/>
        <w:spacing w:after="0" w:line="305" w:lineRule="auto"/>
        <w:rPr>
          <w:sz w:val="20"/>
          <w:szCs w:val="20"/>
          <w:color w:val="auto"/>
        </w:rPr>
      </w:pPr>
      <w:r>
        <w:rPr>
          <w:rFonts w:ascii="Arial" w:cs="Arial" w:eastAsia="Arial" w:hAnsi="Arial"/>
          <w:sz w:val="16"/>
          <w:szCs w:val="16"/>
          <w:b w:val="1"/>
          <w:bCs w:val="1"/>
          <w:color w:val="auto"/>
        </w:rPr>
        <w:t xml:space="preserve">Average STI Payout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25"/>
          <w:szCs w:val="25"/>
          <w:b w:val="1"/>
          <w:bCs w:val="1"/>
          <w:color w:val="0233A1"/>
        </w:rPr>
        <w:t>151%</w:t>
      </w:r>
      <w:r>
        <w:rPr>
          <w:rFonts w:ascii="Arial" w:cs="Arial" w:eastAsia="Arial" w:hAnsi="Arial"/>
          <w:sz w:val="16"/>
          <w:szCs w:val="16"/>
          <w:b w:val="1"/>
          <w:bCs w:val="1"/>
          <w:color w:val="auto"/>
        </w:rPr>
        <w:t xml:space="preserve"> </w:t>
      </w:r>
      <w:r>
        <w:rPr>
          <w:rFonts w:ascii="Arial" w:cs="Arial" w:eastAsia="Arial" w:hAnsi="Arial"/>
          <w:sz w:val="16"/>
          <w:szCs w:val="16"/>
          <w:color w:val="auto"/>
        </w:rPr>
        <w:t>— Our NEOs earned an average 2023</w:t>
      </w:r>
      <w:r>
        <w:rPr>
          <w:rFonts w:ascii="Arial" w:cs="Arial" w:eastAsia="Arial" w:hAnsi="Arial"/>
          <w:sz w:val="16"/>
          <w:szCs w:val="16"/>
          <w:b w:val="1"/>
          <w:bCs w:val="1"/>
          <w:color w:val="auto"/>
        </w:rPr>
        <w:t xml:space="preserve"> </w:t>
      </w:r>
      <w:r>
        <w:rPr>
          <w:rFonts w:ascii="Arial" w:cs="Arial" w:eastAsia="Arial" w:hAnsi="Arial"/>
          <w:sz w:val="16"/>
          <w:szCs w:val="16"/>
          <w:color w:val="auto"/>
        </w:rPr>
        <w:t>cash incentive payout of 151% of target.</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 xml:space="preserve">Adjusted EBITDA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25"/>
          <w:szCs w:val="25"/>
          <w:b w:val="1"/>
          <w:bCs w:val="1"/>
          <w:color w:val="0233A1"/>
        </w:rPr>
        <w:t>$8.107 billion</w:t>
      </w:r>
      <w:r>
        <w:rPr>
          <w:rFonts w:ascii="Arial" w:cs="Arial" w:eastAsia="Arial" w:hAnsi="Arial"/>
          <w:sz w:val="16"/>
          <w:szCs w:val="16"/>
          <w:b w:val="1"/>
          <w:bCs w:val="1"/>
          <w:color w:val="auto"/>
        </w:rPr>
        <w:t xml:space="preserve"> </w:t>
      </w:r>
      <w:r>
        <w:rPr>
          <w:rFonts w:ascii="Arial" w:cs="Arial" w:eastAsia="Arial" w:hAnsi="Arial"/>
          <w:sz w:val="16"/>
          <w:szCs w:val="16"/>
          <w:color w:val="auto"/>
        </w:rPr>
        <w:t>— Our 2023 adjusted</w:t>
      </w:r>
    </w:p>
    <w:p>
      <w:pPr>
        <w:spacing w:after="0" w:line="36" w:lineRule="exact"/>
        <w:rPr>
          <w:sz w:val="20"/>
          <w:szCs w:val="20"/>
          <w:color w:val="auto"/>
        </w:rPr>
      </w:pPr>
    </w:p>
    <w:p>
      <w:pPr>
        <w:jc w:val="both"/>
        <w:ind w:left="260" w:right="60"/>
        <w:spacing w:after="0" w:line="265" w:lineRule="auto"/>
        <w:rPr>
          <w:sz w:val="20"/>
          <w:szCs w:val="20"/>
          <w:color w:val="auto"/>
        </w:rPr>
      </w:pPr>
      <w:r>
        <w:rPr>
          <w:rFonts w:ascii="Arial" w:cs="Arial" w:eastAsia="Arial" w:hAnsi="Arial"/>
          <w:sz w:val="16"/>
          <w:szCs w:val="16"/>
          <w:color w:val="auto"/>
        </w:rPr>
        <w:t>EBITDA of $8.107 billion represented a 25% increase over 2022, resulting in achievement of 119% of the target payout.</w:t>
      </w:r>
    </w:p>
    <w:p>
      <w:pPr>
        <w:spacing w:after="0" w:line="134"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 xml:space="preserve">Free Cash Flow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25"/>
          <w:szCs w:val="25"/>
          <w:b w:val="1"/>
          <w:bCs w:val="1"/>
          <w:color w:val="0233A1"/>
        </w:rPr>
        <w:t>$4.038 billion</w:t>
      </w:r>
      <w:r>
        <w:rPr>
          <w:rFonts w:ascii="Arial" w:cs="Arial" w:eastAsia="Arial" w:hAnsi="Arial"/>
          <w:sz w:val="16"/>
          <w:szCs w:val="16"/>
          <w:b w:val="1"/>
          <w:bCs w:val="1"/>
          <w:color w:val="auto"/>
        </w:rPr>
        <w:t xml:space="preserve"> </w:t>
      </w:r>
      <w:r>
        <w:rPr>
          <w:rFonts w:ascii="Arial" w:cs="Arial" w:eastAsia="Arial" w:hAnsi="Arial"/>
          <w:sz w:val="16"/>
          <w:szCs w:val="16"/>
          <w:color w:val="auto"/>
        </w:rPr>
        <w:t>— Our 2023 free cash flow</w:t>
      </w:r>
    </w:p>
    <w:p>
      <w:pPr>
        <w:spacing w:after="0" w:line="36" w:lineRule="exact"/>
        <w:rPr>
          <w:sz w:val="20"/>
          <w:szCs w:val="20"/>
          <w:color w:val="auto"/>
        </w:rPr>
      </w:pPr>
    </w:p>
    <w:p>
      <w:pPr>
        <w:jc w:val="both"/>
        <w:ind w:left="260" w:right="60"/>
        <w:spacing w:after="0" w:line="265" w:lineRule="auto"/>
        <w:rPr>
          <w:sz w:val="20"/>
          <w:szCs w:val="20"/>
          <w:color w:val="auto"/>
        </w:rPr>
      </w:pPr>
      <w:r>
        <w:rPr>
          <w:rFonts w:ascii="Arial" w:cs="Arial" w:eastAsia="Arial" w:hAnsi="Arial"/>
          <w:sz w:val="16"/>
          <w:szCs w:val="16"/>
          <w:color w:val="auto"/>
        </w:rPr>
        <w:t>of $4.038 billion represented a 185% increase over 2022, resulting in achievement of 243% of the target payout.</w:t>
      </w:r>
    </w:p>
    <w:p>
      <w:pPr>
        <w:spacing w:after="0" w:line="145" w:lineRule="exact"/>
        <w:rPr>
          <w:sz w:val="20"/>
          <w:szCs w:val="20"/>
          <w:color w:val="auto"/>
        </w:rPr>
      </w:pPr>
    </w:p>
    <w:p>
      <w:pPr>
        <w:jc w:val="both"/>
        <w:ind w:left="260" w:right="60"/>
        <w:spacing w:after="0" w:line="256" w:lineRule="auto"/>
        <w:rPr>
          <w:sz w:val="20"/>
          <w:szCs w:val="20"/>
          <w:color w:val="auto"/>
        </w:rPr>
      </w:pPr>
      <w:r>
        <w:rPr>
          <w:rFonts w:ascii="Arial" w:cs="Arial" w:eastAsia="Arial" w:hAnsi="Arial"/>
          <w:sz w:val="16"/>
          <w:szCs w:val="16"/>
          <w:b w:val="1"/>
          <w:bCs w:val="1"/>
          <w:color w:val="auto"/>
        </w:rPr>
        <w:t xml:space="preserve">Achieved Emissions and Gender Diversity Targets </w:t>
      </w:r>
      <w:r>
        <w:rPr>
          <w:rFonts w:ascii="Arial" w:cs="Arial" w:eastAsia="Arial" w:hAnsi="Arial"/>
          <w:sz w:val="16"/>
          <w:szCs w:val="16"/>
          <w:color w:val="auto"/>
        </w:rPr>
        <w:t>— In 2023, we</w:t>
      </w:r>
      <w:r>
        <w:rPr>
          <w:rFonts w:ascii="Arial" w:cs="Arial" w:eastAsia="Arial" w:hAnsi="Arial"/>
          <w:sz w:val="16"/>
          <w:szCs w:val="16"/>
          <w:b w:val="1"/>
          <w:bCs w:val="1"/>
          <w:color w:val="auto"/>
        </w:rPr>
        <w:t xml:space="preserve"> </w:t>
      </w:r>
      <w:r>
        <w:rPr>
          <w:rFonts w:ascii="Arial" w:cs="Arial" w:eastAsia="Arial" w:hAnsi="Arial"/>
          <w:sz w:val="16"/>
          <w:szCs w:val="16"/>
          <w:color w:val="auto"/>
        </w:rPr>
        <w:t>reduced our Scope 3 emissions intensity by 13% year on year. We also increased our percentage of women in salaried roles from 23.8% at year-end 2022 to 24.6% at year-end 2023. As a result, our NEOs earned 100% of the target payout.</w:t>
      </w:r>
    </w:p>
    <w:p>
      <w:pPr>
        <w:spacing w:after="0" w:line="1070" w:lineRule="exact"/>
        <w:rPr>
          <w:sz w:val="20"/>
          <w:szCs w:val="20"/>
          <w:color w:val="auto"/>
        </w:rPr>
      </w:pPr>
    </w:p>
    <w:p>
      <w:pPr>
        <w:sectPr>
          <w:pgSz w:w="11900" w:h="16838" w:orient="portrait"/>
          <w:cols w:equalWidth="0" w:num="2">
            <w:col w:w="5520" w:space="280"/>
            <w:col w:w="5440"/>
          </w:cols>
          <w:pgMar w:left="320" w:top="238" w:right="339" w:bottom="0" w:gutter="0" w:footer="0" w:header="0"/>
          <w:type w:val="continuous"/>
        </w:sectPr>
      </w:pPr>
    </w:p>
    <w:tbl>
      <w:tblPr>
        <w:tblLayout w:type="fixed"/>
        <w:tblInd w:w="0" w:type="dxa"/>
        <w:tblCellMar>
          <w:top w:w="0" w:type="dxa"/>
          <w:left w:w="0" w:type="dxa"/>
          <w:bottom w:w="0" w:type="dxa"/>
          <w:right w:w="0" w:type="dxa"/>
        </w:tblCellMar>
      </w:tblPr>
      <w:tr>
        <w:trPr>
          <w:trHeight w:val="122"/>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2024 Proxy Statement</w:t>
            </w:r>
          </w:p>
        </w:tc>
        <w:tc>
          <w:tcPr>
            <w:tcW w:w="3600" w:type="dxa"/>
            <w:vAlign w:val="bottom"/>
            <w:tcBorders>
              <w:bottom w:val="single" w:sz="8" w:color="auto"/>
            </w:tcBorders>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33</w:t>
            </w:r>
          </w:p>
        </w:tc>
        <w:tc>
          <w:tcPr>
            <w:tcW w:w="0" w:type="dxa"/>
            <w:vAlign w:val="bottom"/>
          </w:tcPr>
          <w:p>
            <w:pPr>
              <w:spacing w:after="0"/>
              <w:rPr>
                <w:sz w:val="1"/>
                <w:szCs w:val="1"/>
                <w:color w:val="auto"/>
              </w:rPr>
            </w:pPr>
          </w:p>
        </w:tc>
      </w:tr>
      <w:tr>
        <w:trPr>
          <w:trHeight w:val="135"/>
        </w:trPr>
        <w:tc>
          <w:tcPr>
            <w:tcW w:w="1800" w:type="dxa"/>
            <w:vAlign w:val="bottom"/>
            <w:vMerge w:val="continue"/>
          </w:tcPr>
          <w:p>
            <w:pPr>
              <w:spacing w:after="0"/>
              <w:rPr>
                <w:sz w:val="11"/>
                <w:szCs w:val="11"/>
                <w:color w:val="auto"/>
              </w:rPr>
            </w:pPr>
          </w:p>
        </w:tc>
        <w:tc>
          <w:tcPr>
            <w:tcW w:w="360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38735</wp:posOffset>
            </wp:positionV>
            <wp:extent cx="284607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ectPr>
          <w:pgSz w:w="11900" w:h="16838" w:orient="portrait"/>
          <w:cols w:equalWidth="0" w:num="1">
            <w:col w:w="11240"/>
          </w:cols>
          <w:pgMar w:left="320" w:top="238" w:right="339" w:bottom="0" w:gutter="0" w:footer="0" w:header="0"/>
          <w:type w:val="continuous"/>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525780</wp:posOffset>
            </wp:positionV>
            <wp:extent cx="7132320" cy="342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6868795</wp:posOffset>
            </wp:positionH>
            <wp:positionV relativeFrom="page">
              <wp:posOffset>88900</wp:posOffset>
            </wp:positionV>
            <wp:extent cx="471805" cy="28257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clrChange>
                        <a:clrFrom>
                          <a:srgbClr val="FFFFFF"/>
                        </a:clrFrom>
                        <a:clrTo>
                          <a:srgbClr val="FFFFFF">
                            <a:alpha val="0"/>
                          </a:srgbClr>
                        </a:clrTo>
                      </a:clrChange>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color w:val="0233A1"/>
        </w:rPr>
        <w:t>Framework for Setting 2023 Executive Compensation</w:t>
      </w:r>
    </w:p>
    <w:p>
      <w:pPr>
        <w:spacing w:after="0" w:line="324" w:lineRule="exact"/>
        <w:rPr>
          <w:sz w:val="20"/>
          <w:szCs w:val="20"/>
          <w:color w:val="auto"/>
        </w:rPr>
      </w:pPr>
    </w:p>
    <w:p>
      <w:pPr>
        <w:spacing w:after="0"/>
        <w:rPr>
          <w:sz w:val="20"/>
          <w:szCs w:val="20"/>
          <w:color w:val="auto"/>
        </w:rPr>
      </w:pPr>
      <w:r>
        <w:rPr>
          <w:rFonts w:ascii="Arial" w:cs="Arial" w:eastAsia="Arial" w:hAnsi="Arial"/>
          <w:sz w:val="25"/>
          <w:szCs w:val="25"/>
          <w:color w:val="0233A1"/>
        </w:rPr>
        <w:t>Program Design and Pay-for-Performance Philosophy</w:t>
      </w:r>
    </w:p>
    <w:p>
      <w:pPr>
        <w:spacing w:after="0" w:line="2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 xml:space="preserve">Our 2023 executive compensation program consisted of three primary elements comprising our executives’ total compensation: </w:t>
      </w:r>
      <w:r>
        <w:rPr>
          <w:rFonts w:ascii="Arial" w:cs="Arial" w:eastAsia="Arial" w:hAnsi="Arial"/>
          <w:sz w:val="16"/>
          <w:szCs w:val="16"/>
          <w:b w:val="1"/>
          <w:bCs w:val="1"/>
          <w:color w:val="0233A1"/>
        </w:rPr>
        <w:t>LTI equity incentive</w:t>
      </w:r>
      <w:r>
        <w:rPr>
          <w:rFonts w:ascii="Arial" w:cs="Arial" w:eastAsia="Arial" w:hAnsi="Arial"/>
          <w:sz w:val="16"/>
          <w:szCs w:val="16"/>
          <w:color w:val="auto"/>
        </w:rPr>
        <w:t xml:space="preserve"> </w:t>
      </w:r>
      <w:r>
        <w:rPr>
          <w:rFonts w:ascii="Arial" w:cs="Arial" w:eastAsia="Arial" w:hAnsi="Arial"/>
          <w:sz w:val="16"/>
          <w:szCs w:val="16"/>
          <w:b w:val="1"/>
          <w:bCs w:val="1"/>
          <w:color w:val="0233A1"/>
        </w:rPr>
        <w:t xml:space="preserve">awards </w:t>
      </w:r>
      <w:r>
        <w:rPr>
          <w:rFonts w:ascii="Arial" w:cs="Arial" w:eastAsia="Arial" w:hAnsi="Arial"/>
          <w:sz w:val="16"/>
          <w:szCs w:val="16"/>
          <w:color w:val="000000"/>
        </w:rPr>
        <w:t>(PSUs and RSUs),</w:t>
      </w:r>
      <w:r>
        <w:rPr>
          <w:rFonts w:ascii="Arial" w:cs="Arial" w:eastAsia="Arial" w:hAnsi="Arial"/>
          <w:sz w:val="16"/>
          <w:szCs w:val="16"/>
          <w:b w:val="1"/>
          <w:bCs w:val="1"/>
          <w:color w:val="0233A1"/>
        </w:rPr>
        <w:t xml:space="preserve"> STI (annual) cash incentive awards</w:t>
      </w:r>
      <w:r>
        <w:rPr>
          <w:rFonts w:ascii="Arial" w:cs="Arial" w:eastAsia="Arial" w:hAnsi="Arial"/>
          <w:sz w:val="16"/>
          <w:szCs w:val="16"/>
          <w:color w:val="000000"/>
        </w:rPr>
        <w:t>, and</w:t>
      </w:r>
      <w:r>
        <w:rPr>
          <w:rFonts w:ascii="Arial" w:cs="Arial" w:eastAsia="Arial" w:hAnsi="Arial"/>
          <w:sz w:val="16"/>
          <w:szCs w:val="16"/>
          <w:b w:val="1"/>
          <w:bCs w:val="1"/>
          <w:color w:val="0233A1"/>
        </w:rPr>
        <w:t xml:space="preserve"> base salary</w:t>
      </w:r>
      <w:r>
        <w:rPr>
          <w:rFonts w:ascii="Arial" w:cs="Arial" w:eastAsia="Arial" w:hAnsi="Arial"/>
          <w:sz w:val="16"/>
          <w:szCs w:val="16"/>
          <w:color w:val="000000"/>
        </w:rPr>
        <w:t>. Within these elements, 75% of our executives’ 2023 target LTI equity</w:t>
      </w:r>
      <w:r>
        <w:rPr>
          <w:rFonts w:ascii="Arial" w:cs="Arial" w:eastAsia="Arial" w:hAnsi="Arial"/>
          <w:sz w:val="16"/>
          <w:szCs w:val="16"/>
          <w:b w:val="1"/>
          <w:bCs w:val="1"/>
          <w:color w:val="0233A1"/>
        </w:rPr>
        <w:t xml:space="preserve"> </w:t>
      </w:r>
      <w:r>
        <w:rPr>
          <w:rFonts w:ascii="Arial" w:cs="Arial" w:eastAsia="Arial" w:hAnsi="Arial"/>
          <w:sz w:val="16"/>
          <w:szCs w:val="16"/>
          <w:color w:val="000000"/>
        </w:rPr>
        <w:t>awards and 100% of their STI awards were performance-based. These elements have allowed us to remain competitive and attract, retain, and motivate top executive talent whose interests are aligned with those of our shareholders.</w:t>
      </w:r>
    </w:p>
    <w:p>
      <w:pPr>
        <w:spacing w:after="0" w:line="151"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6"/>
          <w:szCs w:val="16"/>
          <w:color w:val="auto"/>
        </w:rPr>
        <w:t>The table below sets out the primary elements of our NEOs’ 2023 total compensation, certain key features of each element, and how each of these compensation elements supports our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3429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32320" cy="34290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399" w:lineRule="exact"/>
        <w:rPr>
          <w:sz w:val="20"/>
          <w:szCs w:val="20"/>
          <w:color w:val="auto"/>
        </w:rPr>
      </w:pPr>
    </w:p>
    <w:p>
      <w:pPr>
        <w:ind w:left="160"/>
        <w:spacing w:after="0"/>
        <w:tabs>
          <w:tab w:leader="none" w:pos="1200" w:val="left"/>
        </w:tabs>
        <w:rPr>
          <w:sz w:val="20"/>
          <w:szCs w:val="20"/>
          <w:color w:val="auto"/>
        </w:rPr>
      </w:pPr>
      <w:r>
        <w:rPr>
          <w:rFonts w:ascii="Arial" w:cs="Arial" w:eastAsia="Arial" w:hAnsi="Arial"/>
          <w:sz w:val="16"/>
          <w:szCs w:val="16"/>
          <w:b w:val="1"/>
          <w:bCs w:val="1"/>
          <w:color w:val="FFFFFF"/>
        </w:rPr>
        <w:t>Type</w:t>
      </w:r>
      <w:r>
        <w:rPr>
          <w:sz w:val="20"/>
          <w:szCs w:val="20"/>
          <w:color w:val="auto"/>
        </w:rPr>
        <w:tab/>
      </w:r>
      <w:r>
        <w:rPr>
          <w:rFonts w:ascii="Arial" w:cs="Arial" w:eastAsia="Arial" w:hAnsi="Arial"/>
          <w:sz w:val="16"/>
          <w:szCs w:val="16"/>
          <w:b w:val="1"/>
          <w:bCs w:val="1"/>
          <w:color w:val="FFFFFF"/>
        </w:rPr>
        <w:t>Element</w:t>
      </w:r>
    </w:p>
    <w:p>
      <w:pPr>
        <w:spacing w:after="0" w:line="200" w:lineRule="exact"/>
        <w:rPr>
          <w:sz w:val="20"/>
          <w:szCs w:val="20"/>
          <w:color w:val="auto"/>
        </w:rPr>
      </w:pPr>
    </w:p>
    <w:p>
      <w:pPr>
        <w:spacing w:after="0" w:line="250"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0233A1"/>
        </w:rPr>
        <w:t>25%</w:t>
      </w:r>
    </w:p>
    <w:p>
      <w:pPr>
        <w:spacing w:after="0" w:line="20"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Free Cash Flow</w:t>
      </w:r>
    </w:p>
    <w:p>
      <w:pPr>
        <w:spacing w:after="0" w:line="5"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Margin PSUs</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24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FFFFFF"/>
              </w:rPr>
              <w:t>Performance-</w:t>
            </w:r>
          </w:p>
        </w:tc>
        <w:tc>
          <w:tcPr>
            <w:tcW w:w="840" w:type="dxa"/>
            <w:vAlign w:val="bottom"/>
          </w:tcPr>
          <w:p>
            <w:pPr>
              <w:spacing w:after="0"/>
              <w:rPr>
                <w:sz w:val="16"/>
                <w:szCs w:val="16"/>
                <w:color w:val="auto"/>
              </w:rPr>
            </w:pPr>
          </w:p>
        </w:tc>
      </w:tr>
      <w:tr>
        <w:trPr>
          <w:trHeight w:val="223"/>
        </w:trPr>
        <w:tc>
          <w:tcPr>
            <w:tcW w:w="2420" w:type="dxa"/>
            <w:vAlign w:val="bottom"/>
          </w:tcPr>
          <w:p>
            <w:pPr>
              <w:ind w:left="680"/>
              <w:spacing w:after="0"/>
              <w:rPr>
                <w:sz w:val="20"/>
                <w:szCs w:val="20"/>
                <w:color w:val="auto"/>
              </w:rPr>
            </w:pPr>
            <w:r>
              <w:rPr>
                <w:rFonts w:ascii="Arial" w:cs="Arial" w:eastAsia="Arial" w:hAnsi="Arial"/>
                <w:sz w:val="16"/>
                <w:szCs w:val="16"/>
                <w:b w:val="1"/>
                <w:bCs w:val="1"/>
                <w:color w:val="FFFFFF"/>
              </w:rPr>
              <w:t>Key Features</w:t>
            </w:r>
          </w:p>
        </w:tc>
        <w:tc>
          <w:tcPr>
            <w:tcW w:w="3840" w:type="dxa"/>
            <w:vAlign w:val="bottom"/>
          </w:tcPr>
          <w:p>
            <w:pPr>
              <w:ind w:left="580"/>
              <w:spacing w:after="0"/>
              <w:rPr>
                <w:sz w:val="20"/>
                <w:szCs w:val="20"/>
                <w:color w:val="auto"/>
              </w:rPr>
            </w:pPr>
            <w:r>
              <w:rPr>
                <w:rFonts w:ascii="Arial" w:cs="Arial" w:eastAsia="Arial" w:hAnsi="Arial"/>
                <w:sz w:val="16"/>
                <w:szCs w:val="16"/>
                <w:b w:val="1"/>
                <w:bCs w:val="1"/>
                <w:color w:val="FFFFFF"/>
              </w:rPr>
              <w:t>How Elements Support Our Strategy</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FFFFFF"/>
              </w:rPr>
              <w:t>Based?</w:t>
            </w:r>
          </w:p>
        </w:tc>
        <w:tc>
          <w:tcPr>
            <w:tcW w:w="840" w:type="dxa"/>
            <w:vAlign w:val="bottom"/>
          </w:tcPr>
          <w:p>
            <w:pPr>
              <w:ind w:left="200"/>
              <w:spacing w:after="0"/>
              <w:rPr>
                <w:sz w:val="20"/>
                <w:szCs w:val="20"/>
                <w:color w:val="auto"/>
              </w:rPr>
            </w:pPr>
            <w:r>
              <w:rPr>
                <w:rFonts w:ascii="Arial" w:cs="Arial" w:eastAsia="Arial" w:hAnsi="Arial"/>
                <w:sz w:val="16"/>
                <w:szCs w:val="16"/>
                <w:b w:val="1"/>
                <w:bCs w:val="1"/>
                <w:color w:val="FFFFFF"/>
                <w:w w:val="95"/>
              </w:rPr>
              <w:t>At Risk?</w:t>
            </w:r>
          </w:p>
        </w:tc>
      </w:tr>
      <w:tr>
        <w:trPr>
          <w:trHeight w:val="398"/>
        </w:trPr>
        <w:tc>
          <w:tcPr>
            <w:tcW w:w="2420" w:type="dxa"/>
            <w:vAlign w:val="bottom"/>
          </w:tcPr>
          <w:p>
            <w:pPr>
              <w:spacing w:after="0"/>
              <w:rPr>
                <w:sz w:val="24"/>
                <w:szCs w:val="24"/>
                <w:color w:val="auto"/>
              </w:rPr>
            </w:pPr>
          </w:p>
        </w:tc>
        <w:tc>
          <w:tcPr>
            <w:tcW w:w="3840" w:type="dxa"/>
            <w:vAlign w:val="bottom"/>
          </w:tcPr>
          <w:p>
            <w:pPr>
              <w:ind w:left="60"/>
              <w:spacing w:after="0"/>
              <w:rPr>
                <w:sz w:val="20"/>
                <w:szCs w:val="20"/>
                <w:color w:val="auto"/>
              </w:rPr>
            </w:pPr>
            <w:r>
              <w:rPr>
                <w:rFonts w:ascii="Arial" w:cs="Arial" w:eastAsia="Arial" w:hAnsi="Arial"/>
                <w:sz w:val="16"/>
                <w:szCs w:val="16"/>
                <w:color w:val="0233A1"/>
              </w:rPr>
              <w:t xml:space="preserve">• </w:t>
            </w:r>
            <w:r>
              <w:rPr>
                <w:rFonts w:ascii="Arial" w:cs="Arial" w:eastAsia="Arial" w:hAnsi="Arial"/>
                <w:sz w:val="16"/>
                <w:szCs w:val="16"/>
                <w:color w:val="000000"/>
              </w:rPr>
              <w:t>Aligns with our financial ambition of achieving</w:t>
            </w:r>
          </w:p>
        </w:tc>
        <w:tc>
          <w:tcPr>
            <w:tcW w:w="1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43"/>
        </w:trPr>
        <w:tc>
          <w:tcPr>
            <w:tcW w:w="2420" w:type="dxa"/>
            <w:vAlign w:val="bottom"/>
          </w:tcPr>
          <w:p>
            <w:pPr>
              <w:spacing w:after="0"/>
              <w:rPr>
                <w:sz w:val="20"/>
                <w:szCs w:val="20"/>
                <w:color w:val="auto"/>
              </w:rPr>
            </w:pPr>
            <w:r>
              <w:rPr>
                <w:rFonts w:ascii="Arial" w:cs="Arial" w:eastAsia="Arial" w:hAnsi="Arial"/>
                <w:sz w:val="16"/>
                <w:szCs w:val="16"/>
                <w:color w:val="auto"/>
              </w:rPr>
              <w:t>Absolute performance metric,</w:t>
            </w:r>
          </w:p>
        </w:tc>
        <w:tc>
          <w:tcPr>
            <w:tcW w:w="3840" w:type="dxa"/>
            <w:vAlign w:val="bottom"/>
          </w:tcPr>
          <w:p>
            <w:pPr>
              <w:ind w:left="220"/>
              <w:spacing w:after="0"/>
              <w:rPr>
                <w:sz w:val="20"/>
                <w:szCs w:val="20"/>
                <w:color w:val="auto"/>
              </w:rPr>
            </w:pPr>
            <w:r>
              <w:rPr>
                <w:rFonts w:ascii="Arial" w:cs="Arial" w:eastAsia="Arial" w:hAnsi="Arial"/>
                <w:sz w:val="16"/>
                <w:szCs w:val="16"/>
                <w:color w:val="auto"/>
              </w:rPr>
              <w:t>double-digit FCF margin</w:t>
            </w:r>
          </w:p>
        </w:tc>
        <w:tc>
          <w:tcPr>
            <w:tcW w:w="148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03"/>
        </w:trPr>
        <w:tc>
          <w:tcPr>
            <w:tcW w:w="2420" w:type="dxa"/>
            <w:vAlign w:val="bottom"/>
          </w:tcPr>
          <w:p>
            <w:pPr>
              <w:spacing w:after="0"/>
              <w:rPr>
                <w:sz w:val="20"/>
                <w:szCs w:val="20"/>
                <w:color w:val="auto"/>
              </w:rPr>
            </w:pPr>
            <w:r>
              <w:rPr>
                <w:rFonts w:ascii="Arial" w:cs="Arial" w:eastAsia="Arial" w:hAnsi="Arial"/>
                <w:sz w:val="16"/>
                <w:szCs w:val="16"/>
                <w:color w:val="auto"/>
              </w:rPr>
              <w:t>based on our FCF margin over a</w:t>
            </w:r>
          </w:p>
        </w:tc>
        <w:tc>
          <w:tcPr>
            <w:tcW w:w="3840" w:type="dxa"/>
            <w:vAlign w:val="bottom"/>
          </w:tcPr>
          <w:p>
            <w:pPr>
              <w:ind w:left="60"/>
              <w:spacing w:after="0"/>
              <w:rPr>
                <w:sz w:val="20"/>
                <w:szCs w:val="20"/>
                <w:color w:val="auto"/>
              </w:rPr>
            </w:pPr>
            <w:r>
              <w:rPr>
                <w:rFonts w:ascii="Arial" w:cs="Arial" w:eastAsia="Arial" w:hAnsi="Arial"/>
                <w:sz w:val="16"/>
                <w:szCs w:val="16"/>
                <w:color w:val="0233A1"/>
              </w:rPr>
              <w:t xml:space="preserve">• </w:t>
            </w:r>
            <w:r>
              <w:rPr>
                <w:rFonts w:ascii="Arial" w:cs="Arial" w:eastAsia="Arial" w:hAnsi="Arial"/>
                <w:sz w:val="16"/>
                <w:szCs w:val="16"/>
                <w:color w:val="000000"/>
              </w:rPr>
              <w:t>Encourages our NEOs to generate high-quality</w:t>
            </w:r>
          </w:p>
        </w:tc>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5"/>
        </w:trPr>
        <w:tc>
          <w:tcPr>
            <w:tcW w:w="2420" w:type="dxa"/>
            <w:vAlign w:val="bottom"/>
          </w:tcPr>
          <w:p>
            <w:pPr>
              <w:spacing w:after="0"/>
              <w:rPr>
                <w:sz w:val="20"/>
                <w:szCs w:val="20"/>
                <w:color w:val="auto"/>
              </w:rPr>
            </w:pPr>
            <w:r>
              <w:rPr>
                <w:rFonts w:ascii="Arial" w:cs="Arial" w:eastAsia="Arial" w:hAnsi="Arial"/>
                <w:sz w:val="16"/>
                <w:szCs w:val="16"/>
                <w:color w:val="auto"/>
              </w:rPr>
              <w:t>3-year period</w:t>
            </w:r>
          </w:p>
        </w:tc>
        <w:tc>
          <w:tcPr>
            <w:tcW w:w="3840" w:type="dxa"/>
            <w:vAlign w:val="bottom"/>
          </w:tcPr>
          <w:p>
            <w:pPr>
              <w:ind w:left="220"/>
              <w:spacing w:after="0"/>
              <w:rPr>
                <w:sz w:val="20"/>
                <w:szCs w:val="20"/>
                <w:color w:val="auto"/>
              </w:rPr>
            </w:pPr>
            <w:r>
              <w:rPr>
                <w:rFonts w:ascii="Arial" w:cs="Arial" w:eastAsia="Arial" w:hAnsi="Arial"/>
                <w:sz w:val="16"/>
                <w:szCs w:val="16"/>
                <w:color w:val="auto"/>
              </w:rPr>
              <w:t>revenue, which translates into strong free cash</w:t>
            </w:r>
          </w:p>
        </w:tc>
        <w:tc>
          <w:tcPr>
            <w:tcW w:w="14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5"/>
        </w:trPr>
        <w:tc>
          <w:tcPr>
            <w:tcW w:w="2420" w:type="dxa"/>
            <w:vAlign w:val="bottom"/>
          </w:tcPr>
          <w:p>
            <w:pPr>
              <w:spacing w:after="0"/>
              <w:rPr>
                <w:sz w:val="18"/>
                <w:szCs w:val="18"/>
                <w:color w:val="auto"/>
              </w:rPr>
            </w:pPr>
          </w:p>
        </w:tc>
        <w:tc>
          <w:tcPr>
            <w:tcW w:w="3840" w:type="dxa"/>
            <w:vAlign w:val="bottom"/>
          </w:tcPr>
          <w:p>
            <w:pPr>
              <w:ind w:left="220"/>
              <w:spacing w:after="0"/>
              <w:rPr>
                <w:sz w:val="20"/>
                <w:szCs w:val="20"/>
                <w:color w:val="auto"/>
              </w:rPr>
            </w:pPr>
            <w:r>
              <w:rPr>
                <w:rFonts w:ascii="Arial" w:cs="Arial" w:eastAsia="Arial" w:hAnsi="Arial"/>
                <w:sz w:val="16"/>
                <w:szCs w:val="16"/>
                <w:color w:val="auto"/>
              </w:rPr>
              <w:t>flow</w:t>
            </w:r>
          </w:p>
        </w:tc>
        <w:tc>
          <w:tcPr>
            <w:tcW w:w="1480" w:type="dxa"/>
            <w:vAlign w:val="bottom"/>
          </w:tcPr>
          <w:p>
            <w:pPr>
              <w:spacing w:after="0"/>
              <w:rPr>
                <w:sz w:val="18"/>
                <w:szCs w:val="18"/>
                <w:color w:val="auto"/>
              </w:rPr>
            </w:pPr>
          </w:p>
        </w:tc>
        <w:tc>
          <w:tcPr>
            <w:tcW w:w="8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-769620</wp:posOffset>
            </wp:positionV>
            <wp:extent cx="7132320" cy="30689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32320" cy="30689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40" w:space="480"/>
            <w:col w:w="8820"/>
          </w:cols>
          <w:pgMar w:left="320" w:top="238" w:right="339" w:bottom="1440" w:gutter="0" w:footer="0" w:header="0"/>
          <w:type w:val="continuous"/>
        </w:sectPr>
      </w:pPr>
    </w:p>
    <w:p>
      <w:pPr>
        <w:spacing w:after="0" w:line="354"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0233A1"/>
        </w:rPr>
        <w:t>25%</w:t>
      </w:r>
    </w:p>
    <w:p>
      <w:pPr>
        <w:spacing w:after="0" w:line="20" w:lineRule="exact"/>
        <w:rPr>
          <w:sz w:val="20"/>
          <w:szCs w:val="20"/>
          <w:color w:val="auto"/>
        </w:rPr>
      </w:pPr>
    </w:p>
    <w:p>
      <w:pPr>
        <w:ind w:left="740" w:right="40"/>
        <w:spacing w:after="0" w:line="276" w:lineRule="auto"/>
        <w:rPr>
          <w:sz w:val="20"/>
          <w:szCs w:val="20"/>
          <w:color w:val="auto"/>
        </w:rPr>
      </w:pPr>
      <w:r>
        <w:rPr>
          <w:rFonts w:ascii="Arial" w:cs="Arial" w:eastAsia="Arial" w:hAnsi="Arial"/>
          <w:sz w:val="16"/>
          <w:szCs w:val="16"/>
          <w:b w:val="1"/>
          <w:bCs w:val="1"/>
          <w:color w:val="auto"/>
        </w:rPr>
        <w:t>Return on Capital Employed PSUs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0233A1"/>
        </w:rPr>
        <w:t>25%</w:t>
      </w:r>
    </w:p>
    <w:p>
      <w:pPr>
        <w:spacing w:after="0" w:line="20" w:lineRule="exact"/>
        <w:rPr>
          <w:sz w:val="20"/>
          <w:szCs w:val="20"/>
          <w:color w:val="auto"/>
        </w:rPr>
      </w:pPr>
    </w:p>
    <w:p>
      <w:pPr>
        <w:ind w:left="740" w:right="20"/>
        <w:spacing w:after="0" w:line="310" w:lineRule="auto"/>
        <w:rPr>
          <w:sz w:val="20"/>
          <w:szCs w:val="20"/>
          <w:color w:val="auto"/>
        </w:rPr>
      </w:pPr>
      <w:r>
        <w:rPr>
          <w:rFonts w:ascii="Arial" w:cs="Arial" w:eastAsia="Arial" w:hAnsi="Arial"/>
          <w:sz w:val="15"/>
          <w:szCs w:val="15"/>
          <w:b w:val="1"/>
          <w:bCs w:val="1"/>
          <w:color w:val="auto"/>
        </w:rPr>
        <w:t>Total Shareholder Return PSUs</w:t>
      </w:r>
    </w:p>
    <w:p>
      <w:pPr>
        <w:spacing w:after="0" w:line="388"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0233A1"/>
        </w:rPr>
        <w:t>25%</w:t>
      </w:r>
    </w:p>
    <w:p>
      <w:pPr>
        <w:spacing w:after="0" w:line="20"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Time-Based RSUs</w:t>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Relative performance metric, comparing our average annual ROCE over a 3-year period to that of our direct competitors</w:t>
      </w:r>
    </w:p>
    <w:p>
      <w:pPr>
        <w:spacing w:after="0" w:line="200" w:lineRule="exact"/>
        <w:rPr>
          <w:sz w:val="20"/>
          <w:szCs w:val="20"/>
          <w:color w:val="auto"/>
        </w:rPr>
      </w:pPr>
    </w:p>
    <w:p>
      <w:pPr>
        <w:spacing w:after="0" w:line="248"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Relative performance metric, comparing our cumulative TSR over a 3-year period to TSR of our direct competitors and S&amp;P Global 1200 Energy Index</w:t>
      </w:r>
    </w:p>
    <w:p>
      <w:pPr>
        <w:spacing w:after="0" w:line="31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Cliff vesting after 3 years, if still employed by SLB</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both"/>
        <w:ind w:left="152" w:right="2740" w:hanging="152"/>
        <w:spacing w:after="0" w:line="266" w:lineRule="auto"/>
        <w:tabs>
          <w:tab w:leader="none" w:pos="154" w:val="left"/>
        </w:tabs>
        <w:numPr>
          <w:ilvl w:val="0"/>
          <w:numId w:val="29"/>
        </w:numPr>
        <w:rPr>
          <w:rFonts w:ascii="Arial" w:cs="Arial" w:eastAsia="Arial" w:hAnsi="Arial"/>
          <w:sz w:val="16"/>
          <w:szCs w:val="16"/>
          <w:color w:val="0233A1"/>
        </w:rPr>
      </w:pPr>
      <w:r>
        <w:rPr>
          <w:rFonts w:ascii="Arial" w:cs="Arial" w:eastAsia="Arial" w:hAnsi="Arial"/>
          <w:sz w:val="16"/>
          <w:szCs w:val="16"/>
          <w:color w:val="auto"/>
        </w:rPr>
        <w:t>Measures the efficiency of our capital employed relative to direct competitors, consistent with our strategic priorities</w:t>
      </w:r>
    </w:p>
    <w:p>
      <w:pPr>
        <w:spacing w:after="0" w:line="49" w:lineRule="exact"/>
        <w:rPr>
          <w:rFonts w:ascii="Arial" w:cs="Arial" w:eastAsia="Arial" w:hAnsi="Arial"/>
          <w:sz w:val="16"/>
          <w:szCs w:val="16"/>
          <w:color w:val="0233A1"/>
        </w:rPr>
      </w:pPr>
    </w:p>
    <w:p>
      <w:pPr>
        <w:ind w:left="152" w:right="2660" w:hanging="152"/>
        <w:spacing w:after="0" w:line="286" w:lineRule="auto"/>
        <w:tabs>
          <w:tab w:leader="none" w:pos="154" w:val="left"/>
        </w:tabs>
        <w:numPr>
          <w:ilvl w:val="0"/>
          <w:numId w:val="29"/>
        </w:numPr>
        <w:rPr>
          <w:rFonts w:ascii="Arial" w:cs="Arial" w:eastAsia="Arial" w:hAnsi="Arial"/>
          <w:sz w:val="16"/>
          <w:szCs w:val="16"/>
          <w:color w:val="0233A1"/>
        </w:rPr>
      </w:pPr>
      <w:r>
        <w:rPr>
          <w:rFonts w:ascii="Arial" w:cs="Arial" w:eastAsia="Arial" w:hAnsi="Arial"/>
          <w:sz w:val="16"/>
          <w:szCs w:val="16"/>
          <w:color w:val="auto"/>
        </w:rPr>
        <w:t>Motivates and rewards our executives for relative outperformance on a key financial metric</w:t>
      </w:r>
    </w:p>
    <w:p>
      <w:pPr>
        <w:spacing w:after="0" w:line="142" w:lineRule="exact"/>
        <w:rPr>
          <w:rFonts w:ascii="Arial" w:cs="Arial" w:eastAsia="Arial" w:hAnsi="Arial"/>
          <w:sz w:val="16"/>
          <w:szCs w:val="16"/>
          <w:color w:val="0233A1"/>
        </w:rPr>
      </w:pPr>
    </w:p>
    <w:p>
      <w:pPr>
        <w:ind w:left="152" w:right="3240" w:hanging="152"/>
        <w:spacing w:after="0" w:line="286" w:lineRule="auto"/>
        <w:tabs>
          <w:tab w:leader="none" w:pos="154" w:val="left"/>
        </w:tabs>
        <w:numPr>
          <w:ilvl w:val="0"/>
          <w:numId w:val="29"/>
        </w:numPr>
        <w:rPr>
          <w:rFonts w:ascii="Arial" w:cs="Arial" w:eastAsia="Arial" w:hAnsi="Arial"/>
          <w:sz w:val="16"/>
          <w:szCs w:val="16"/>
          <w:color w:val="0233A1"/>
        </w:rPr>
      </w:pPr>
      <w:r>
        <w:rPr>
          <w:rFonts w:ascii="Arial" w:cs="Arial" w:eastAsia="Arial" w:hAnsi="Arial"/>
          <w:sz w:val="16"/>
          <w:szCs w:val="16"/>
          <w:color w:val="auto"/>
        </w:rPr>
        <w:t>Directly aligns executive LTI payouts with shareholder value creation</w:t>
      </w:r>
    </w:p>
    <w:p>
      <w:pPr>
        <w:spacing w:after="0" w:line="34" w:lineRule="exact"/>
        <w:rPr>
          <w:rFonts w:ascii="Arial" w:cs="Arial" w:eastAsia="Arial" w:hAnsi="Arial"/>
          <w:sz w:val="16"/>
          <w:szCs w:val="16"/>
          <w:color w:val="0233A1"/>
        </w:rPr>
      </w:pPr>
    </w:p>
    <w:p>
      <w:pPr>
        <w:ind w:left="152" w:right="2680" w:hanging="152"/>
        <w:spacing w:after="0" w:line="266" w:lineRule="auto"/>
        <w:tabs>
          <w:tab w:leader="none" w:pos="154" w:val="left"/>
        </w:tabs>
        <w:numPr>
          <w:ilvl w:val="0"/>
          <w:numId w:val="29"/>
        </w:numPr>
        <w:rPr>
          <w:rFonts w:ascii="Arial" w:cs="Arial" w:eastAsia="Arial" w:hAnsi="Arial"/>
          <w:sz w:val="16"/>
          <w:szCs w:val="16"/>
          <w:color w:val="0233A1"/>
        </w:rPr>
      </w:pPr>
      <w:r>
        <w:rPr>
          <w:rFonts w:ascii="Arial" w:cs="Arial" w:eastAsia="Arial" w:hAnsi="Arial"/>
          <w:sz w:val="16"/>
          <w:szCs w:val="16"/>
          <w:color w:val="auto"/>
        </w:rPr>
        <w:t>Uses a clear and objective metric to evaluate our performance against our direct competitors and against the broader global energy sector</w:t>
      </w:r>
    </w:p>
    <w:p>
      <w:pPr>
        <w:spacing w:after="0" w:line="346" w:lineRule="exact"/>
        <w:rPr>
          <w:rFonts w:ascii="Arial" w:cs="Arial" w:eastAsia="Arial" w:hAnsi="Arial"/>
          <w:sz w:val="16"/>
          <w:szCs w:val="16"/>
          <w:color w:val="0233A1"/>
        </w:rPr>
      </w:pPr>
    </w:p>
    <w:p>
      <w:pPr>
        <w:ind w:left="152" w:right="2720" w:hanging="152"/>
        <w:spacing w:after="0" w:line="286" w:lineRule="auto"/>
        <w:tabs>
          <w:tab w:leader="none" w:pos="154" w:val="left"/>
        </w:tabs>
        <w:numPr>
          <w:ilvl w:val="0"/>
          <w:numId w:val="29"/>
        </w:numPr>
        <w:rPr>
          <w:rFonts w:ascii="Arial" w:cs="Arial" w:eastAsia="Arial" w:hAnsi="Arial"/>
          <w:sz w:val="16"/>
          <w:szCs w:val="16"/>
          <w:color w:val="0233A1"/>
        </w:rPr>
      </w:pPr>
      <w:r>
        <w:rPr>
          <w:rFonts w:ascii="Arial" w:cs="Arial" w:eastAsia="Arial" w:hAnsi="Arial"/>
          <w:sz w:val="16"/>
          <w:szCs w:val="16"/>
          <w:color w:val="auto"/>
        </w:rPr>
        <w:t>Promotes stability and retention of our executive team through business cycles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-3110865</wp:posOffset>
            </wp:positionH>
            <wp:positionV relativeFrom="paragraph">
              <wp:posOffset>90805</wp:posOffset>
            </wp:positionV>
            <wp:extent cx="7132320" cy="200596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32320" cy="20059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2120" w:space="300"/>
            <w:col w:w="2240" w:space="248"/>
            <w:col w:w="6332"/>
          </w:cols>
          <w:pgMar w:left="320" w:top="238" w:right="339" w:bottom="1440" w:gutter="0" w:footer="0" w:header="0"/>
          <w:type w:val="continuous"/>
        </w:sectPr>
      </w:pPr>
    </w:p>
    <w:p>
      <w:pPr>
        <w:spacing w:after="0" w:line="225"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0233A1"/>
        </w:rPr>
        <w:t>70%</w:t>
      </w:r>
    </w:p>
    <w:p>
      <w:pPr>
        <w:spacing w:after="0" w:line="20" w:lineRule="exact"/>
        <w:rPr>
          <w:sz w:val="20"/>
          <w:szCs w:val="20"/>
          <w:color w:val="auto"/>
        </w:rPr>
      </w:pPr>
    </w:p>
    <w:p>
      <w:pPr>
        <w:ind w:left="740"/>
        <w:spacing w:after="0" w:line="261" w:lineRule="auto"/>
        <w:rPr>
          <w:sz w:val="20"/>
          <w:szCs w:val="20"/>
          <w:color w:val="auto"/>
        </w:rPr>
      </w:pPr>
      <w:r>
        <w:rPr>
          <w:rFonts w:ascii="Arial" w:cs="Arial" w:eastAsia="Arial" w:hAnsi="Arial"/>
          <w:sz w:val="16"/>
          <w:szCs w:val="16"/>
          <w:b w:val="1"/>
          <w:bCs w:val="1"/>
          <w:color w:val="auto"/>
        </w:rPr>
        <w:t>Quantitative Company Financial Goals</w:t>
      </w:r>
    </w:p>
    <w:p>
      <w:pPr>
        <w:spacing w:after="0" w:line="200" w:lineRule="exact"/>
        <w:rPr>
          <w:sz w:val="20"/>
          <w:szCs w:val="20"/>
          <w:color w:val="auto"/>
        </w:rPr>
      </w:pPr>
    </w:p>
    <w:p>
      <w:pPr>
        <w:spacing w:after="0" w:line="222"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0233A1"/>
        </w:rPr>
        <w:t>10%</w:t>
      </w:r>
    </w:p>
    <w:p>
      <w:pPr>
        <w:spacing w:after="0" w:line="20" w:lineRule="exact"/>
        <w:rPr>
          <w:sz w:val="20"/>
          <w:szCs w:val="20"/>
          <w:color w:val="auto"/>
        </w:rPr>
      </w:pPr>
    </w:p>
    <w:p>
      <w:pPr>
        <w:ind w:left="740" w:right="160"/>
        <w:spacing w:after="0" w:line="276" w:lineRule="auto"/>
        <w:rPr>
          <w:sz w:val="20"/>
          <w:szCs w:val="20"/>
          <w:color w:val="auto"/>
        </w:rPr>
      </w:pPr>
      <w:r>
        <w:rPr>
          <w:rFonts w:ascii="Arial" w:cs="Arial" w:eastAsia="Arial" w:hAnsi="Arial"/>
          <w:sz w:val="16"/>
          <w:szCs w:val="16"/>
          <w:b w:val="1"/>
          <w:bCs w:val="1"/>
          <w:color w:val="auto"/>
        </w:rPr>
        <w:t>Quantitative ESG Goals</w:t>
      </w:r>
    </w:p>
    <w:p>
      <w:pPr>
        <w:spacing w:after="0" w:line="262"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0233A1"/>
        </w:rPr>
        <w:t>20%</w:t>
      </w:r>
    </w:p>
    <w:p>
      <w:pPr>
        <w:spacing w:after="0" w:line="20"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Individual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104775</wp:posOffset>
            </wp:positionV>
            <wp:extent cx="825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104775</wp:posOffset>
            </wp:positionV>
            <wp:extent cx="825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104775</wp:posOffset>
            </wp:positionV>
            <wp:extent cx="825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104775</wp:posOffset>
            </wp:positionV>
            <wp:extent cx="825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104775</wp:posOffset>
            </wp:positionV>
            <wp:extent cx="825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104775</wp:posOffset>
            </wp:positionV>
            <wp:extent cx="825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104775</wp:posOffset>
            </wp:positionV>
            <wp:extent cx="889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104775</wp:posOffset>
            </wp:positionV>
            <wp:extent cx="825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104775</wp:posOffset>
            </wp:positionV>
            <wp:extent cx="825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104775</wp:posOffset>
            </wp:positionV>
            <wp:extent cx="889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104775</wp:posOffset>
            </wp:positionV>
            <wp:extent cx="889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104775</wp:posOffset>
            </wp:positionV>
            <wp:extent cx="889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104775</wp:posOffset>
            </wp:positionV>
            <wp:extent cx="889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104775</wp:posOffset>
            </wp:positionV>
            <wp:extent cx="889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104775</wp:posOffset>
            </wp:positionV>
            <wp:extent cx="825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104775</wp:posOffset>
            </wp:positionV>
            <wp:extent cx="825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104775</wp:posOffset>
            </wp:positionV>
            <wp:extent cx="889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104775</wp:posOffset>
            </wp:positionV>
            <wp:extent cx="889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104775</wp:posOffset>
            </wp:positionV>
            <wp:extent cx="889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104775</wp:posOffset>
            </wp:positionV>
            <wp:extent cx="825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104775</wp:posOffset>
            </wp:positionV>
            <wp:extent cx="825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104775</wp:posOffset>
            </wp:positionV>
            <wp:extent cx="825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104775</wp:posOffset>
            </wp:positionV>
            <wp:extent cx="889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104775</wp:posOffset>
            </wp:positionV>
            <wp:extent cx="889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104775</wp:posOffset>
            </wp:positionV>
            <wp:extent cx="889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104775</wp:posOffset>
            </wp:positionV>
            <wp:extent cx="825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104775</wp:posOffset>
            </wp:positionV>
            <wp:extent cx="825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104775</wp:posOffset>
            </wp:positionV>
            <wp:extent cx="889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104775</wp:posOffset>
            </wp:positionV>
            <wp:extent cx="889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104775</wp:posOffset>
            </wp:positionV>
            <wp:extent cx="889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104775</wp:posOffset>
            </wp:positionV>
            <wp:extent cx="825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104775</wp:posOffset>
            </wp:positionV>
            <wp:extent cx="825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104775</wp:posOffset>
            </wp:positionV>
            <wp:extent cx="825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104775</wp:posOffset>
            </wp:positionV>
            <wp:extent cx="889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104775</wp:posOffset>
            </wp:positionV>
            <wp:extent cx="889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104775</wp:posOffset>
            </wp:positionV>
            <wp:extent cx="889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104775</wp:posOffset>
            </wp:positionV>
            <wp:extent cx="825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104775</wp:posOffset>
            </wp:positionV>
            <wp:extent cx="825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104775</wp:posOffset>
            </wp:positionV>
            <wp:extent cx="889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104775</wp:posOffset>
            </wp:positionV>
            <wp:extent cx="889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104775</wp:posOffset>
            </wp:positionV>
            <wp:extent cx="889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104775</wp:posOffset>
            </wp:positionV>
            <wp:extent cx="825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104775</wp:posOffset>
            </wp:positionV>
            <wp:extent cx="825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104775</wp:posOffset>
            </wp:positionV>
            <wp:extent cx="825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104775</wp:posOffset>
            </wp:positionV>
            <wp:extent cx="889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104775</wp:posOffset>
            </wp:positionV>
            <wp:extent cx="889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104775</wp:posOffset>
            </wp:positionV>
            <wp:extent cx="889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104775</wp:posOffset>
            </wp:positionV>
            <wp:extent cx="825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104775</wp:posOffset>
            </wp:positionV>
            <wp:extent cx="825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104775</wp:posOffset>
            </wp:positionV>
            <wp:extent cx="889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104775</wp:posOffset>
            </wp:positionV>
            <wp:extent cx="889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104775</wp:posOffset>
            </wp:positionV>
            <wp:extent cx="889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104775</wp:posOffset>
            </wp:positionV>
            <wp:extent cx="889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104775</wp:posOffset>
            </wp:positionV>
            <wp:extent cx="825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104775</wp:posOffset>
            </wp:positionV>
            <wp:extent cx="825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104775</wp:posOffset>
            </wp:positionV>
            <wp:extent cx="889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104775</wp:posOffset>
            </wp:positionV>
            <wp:extent cx="889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104775</wp:posOffset>
            </wp:positionV>
            <wp:extent cx="889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104775</wp:posOffset>
            </wp:positionV>
            <wp:extent cx="889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104775</wp:posOffset>
            </wp:positionV>
            <wp:extent cx="889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2480" w:type="dxa"/>
            <w:vAlign w:val="bottom"/>
          </w:tcPr>
          <w:p>
            <w:pPr>
              <w:spacing w:after="0"/>
              <w:rPr>
                <w:sz w:val="16"/>
                <w:szCs w:val="16"/>
                <w:color w:val="auto"/>
              </w:rPr>
            </w:pPr>
          </w:p>
        </w:tc>
        <w:tc>
          <w:tcPr>
            <w:tcW w:w="140" w:type="dxa"/>
            <w:vAlign w:val="bottom"/>
          </w:tcPr>
          <w:p>
            <w:pPr>
              <w:ind w:left="40"/>
              <w:spacing w:after="0"/>
              <w:rPr>
                <w:sz w:val="20"/>
                <w:szCs w:val="20"/>
                <w:color w:val="auto"/>
              </w:rPr>
            </w:pPr>
            <w:r>
              <w:rPr>
                <w:rFonts w:ascii="Arial" w:cs="Arial" w:eastAsia="Arial" w:hAnsi="Arial"/>
                <w:sz w:val="16"/>
                <w:szCs w:val="16"/>
                <w:color w:val="0233A1"/>
              </w:rPr>
              <w:t>•</w:t>
            </w:r>
          </w:p>
        </w:tc>
        <w:tc>
          <w:tcPr>
            <w:tcW w:w="6240" w:type="dxa"/>
            <w:vAlign w:val="bottom"/>
          </w:tcPr>
          <w:p>
            <w:pPr>
              <w:ind w:left="60"/>
              <w:spacing w:after="0"/>
              <w:rPr>
                <w:sz w:val="20"/>
                <w:szCs w:val="20"/>
                <w:color w:val="auto"/>
              </w:rPr>
            </w:pPr>
            <w:r>
              <w:rPr>
                <w:rFonts w:ascii="Arial" w:cs="Arial" w:eastAsia="Arial" w:hAnsi="Arial"/>
                <w:sz w:val="16"/>
                <w:szCs w:val="16"/>
                <w:color w:val="auto"/>
              </w:rPr>
              <w:t>Adjusted EBITDA reflects the quality of SLB’s</w:t>
            </w:r>
          </w:p>
        </w:tc>
        <w:tc>
          <w:tcPr>
            <w:tcW w:w="0" w:type="dxa"/>
            <w:vAlign w:val="bottom"/>
          </w:tcPr>
          <w:p>
            <w:pPr>
              <w:spacing w:after="0"/>
              <w:rPr>
                <w:sz w:val="1"/>
                <w:szCs w:val="1"/>
                <w:color w:val="auto"/>
              </w:rPr>
            </w:pPr>
          </w:p>
        </w:tc>
      </w:tr>
      <w:tr>
        <w:trPr>
          <w:trHeight w:val="230"/>
        </w:trPr>
        <w:tc>
          <w:tcPr>
            <w:tcW w:w="2480" w:type="dxa"/>
            <w:vAlign w:val="bottom"/>
          </w:tcPr>
          <w:p>
            <w:pPr>
              <w:ind w:left="40"/>
              <w:spacing w:after="0"/>
              <w:rPr>
                <w:sz w:val="20"/>
                <w:szCs w:val="20"/>
                <w:color w:val="auto"/>
              </w:rPr>
            </w:pPr>
            <w:r>
              <w:rPr>
                <w:rFonts w:ascii="Arial" w:cs="Arial" w:eastAsia="Arial" w:hAnsi="Arial"/>
                <w:sz w:val="16"/>
                <w:szCs w:val="16"/>
                <w:color w:val="auto"/>
              </w:rPr>
              <w:t>Evenly split between achieving</w:t>
            </w:r>
          </w:p>
        </w:tc>
        <w:tc>
          <w:tcPr>
            <w:tcW w:w="140" w:type="dxa"/>
            <w:vAlign w:val="bottom"/>
          </w:tcPr>
          <w:p>
            <w:pPr>
              <w:spacing w:after="0"/>
              <w:rPr>
                <w:sz w:val="19"/>
                <w:szCs w:val="19"/>
                <w:color w:val="auto"/>
              </w:rPr>
            </w:pPr>
          </w:p>
        </w:tc>
        <w:tc>
          <w:tcPr>
            <w:tcW w:w="6240" w:type="dxa"/>
            <w:vAlign w:val="bottom"/>
          </w:tcPr>
          <w:p>
            <w:pPr>
              <w:ind w:left="60"/>
              <w:spacing w:after="0"/>
              <w:rPr>
                <w:sz w:val="20"/>
                <w:szCs w:val="20"/>
                <w:color w:val="auto"/>
              </w:rPr>
            </w:pPr>
            <w:r>
              <w:rPr>
                <w:rFonts w:ascii="Arial" w:cs="Arial" w:eastAsia="Arial" w:hAnsi="Arial"/>
                <w:sz w:val="16"/>
                <w:szCs w:val="16"/>
                <w:color w:val="auto"/>
              </w:rPr>
              <w:t>earnings</w:t>
            </w:r>
          </w:p>
        </w:tc>
        <w:tc>
          <w:tcPr>
            <w:tcW w:w="0" w:type="dxa"/>
            <w:vAlign w:val="bottom"/>
          </w:tcPr>
          <w:p>
            <w:pPr>
              <w:spacing w:after="0"/>
              <w:rPr>
                <w:sz w:val="1"/>
                <w:szCs w:val="1"/>
                <w:color w:val="auto"/>
              </w:rPr>
            </w:pPr>
          </w:p>
        </w:tc>
      </w:tr>
      <w:tr>
        <w:trPr>
          <w:trHeight w:val="189"/>
        </w:trPr>
        <w:tc>
          <w:tcPr>
            <w:tcW w:w="2480" w:type="dxa"/>
            <w:vAlign w:val="bottom"/>
          </w:tcPr>
          <w:p>
            <w:pPr>
              <w:ind w:left="40"/>
              <w:spacing w:after="0"/>
              <w:rPr>
                <w:sz w:val="20"/>
                <w:szCs w:val="20"/>
                <w:color w:val="auto"/>
              </w:rPr>
            </w:pPr>
            <w:r>
              <w:rPr>
                <w:rFonts w:ascii="Arial" w:cs="Arial" w:eastAsia="Arial" w:hAnsi="Arial"/>
                <w:sz w:val="16"/>
                <w:szCs w:val="16"/>
                <w:color w:val="auto"/>
              </w:rPr>
              <w:t>adjusted EBITDA targets and</w:t>
            </w:r>
          </w:p>
        </w:tc>
        <w:tc>
          <w:tcPr>
            <w:tcW w:w="140" w:type="dxa"/>
            <w:vAlign w:val="bottom"/>
            <w:vMerge w:val="restart"/>
          </w:tcPr>
          <w:p>
            <w:pPr>
              <w:ind w:left="40"/>
              <w:spacing w:after="0"/>
              <w:rPr>
                <w:sz w:val="20"/>
                <w:szCs w:val="20"/>
                <w:color w:val="auto"/>
              </w:rPr>
            </w:pPr>
            <w:r>
              <w:rPr>
                <w:rFonts w:ascii="Arial" w:cs="Arial" w:eastAsia="Arial" w:hAnsi="Arial"/>
                <w:sz w:val="16"/>
                <w:szCs w:val="16"/>
                <w:color w:val="0233A1"/>
              </w:rPr>
              <w:t>•</w:t>
            </w:r>
          </w:p>
        </w:tc>
        <w:tc>
          <w:tcPr>
            <w:tcW w:w="6240" w:type="dxa"/>
            <w:vAlign w:val="bottom"/>
            <w:vMerge w:val="restart"/>
          </w:tcPr>
          <w:p>
            <w:pPr>
              <w:ind w:left="60"/>
              <w:spacing w:after="0"/>
              <w:rPr>
                <w:sz w:val="20"/>
                <w:szCs w:val="20"/>
                <w:color w:val="auto"/>
              </w:rPr>
            </w:pPr>
            <w:r>
              <w:rPr>
                <w:rFonts w:ascii="Arial" w:cs="Arial" w:eastAsia="Arial" w:hAnsi="Arial"/>
                <w:sz w:val="16"/>
                <w:szCs w:val="16"/>
                <w:color w:val="auto"/>
              </w:rPr>
              <w:t>Strong free cash flow allows us to sustainably</w:t>
            </w:r>
          </w:p>
        </w:tc>
        <w:tc>
          <w:tcPr>
            <w:tcW w:w="0" w:type="dxa"/>
            <w:vAlign w:val="bottom"/>
          </w:tcPr>
          <w:p>
            <w:pPr>
              <w:spacing w:after="0"/>
              <w:rPr>
                <w:sz w:val="1"/>
                <w:szCs w:val="1"/>
                <w:color w:val="auto"/>
              </w:rPr>
            </w:pPr>
          </w:p>
        </w:tc>
      </w:tr>
      <w:tr>
        <w:trPr>
          <w:trHeight w:val="54"/>
        </w:trPr>
        <w:tc>
          <w:tcPr>
            <w:tcW w:w="2480" w:type="dxa"/>
            <w:vAlign w:val="bottom"/>
            <w:vMerge w:val="restart"/>
          </w:tcPr>
          <w:p>
            <w:pPr>
              <w:ind w:left="40"/>
              <w:spacing w:after="0"/>
              <w:rPr>
                <w:sz w:val="20"/>
                <w:szCs w:val="20"/>
                <w:color w:val="auto"/>
              </w:rPr>
            </w:pPr>
            <w:r>
              <w:rPr>
                <w:rFonts w:ascii="Arial" w:cs="Arial" w:eastAsia="Arial" w:hAnsi="Arial"/>
                <w:sz w:val="16"/>
                <w:szCs w:val="16"/>
                <w:color w:val="auto"/>
              </w:rPr>
              <w:t>free cash flow targets</w:t>
            </w:r>
          </w:p>
        </w:tc>
        <w:tc>
          <w:tcPr>
            <w:tcW w:w="140" w:type="dxa"/>
            <w:vAlign w:val="bottom"/>
            <w:vMerge w:val="continue"/>
          </w:tcPr>
          <w:p>
            <w:pPr>
              <w:spacing w:after="0"/>
              <w:rPr>
                <w:sz w:val="4"/>
                <w:szCs w:val="4"/>
                <w:color w:val="auto"/>
              </w:rPr>
            </w:pPr>
          </w:p>
        </w:tc>
        <w:tc>
          <w:tcPr>
            <w:tcW w:w="6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4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240" w:type="dxa"/>
            <w:vAlign w:val="bottom"/>
          </w:tcPr>
          <w:p>
            <w:pPr>
              <w:ind w:left="60"/>
              <w:spacing w:after="0"/>
              <w:rPr>
                <w:sz w:val="20"/>
                <w:szCs w:val="20"/>
                <w:color w:val="auto"/>
              </w:rPr>
            </w:pPr>
            <w:r>
              <w:rPr>
                <w:rFonts w:ascii="Arial" w:cs="Arial" w:eastAsia="Arial" w:hAnsi="Arial"/>
                <w:sz w:val="16"/>
                <w:szCs w:val="16"/>
                <w:color w:val="auto"/>
              </w:rPr>
              <w:t>return value to shareholders through dividends and</w:t>
            </w:r>
          </w:p>
        </w:tc>
        <w:tc>
          <w:tcPr>
            <w:tcW w:w="0" w:type="dxa"/>
            <w:vAlign w:val="bottom"/>
          </w:tcPr>
          <w:p>
            <w:pPr>
              <w:spacing w:after="0"/>
              <w:rPr>
                <w:sz w:val="1"/>
                <w:szCs w:val="1"/>
                <w:color w:val="auto"/>
              </w:rPr>
            </w:pPr>
          </w:p>
        </w:tc>
      </w:tr>
      <w:tr>
        <w:trPr>
          <w:trHeight w:val="215"/>
        </w:trPr>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40" w:type="dxa"/>
            <w:vAlign w:val="bottom"/>
          </w:tcPr>
          <w:p>
            <w:pPr>
              <w:ind w:left="60"/>
              <w:spacing w:after="0"/>
              <w:rPr>
                <w:sz w:val="20"/>
                <w:szCs w:val="20"/>
                <w:color w:val="auto"/>
              </w:rPr>
            </w:pPr>
            <w:r>
              <w:rPr>
                <w:rFonts w:ascii="Arial" w:cs="Arial" w:eastAsia="Arial" w:hAnsi="Arial"/>
                <w:sz w:val="16"/>
                <w:szCs w:val="16"/>
                <w:color w:val="auto"/>
              </w:rPr>
              <w:t>stock repurchases</w:t>
            </w:r>
          </w:p>
        </w:tc>
        <w:tc>
          <w:tcPr>
            <w:tcW w:w="0" w:type="dxa"/>
            <w:vAlign w:val="bottom"/>
          </w:tcPr>
          <w:p>
            <w:pPr>
              <w:spacing w:after="0"/>
              <w:rPr>
                <w:sz w:val="1"/>
                <w:szCs w:val="1"/>
                <w:color w:val="auto"/>
              </w:rPr>
            </w:pPr>
          </w:p>
        </w:tc>
      </w:tr>
      <w:tr>
        <w:trPr>
          <w:trHeight w:val="178"/>
        </w:trPr>
        <w:tc>
          <w:tcPr>
            <w:tcW w:w="2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7"/>
        </w:trPr>
        <w:tc>
          <w:tcPr>
            <w:tcW w:w="2480" w:type="dxa"/>
            <w:vAlign w:val="bottom"/>
            <w:shd w:val="clear" w:color="auto" w:fill="BCBDBE"/>
          </w:tcPr>
          <w:p>
            <w:pPr>
              <w:ind w:left="40"/>
              <w:spacing w:after="0"/>
              <w:rPr>
                <w:sz w:val="20"/>
                <w:szCs w:val="20"/>
                <w:color w:val="auto"/>
              </w:rPr>
            </w:pPr>
            <w:r>
              <w:rPr>
                <w:rFonts w:ascii="Arial" w:cs="Arial" w:eastAsia="Arial" w:hAnsi="Arial"/>
                <w:sz w:val="16"/>
                <w:szCs w:val="16"/>
                <w:color w:val="auto"/>
              </w:rPr>
              <w:t>Targets to reduce Scope 3</w:t>
            </w:r>
          </w:p>
        </w:tc>
        <w:tc>
          <w:tcPr>
            <w:tcW w:w="140" w:type="dxa"/>
            <w:vAlign w:val="bottom"/>
            <w:shd w:val="clear" w:color="auto" w:fill="BCBDBE"/>
          </w:tcPr>
          <w:p>
            <w:pPr>
              <w:ind w:left="40"/>
              <w:spacing w:after="0"/>
              <w:rPr>
                <w:sz w:val="20"/>
                <w:szCs w:val="20"/>
                <w:color w:val="auto"/>
              </w:rPr>
            </w:pPr>
            <w:r>
              <w:rPr>
                <w:rFonts w:ascii="Arial" w:cs="Arial" w:eastAsia="Arial" w:hAnsi="Arial"/>
                <w:sz w:val="16"/>
                <w:szCs w:val="16"/>
                <w:color w:val="0233A1"/>
              </w:rPr>
              <w:t>•</w:t>
            </w:r>
          </w:p>
        </w:tc>
        <w:tc>
          <w:tcPr>
            <w:tcW w:w="6240" w:type="dxa"/>
            <w:vAlign w:val="bottom"/>
            <w:shd w:val="clear" w:color="auto" w:fill="BCBDBE"/>
          </w:tcPr>
          <w:p>
            <w:pPr>
              <w:ind w:left="60"/>
              <w:spacing w:after="0"/>
              <w:rPr>
                <w:sz w:val="20"/>
                <w:szCs w:val="20"/>
                <w:color w:val="auto"/>
              </w:rPr>
            </w:pPr>
            <w:r>
              <w:rPr>
                <w:rFonts w:ascii="Arial" w:cs="Arial" w:eastAsia="Arial" w:hAnsi="Arial"/>
                <w:sz w:val="16"/>
                <w:szCs w:val="16"/>
                <w:color w:val="auto"/>
              </w:rPr>
              <w:t>Aligns our executives’ annual compensation to our</w:t>
            </w:r>
          </w:p>
        </w:tc>
        <w:tc>
          <w:tcPr>
            <w:tcW w:w="0" w:type="dxa"/>
            <w:vAlign w:val="bottom"/>
          </w:tcPr>
          <w:p>
            <w:pPr>
              <w:spacing w:after="0"/>
              <w:rPr>
                <w:sz w:val="1"/>
                <w:szCs w:val="1"/>
                <w:color w:val="auto"/>
              </w:rPr>
            </w:pPr>
          </w:p>
        </w:tc>
      </w:tr>
      <w:tr>
        <w:trPr>
          <w:trHeight w:val="189"/>
        </w:trPr>
        <w:tc>
          <w:tcPr>
            <w:tcW w:w="2480" w:type="dxa"/>
            <w:vAlign w:val="bottom"/>
            <w:shd w:val="clear" w:color="auto" w:fill="BCBDBE"/>
          </w:tcPr>
          <w:p>
            <w:pPr>
              <w:ind w:left="40"/>
              <w:spacing w:after="0"/>
              <w:rPr>
                <w:sz w:val="20"/>
                <w:szCs w:val="20"/>
                <w:color w:val="auto"/>
              </w:rPr>
            </w:pPr>
            <w:r>
              <w:rPr>
                <w:rFonts w:ascii="Arial" w:cs="Arial" w:eastAsia="Arial" w:hAnsi="Arial"/>
                <w:sz w:val="16"/>
                <w:szCs w:val="16"/>
                <w:color w:val="auto"/>
              </w:rPr>
              <w:t>emissions intensity and increase</w:t>
            </w:r>
          </w:p>
        </w:tc>
        <w:tc>
          <w:tcPr>
            <w:tcW w:w="140" w:type="dxa"/>
            <w:vAlign w:val="bottom"/>
            <w:shd w:val="clear" w:color="auto" w:fill="BCBDBE"/>
          </w:tcPr>
          <w:p>
            <w:pPr>
              <w:spacing w:after="0"/>
              <w:rPr>
                <w:sz w:val="16"/>
                <w:szCs w:val="16"/>
                <w:color w:val="auto"/>
              </w:rPr>
            </w:pPr>
          </w:p>
        </w:tc>
        <w:tc>
          <w:tcPr>
            <w:tcW w:w="6240" w:type="dxa"/>
            <w:vAlign w:val="bottom"/>
            <w:shd w:val="clear" w:color="auto" w:fill="BCBDBE"/>
          </w:tcPr>
          <w:p>
            <w:pPr>
              <w:ind w:left="60"/>
              <w:spacing w:after="0"/>
              <w:rPr>
                <w:sz w:val="20"/>
                <w:szCs w:val="20"/>
                <w:color w:val="auto"/>
              </w:rPr>
            </w:pPr>
            <w:r>
              <w:rPr>
                <w:rFonts w:ascii="Arial" w:cs="Arial" w:eastAsia="Arial" w:hAnsi="Arial"/>
                <w:sz w:val="16"/>
                <w:szCs w:val="16"/>
                <w:color w:val="auto"/>
              </w:rPr>
              <w:t>emissions reduction and workforce diversity</w:t>
            </w:r>
          </w:p>
        </w:tc>
        <w:tc>
          <w:tcPr>
            <w:tcW w:w="0" w:type="dxa"/>
            <w:vAlign w:val="bottom"/>
          </w:tcPr>
          <w:p>
            <w:pPr>
              <w:spacing w:after="0"/>
              <w:rPr>
                <w:sz w:val="1"/>
                <w:szCs w:val="1"/>
                <w:color w:val="auto"/>
              </w:rPr>
            </w:pPr>
          </w:p>
        </w:tc>
      </w:tr>
      <w:tr>
        <w:trPr>
          <w:trHeight w:val="215"/>
        </w:trPr>
        <w:tc>
          <w:tcPr>
            <w:tcW w:w="2480" w:type="dxa"/>
            <w:vAlign w:val="bottom"/>
            <w:shd w:val="clear" w:color="auto" w:fill="BCBDBE"/>
          </w:tcPr>
          <w:p>
            <w:pPr>
              <w:ind w:left="40"/>
              <w:spacing w:after="0"/>
              <w:rPr>
                <w:sz w:val="20"/>
                <w:szCs w:val="20"/>
                <w:color w:val="auto"/>
              </w:rPr>
            </w:pPr>
            <w:r>
              <w:rPr>
                <w:rFonts w:ascii="Arial" w:cs="Arial" w:eastAsia="Arial" w:hAnsi="Arial"/>
                <w:sz w:val="16"/>
                <w:szCs w:val="16"/>
                <w:color w:val="auto"/>
              </w:rPr>
              <w:t>gender diversity</w:t>
            </w:r>
          </w:p>
        </w:tc>
        <w:tc>
          <w:tcPr>
            <w:tcW w:w="140" w:type="dxa"/>
            <w:vAlign w:val="bottom"/>
            <w:shd w:val="clear" w:color="auto" w:fill="BCBDBE"/>
          </w:tcPr>
          <w:p>
            <w:pPr>
              <w:spacing w:after="0"/>
              <w:rPr>
                <w:sz w:val="18"/>
                <w:szCs w:val="18"/>
                <w:color w:val="auto"/>
              </w:rPr>
            </w:pPr>
          </w:p>
        </w:tc>
        <w:tc>
          <w:tcPr>
            <w:tcW w:w="6240" w:type="dxa"/>
            <w:vAlign w:val="bottom"/>
            <w:shd w:val="clear" w:color="auto" w:fill="BCBDBE"/>
          </w:tcPr>
          <w:p>
            <w:pPr>
              <w:ind w:left="60"/>
              <w:spacing w:after="0"/>
              <w:rPr>
                <w:sz w:val="20"/>
                <w:szCs w:val="20"/>
                <w:color w:val="auto"/>
              </w:rPr>
            </w:pPr>
            <w:r>
              <w:rPr>
                <w:rFonts w:ascii="Arial" w:cs="Arial" w:eastAsia="Arial" w:hAnsi="Arial"/>
                <w:sz w:val="16"/>
                <w:szCs w:val="16"/>
                <w:color w:val="auto"/>
              </w:rPr>
              <w:t>strategies</w:t>
            </w:r>
          </w:p>
        </w:tc>
        <w:tc>
          <w:tcPr>
            <w:tcW w:w="0" w:type="dxa"/>
            <w:vAlign w:val="bottom"/>
          </w:tcPr>
          <w:p>
            <w:pPr>
              <w:spacing w:after="0"/>
              <w:rPr>
                <w:sz w:val="1"/>
                <w:szCs w:val="1"/>
                <w:color w:val="auto"/>
              </w:rPr>
            </w:pPr>
          </w:p>
        </w:tc>
      </w:tr>
      <w:tr>
        <w:trPr>
          <w:trHeight w:val="555"/>
        </w:trPr>
        <w:tc>
          <w:tcPr>
            <w:tcW w:w="2480" w:type="dxa"/>
            <w:vAlign w:val="bottom"/>
            <w:vMerge w:val="restart"/>
            <w:shd w:val="clear" w:color="auto" w:fill="BCBDBE"/>
          </w:tcPr>
          <w:p>
            <w:pPr>
              <w:ind w:left="40"/>
              <w:spacing w:after="0"/>
              <w:rPr>
                <w:sz w:val="20"/>
                <w:szCs w:val="20"/>
                <w:color w:val="auto"/>
              </w:rPr>
            </w:pPr>
            <w:r>
              <w:rPr>
                <w:rFonts w:ascii="Arial" w:cs="Arial" w:eastAsia="Arial" w:hAnsi="Arial"/>
                <w:sz w:val="16"/>
                <w:szCs w:val="16"/>
                <w:color w:val="auto"/>
              </w:rPr>
              <w:t>Strategic personal objectives</w:t>
            </w:r>
          </w:p>
        </w:tc>
        <w:tc>
          <w:tcPr>
            <w:tcW w:w="140" w:type="dxa"/>
            <w:vAlign w:val="bottom"/>
            <w:shd w:val="clear" w:color="auto" w:fill="BCBDBE"/>
          </w:tcPr>
          <w:p>
            <w:pPr>
              <w:ind w:left="40"/>
              <w:spacing w:after="0"/>
              <w:rPr>
                <w:sz w:val="20"/>
                <w:szCs w:val="20"/>
                <w:color w:val="auto"/>
              </w:rPr>
            </w:pPr>
            <w:r>
              <w:rPr>
                <w:rFonts w:ascii="Arial" w:cs="Arial" w:eastAsia="Arial" w:hAnsi="Arial"/>
                <w:sz w:val="16"/>
                <w:szCs w:val="16"/>
                <w:color w:val="0233A1"/>
              </w:rPr>
              <w:t>•</w:t>
            </w:r>
          </w:p>
        </w:tc>
        <w:tc>
          <w:tcPr>
            <w:tcW w:w="6240" w:type="dxa"/>
            <w:vAlign w:val="bottom"/>
            <w:shd w:val="clear" w:color="auto" w:fill="BCBDBE"/>
          </w:tcPr>
          <w:p>
            <w:pPr>
              <w:ind w:left="60"/>
              <w:spacing w:after="0"/>
              <w:rPr>
                <w:sz w:val="20"/>
                <w:szCs w:val="20"/>
                <w:color w:val="auto"/>
              </w:rPr>
            </w:pPr>
            <w:r>
              <w:rPr>
                <w:rFonts w:ascii="Arial" w:cs="Arial" w:eastAsia="Arial" w:hAnsi="Arial"/>
                <w:sz w:val="16"/>
                <w:szCs w:val="16"/>
                <w:color w:val="auto"/>
              </w:rPr>
              <w:t>Aligns to our strategic focus areas, as detailed on</w:t>
            </w:r>
          </w:p>
        </w:tc>
        <w:tc>
          <w:tcPr>
            <w:tcW w:w="0" w:type="dxa"/>
            <w:vAlign w:val="bottom"/>
          </w:tcPr>
          <w:p>
            <w:pPr>
              <w:spacing w:after="0"/>
              <w:rPr>
                <w:sz w:val="1"/>
                <w:szCs w:val="1"/>
                <w:color w:val="auto"/>
              </w:rPr>
            </w:pPr>
          </w:p>
        </w:tc>
      </w:tr>
      <w:tr>
        <w:trPr>
          <w:trHeight w:val="120"/>
        </w:trPr>
        <w:tc>
          <w:tcPr>
            <w:tcW w:w="2480" w:type="dxa"/>
            <w:vAlign w:val="bottom"/>
            <w:vMerge w:val="continue"/>
            <w:shd w:val="clear" w:color="auto" w:fill="BCBDBE"/>
          </w:tcPr>
          <w:p>
            <w:pPr>
              <w:spacing w:after="0"/>
              <w:rPr>
                <w:sz w:val="10"/>
                <w:szCs w:val="10"/>
                <w:color w:val="auto"/>
              </w:rPr>
            </w:pPr>
          </w:p>
        </w:tc>
        <w:tc>
          <w:tcPr>
            <w:tcW w:w="140" w:type="dxa"/>
            <w:vAlign w:val="bottom"/>
            <w:shd w:val="clear" w:color="auto" w:fill="BCBDBE"/>
          </w:tcPr>
          <w:p>
            <w:pPr>
              <w:spacing w:after="0"/>
              <w:rPr>
                <w:sz w:val="10"/>
                <w:szCs w:val="10"/>
                <w:color w:val="auto"/>
              </w:rPr>
            </w:pPr>
          </w:p>
        </w:tc>
        <w:tc>
          <w:tcPr>
            <w:tcW w:w="6240" w:type="dxa"/>
            <w:vAlign w:val="bottom"/>
            <w:vMerge w:val="restart"/>
            <w:shd w:val="clear" w:color="auto" w:fill="BCBDBE"/>
          </w:tcPr>
          <w:p>
            <w:pPr>
              <w:ind w:left="60"/>
              <w:spacing w:after="0"/>
              <w:rPr>
                <w:sz w:val="20"/>
                <w:szCs w:val="20"/>
                <w:color w:val="auto"/>
              </w:rPr>
            </w:pPr>
            <w:r>
              <w:rPr>
                <w:rFonts w:ascii="Arial" w:cs="Arial" w:eastAsia="Arial" w:hAnsi="Arial"/>
                <w:sz w:val="16"/>
                <w:szCs w:val="16"/>
                <w:color w:val="auto"/>
              </w:rPr>
              <w:t>page 40</w:t>
            </w:r>
          </w:p>
        </w:tc>
        <w:tc>
          <w:tcPr>
            <w:tcW w:w="0" w:type="dxa"/>
            <w:vAlign w:val="bottom"/>
          </w:tcPr>
          <w:p>
            <w:pPr>
              <w:spacing w:after="0"/>
              <w:rPr>
                <w:sz w:val="1"/>
                <w:szCs w:val="1"/>
                <w:color w:val="auto"/>
              </w:rPr>
            </w:pPr>
          </w:p>
        </w:tc>
      </w:tr>
      <w:tr>
        <w:trPr>
          <w:trHeight w:val="95"/>
        </w:trPr>
        <w:tc>
          <w:tcPr>
            <w:tcW w:w="2480" w:type="dxa"/>
            <w:vAlign w:val="bottom"/>
            <w:shd w:val="clear" w:color="auto" w:fill="BCBDBE"/>
          </w:tcPr>
          <w:p>
            <w:pPr>
              <w:spacing w:after="0"/>
              <w:rPr>
                <w:sz w:val="8"/>
                <w:szCs w:val="8"/>
                <w:color w:val="auto"/>
              </w:rPr>
            </w:pPr>
          </w:p>
        </w:tc>
        <w:tc>
          <w:tcPr>
            <w:tcW w:w="140" w:type="dxa"/>
            <w:vAlign w:val="bottom"/>
            <w:shd w:val="clear" w:color="auto" w:fill="BCBDBE"/>
          </w:tcPr>
          <w:p>
            <w:pPr>
              <w:spacing w:after="0"/>
              <w:rPr>
                <w:sz w:val="8"/>
                <w:szCs w:val="8"/>
                <w:color w:val="auto"/>
              </w:rPr>
            </w:pPr>
          </w:p>
        </w:tc>
        <w:tc>
          <w:tcPr>
            <w:tcW w:w="6240" w:type="dxa"/>
            <w:vAlign w:val="bottom"/>
            <w:vMerge w:val="continue"/>
            <w:shd w:val="clear" w:color="auto" w:fill="BCBDBE"/>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2480" w:type="dxa"/>
            <w:vAlign w:val="bottom"/>
            <w:shd w:val="clear" w:color="auto" w:fill="BCBDBE"/>
          </w:tcPr>
          <w:p>
            <w:pPr>
              <w:spacing w:after="0"/>
              <w:rPr>
                <w:sz w:val="15"/>
                <w:szCs w:val="15"/>
                <w:color w:val="auto"/>
              </w:rPr>
            </w:pPr>
          </w:p>
        </w:tc>
        <w:tc>
          <w:tcPr>
            <w:tcW w:w="140" w:type="dxa"/>
            <w:vAlign w:val="bottom"/>
            <w:shd w:val="clear" w:color="auto" w:fill="BCBDBE"/>
          </w:tcPr>
          <w:p>
            <w:pPr>
              <w:spacing w:after="0"/>
              <w:rPr>
                <w:sz w:val="15"/>
                <w:szCs w:val="15"/>
                <w:color w:val="auto"/>
              </w:rPr>
            </w:pPr>
          </w:p>
        </w:tc>
        <w:tc>
          <w:tcPr>
            <w:tcW w:w="6240" w:type="dxa"/>
            <w:vAlign w:val="bottom"/>
            <w:shd w:val="clear" w:color="auto" w:fill="BCBDB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0</wp:posOffset>
            </wp:positionV>
            <wp:extent cx="567499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674995" cy="825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220" w:space="160"/>
            <w:col w:w="8860"/>
          </w:cols>
          <w:pgMar w:left="320" w:top="238" w:right="339" w:bottom="1440" w:gutter="0" w:footer="0" w:header="0"/>
          <w:type w:val="continuous"/>
        </w:sectPr>
      </w:pPr>
    </w:p>
    <w:tbl>
      <w:tblPr>
        <w:tblLayout w:type="fixed"/>
        <w:tblInd w:w="0" w:type="dxa"/>
        <w:tblCellMar>
          <w:top w:w="0" w:type="dxa"/>
          <w:left w:w="0" w:type="dxa"/>
          <w:bottom w:w="0" w:type="dxa"/>
          <w:right w:w="0" w:type="dxa"/>
        </w:tblCellMar>
      </w:tblPr>
      <w:tr>
        <w:trPr>
          <w:trHeight w:val="357"/>
        </w:trPr>
        <w:tc>
          <w:tcPr>
            <w:tcW w:w="920" w:type="dxa"/>
            <w:vAlign w:val="bottom"/>
            <w:shd w:val="clear" w:color="auto" w:fill="6C6D71"/>
          </w:tcPr>
          <w:p>
            <w:pPr>
              <w:spacing w:after="0"/>
              <w:rPr>
                <w:sz w:val="24"/>
                <w:szCs w:val="24"/>
                <w:color w:val="auto"/>
              </w:rPr>
            </w:pPr>
          </w:p>
        </w:tc>
        <w:tc>
          <w:tcPr>
            <w:tcW w:w="1120" w:type="dxa"/>
            <w:vAlign w:val="bottom"/>
            <w:shd w:val="clear" w:color="auto" w:fill="6C6D71"/>
          </w:tcPr>
          <w:p>
            <w:pPr>
              <w:spacing w:after="0"/>
              <w:rPr>
                <w:sz w:val="24"/>
                <w:szCs w:val="24"/>
                <w:color w:val="auto"/>
              </w:rPr>
            </w:pPr>
          </w:p>
        </w:tc>
        <w:tc>
          <w:tcPr>
            <w:tcW w:w="2520" w:type="dxa"/>
            <w:vAlign w:val="bottom"/>
            <w:vMerge w:val="restart"/>
            <w:shd w:val="clear" w:color="auto" w:fill="6C6D71"/>
          </w:tcPr>
          <w:p>
            <w:pPr>
              <w:ind w:left="380"/>
              <w:spacing w:after="0"/>
              <w:rPr>
                <w:sz w:val="20"/>
                <w:szCs w:val="20"/>
                <w:color w:val="auto"/>
              </w:rPr>
            </w:pPr>
            <w:r>
              <w:rPr>
                <w:rFonts w:ascii="Arial" w:cs="Arial" w:eastAsia="Arial" w:hAnsi="Arial"/>
                <w:sz w:val="16"/>
                <w:szCs w:val="16"/>
                <w:color w:val="FFFFFF"/>
              </w:rPr>
              <w:t>Only fixed compensation</w:t>
            </w:r>
          </w:p>
        </w:tc>
        <w:tc>
          <w:tcPr>
            <w:tcW w:w="440" w:type="dxa"/>
            <w:vAlign w:val="bottom"/>
            <w:shd w:val="clear" w:color="auto" w:fill="6C6D71"/>
          </w:tcPr>
          <w:p>
            <w:pPr>
              <w:ind w:left="340"/>
              <w:spacing w:after="0"/>
              <w:rPr>
                <w:sz w:val="20"/>
                <w:szCs w:val="20"/>
                <w:color w:val="auto"/>
              </w:rPr>
            </w:pPr>
            <w:r>
              <w:rPr>
                <w:rFonts w:ascii="Arial" w:cs="Arial" w:eastAsia="Arial" w:hAnsi="Arial"/>
                <w:sz w:val="16"/>
                <w:szCs w:val="16"/>
                <w:color w:val="0233A1"/>
              </w:rPr>
              <w:t>•</w:t>
            </w:r>
          </w:p>
        </w:tc>
        <w:tc>
          <w:tcPr>
            <w:tcW w:w="4440" w:type="dxa"/>
            <w:vAlign w:val="bottom"/>
            <w:gridSpan w:val="3"/>
            <w:shd w:val="clear" w:color="auto" w:fill="6C6D71"/>
          </w:tcPr>
          <w:p>
            <w:pPr>
              <w:ind w:left="60"/>
              <w:spacing w:after="0"/>
              <w:rPr>
                <w:sz w:val="20"/>
                <w:szCs w:val="20"/>
                <w:color w:val="auto"/>
              </w:rPr>
            </w:pPr>
            <w:r>
              <w:rPr>
                <w:rFonts w:ascii="Arial" w:cs="Arial" w:eastAsia="Arial" w:hAnsi="Arial"/>
                <w:sz w:val="16"/>
                <w:szCs w:val="16"/>
                <w:color w:val="FFFFFF"/>
              </w:rPr>
              <w:t>Provides a base level of competitive cash</w:t>
            </w:r>
          </w:p>
        </w:tc>
        <w:tc>
          <w:tcPr>
            <w:tcW w:w="1800" w:type="dxa"/>
            <w:vAlign w:val="bottom"/>
            <w:shd w:val="clear" w:color="auto" w:fill="6C6D71"/>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2040" w:type="dxa"/>
            <w:vAlign w:val="bottom"/>
            <w:gridSpan w:val="2"/>
            <w:vMerge w:val="restart"/>
            <w:shd w:val="clear" w:color="auto" w:fill="6C6D71"/>
          </w:tcPr>
          <w:p>
            <w:pPr>
              <w:ind w:left="740"/>
              <w:spacing w:after="0"/>
              <w:rPr>
                <w:sz w:val="20"/>
                <w:szCs w:val="20"/>
                <w:color w:val="auto"/>
              </w:rPr>
            </w:pPr>
            <w:r>
              <w:rPr>
                <w:rFonts w:ascii="Arial" w:cs="Arial" w:eastAsia="Arial" w:hAnsi="Arial"/>
                <w:sz w:val="16"/>
                <w:szCs w:val="16"/>
                <w:b w:val="1"/>
                <w:bCs w:val="1"/>
                <w:color w:val="FFFFFF"/>
              </w:rPr>
              <w:t>Base Salary</w:t>
            </w:r>
          </w:p>
        </w:tc>
        <w:tc>
          <w:tcPr>
            <w:tcW w:w="2520" w:type="dxa"/>
            <w:vAlign w:val="bottom"/>
            <w:vMerge w:val="continue"/>
            <w:shd w:val="clear" w:color="auto" w:fill="6C6D71"/>
          </w:tcPr>
          <w:p>
            <w:pPr>
              <w:spacing w:after="0"/>
              <w:rPr>
                <w:sz w:val="8"/>
                <w:szCs w:val="8"/>
                <w:color w:val="auto"/>
              </w:rPr>
            </w:pPr>
          </w:p>
        </w:tc>
        <w:tc>
          <w:tcPr>
            <w:tcW w:w="440" w:type="dxa"/>
            <w:vAlign w:val="bottom"/>
            <w:shd w:val="clear" w:color="auto" w:fill="6C6D71"/>
          </w:tcPr>
          <w:p>
            <w:pPr>
              <w:spacing w:after="0"/>
              <w:rPr>
                <w:sz w:val="8"/>
                <w:szCs w:val="8"/>
                <w:color w:val="auto"/>
              </w:rPr>
            </w:pPr>
          </w:p>
        </w:tc>
        <w:tc>
          <w:tcPr>
            <w:tcW w:w="4440" w:type="dxa"/>
            <w:vAlign w:val="bottom"/>
            <w:gridSpan w:val="3"/>
            <w:vMerge w:val="restart"/>
            <w:shd w:val="clear" w:color="auto" w:fill="6C6D71"/>
          </w:tcPr>
          <w:p>
            <w:pPr>
              <w:ind w:left="60"/>
              <w:spacing w:after="0"/>
              <w:rPr>
                <w:sz w:val="20"/>
                <w:szCs w:val="20"/>
                <w:color w:val="auto"/>
              </w:rPr>
            </w:pPr>
            <w:r>
              <w:rPr>
                <w:rFonts w:ascii="Arial" w:cs="Arial" w:eastAsia="Arial" w:hAnsi="Arial"/>
                <w:sz w:val="16"/>
                <w:szCs w:val="16"/>
                <w:color w:val="FFFFFF"/>
              </w:rPr>
              <w:t>compensation, while all other pay elements are</w:t>
            </w:r>
          </w:p>
        </w:tc>
        <w:tc>
          <w:tcPr>
            <w:tcW w:w="1800" w:type="dxa"/>
            <w:vAlign w:val="bottom"/>
            <w:shd w:val="clear" w:color="auto" w:fill="6C6D71"/>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40" w:type="dxa"/>
            <w:vAlign w:val="bottom"/>
            <w:gridSpan w:val="2"/>
            <w:vMerge w:val="continue"/>
            <w:shd w:val="clear" w:color="auto" w:fill="6C6D71"/>
          </w:tcPr>
          <w:p>
            <w:pPr>
              <w:spacing w:after="0"/>
              <w:rPr>
                <w:sz w:val="8"/>
                <w:szCs w:val="8"/>
                <w:color w:val="auto"/>
              </w:rPr>
            </w:pPr>
          </w:p>
        </w:tc>
        <w:tc>
          <w:tcPr>
            <w:tcW w:w="2520" w:type="dxa"/>
            <w:vAlign w:val="bottom"/>
            <w:vMerge w:val="restart"/>
            <w:shd w:val="clear" w:color="auto" w:fill="6C6D71"/>
          </w:tcPr>
          <w:p>
            <w:pPr>
              <w:ind w:left="380"/>
              <w:spacing w:after="0"/>
              <w:rPr>
                <w:sz w:val="20"/>
                <w:szCs w:val="20"/>
                <w:color w:val="auto"/>
              </w:rPr>
            </w:pPr>
            <w:r>
              <w:rPr>
                <w:rFonts w:ascii="Arial" w:cs="Arial" w:eastAsia="Arial" w:hAnsi="Arial"/>
                <w:sz w:val="16"/>
                <w:szCs w:val="16"/>
                <w:color w:val="FFFFFF"/>
              </w:rPr>
              <w:t>element</w:t>
            </w:r>
          </w:p>
        </w:tc>
        <w:tc>
          <w:tcPr>
            <w:tcW w:w="440" w:type="dxa"/>
            <w:vAlign w:val="bottom"/>
            <w:shd w:val="clear" w:color="auto" w:fill="6C6D71"/>
          </w:tcPr>
          <w:p>
            <w:pPr>
              <w:spacing w:after="0"/>
              <w:rPr>
                <w:sz w:val="8"/>
                <w:szCs w:val="8"/>
                <w:color w:val="auto"/>
              </w:rPr>
            </w:pPr>
          </w:p>
        </w:tc>
        <w:tc>
          <w:tcPr>
            <w:tcW w:w="4440" w:type="dxa"/>
            <w:vAlign w:val="bottom"/>
            <w:gridSpan w:val="3"/>
            <w:vMerge w:val="continue"/>
            <w:shd w:val="clear" w:color="auto" w:fill="6C6D71"/>
          </w:tcPr>
          <w:p>
            <w:pPr>
              <w:spacing w:after="0"/>
              <w:rPr>
                <w:sz w:val="8"/>
                <w:szCs w:val="8"/>
                <w:color w:val="auto"/>
              </w:rPr>
            </w:pPr>
          </w:p>
        </w:tc>
        <w:tc>
          <w:tcPr>
            <w:tcW w:w="1800" w:type="dxa"/>
            <w:vAlign w:val="bottom"/>
            <w:shd w:val="clear" w:color="auto" w:fill="6C6D71"/>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920" w:type="dxa"/>
            <w:vAlign w:val="bottom"/>
            <w:shd w:val="clear" w:color="auto" w:fill="6C6D71"/>
          </w:tcPr>
          <w:p>
            <w:pPr>
              <w:spacing w:after="0"/>
              <w:rPr>
                <w:sz w:val="10"/>
                <w:szCs w:val="10"/>
                <w:color w:val="auto"/>
              </w:rPr>
            </w:pPr>
          </w:p>
        </w:tc>
        <w:tc>
          <w:tcPr>
            <w:tcW w:w="1120" w:type="dxa"/>
            <w:vAlign w:val="bottom"/>
            <w:shd w:val="clear" w:color="auto" w:fill="6C6D71"/>
          </w:tcPr>
          <w:p>
            <w:pPr>
              <w:spacing w:after="0"/>
              <w:rPr>
                <w:sz w:val="10"/>
                <w:szCs w:val="10"/>
                <w:color w:val="auto"/>
              </w:rPr>
            </w:pPr>
          </w:p>
        </w:tc>
        <w:tc>
          <w:tcPr>
            <w:tcW w:w="2520" w:type="dxa"/>
            <w:vAlign w:val="bottom"/>
            <w:vMerge w:val="continue"/>
            <w:shd w:val="clear" w:color="auto" w:fill="6C6D71"/>
          </w:tcPr>
          <w:p>
            <w:pPr>
              <w:spacing w:after="0"/>
              <w:rPr>
                <w:sz w:val="10"/>
                <w:szCs w:val="10"/>
                <w:color w:val="auto"/>
              </w:rPr>
            </w:pPr>
          </w:p>
        </w:tc>
        <w:tc>
          <w:tcPr>
            <w:tcW w:w="440" w:type="dxa"/>
            <w:vAlign w:val="bottom"/>
            <w:shd w:val="clear" w:color="auto" w:fill="6C6D71"/>
          </w:tcPr>
          <w:p>
            <w:pPr>
              <w:spacing w:after="0"/>
              <w:rPr>
                <w:sz w:val="10"/>
                <w:szCs w:val="10"/>
                <w:color w:val="auto"/>
              </w:rPr>
            </w:pPr>
          </w:p>
        </w:tc>
        <w:tc>
          <w:tcPr>
            <w:tcW w:w="4440" w:type="dxa"/>
            <w:vAlign w:val="bottom"/>
            <w:gridSpan w:val="3"/>
            <w:vMerge w:val="restart"/>
            <w:shd w:val="clear" w:color="auto" w:fill="6C6D71"/>
          </w:tcPr>
          <w:p>
            <w:pPr>
              <w:ind w:left="60"/>
              <w:spacing w:after="0"/>
              <w:rPr>
                <w:sz w:val="20"/>
                <w:szCs w:val="20"/>
                <w:color w:val="auto"/>
              </w:rPr>
            </w:pPr>
            <w:r>
              <w:rPr>
                <w:rFonts w:ascii="Arial" w:cs="Arial" w:eastAsia="Arial" w:hAnsi="Arial"/>
                <w:sz w:val="16"/>
                <w:szCs w:val="16"/>
                <w:color w:val="FFFFFF"/>
              </w:rPr>
              <w:t>variable or contingent on performance</w:t>
            </w:r>
          </w:p>
        </w:tc>
        <w:tc>
          <w:tcPr>
            <w:tcW w:w="1800" w:type="dxa"/>
            <w:vAlign w:val="bottom"/>
            <w:shd w:val="clear" w:color="auto" w:fill="6C6D71"/>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920" w:type="dxa"/>
            <w:vAlign w:val="bottom"/>
            <w:shd w:val="clear" w:color="auto" w:fill="6C6D71"/>
          </w:tcPr>
          <w:p>
            <w:pPr>
              <w:spacing w:after="0"/>
              <w:rPr>
                <w:sz w:val="8"/>
                <w:szCs w:val="8"/>
                <w:color w:val="auto"/>
              </w:rPr>
            </w:pPr>
          </w:p>
        </w:tc>
        <w:tc>
          <w:tcPr>
            <w:tcW w:w="1120" w:type="dxa"/>
            <w:vAlign w:val="bottom"/>
            <w:shd w:val="clear" w:color="auto" w:fill="6C6D71"/>
          </w:tcPr>
          <w:p>
            <w:pPr>
              <w:spacing w:after="0"/>
              <w:rPr>
                <w:sz w:val="8"/>
                <w:szCs w:val="8"/>
                <w:color w:val="auto"/>
              </w:rPr>
            </w:pPr>
          </w:p>
        </w:tc>
        <w:tc>
          <w:tcPr>
            <w:tcW w:w="2520" w:type="dxa"/>
            <w:vAlign w:val="bottom"/>
            <w:shd w:val="clear" w:color="auto" w:fill="6C6D71"/>
          </w:tcPr>
          <w:p>
            <w:pPr>
              <w:spacing w:after="0"/>
              <w:rPr>
                <w:sz w:val="8"/>
                <w:szCs w:val="8"/>
                <w:color w:val="auto"/>
              </w:rPr>
            </w:pPr>
          </w:p>
        </w:tc>
        <w:tc>
          <w:tcPr>
            <w:tcW w:w="440" w:type="dxa"/>
            <w:vAlign w:val="bottom"/>
            <w:shd w:val="clear" w:color="auto" w:fill="6C6D71"/>
          </w:tcPr>
          <w:p>
            <w:pPr>
              <w:spacing w:after="0"/>
              <w:rPr>
                <w:sz w:val="8"/>
                <w:szCs w:val="8"/>
                <w:color w:val="auto"/>
              </w:rPr>
            </w:pPr>
          </w:p>
        </w:tc>
        <w:tc>
          <w:tcPr>
            <w:tcW w:w="4440" w:type="dxa"/>
            <w:vAlign w:val="bottom"/>
            <w:gridSpan w:val="3"/>
            <w:vMerge w:val="continue"/>
            <w:shd w:val="clear" w:color="auto" w:fill="6C6D71"/>
          </w:tcPr>
          <w:p>
            <w:pPr>
              <w:spacing w:after="0"/>
              <w:rPr>
                <w:sz w:val="8"/>
                <w:szCs w:val="8"/>
                <w:color w:val="auto"/>
              </w:rPr>
            </w:pPr>
          </w:p>
        </w:tc>
        <w:tc>
          <w:tcPr>
            <w:tcW w:w="1800" w:type="dxa"/>
            <w:vAlign w:val="bottom"/>
            <w:shd w:val="clear" w:color="auto" w:fill="6C6D71"/>
          </w:tcPr>
          <w:p>
            <w:pPr>
              <w:spacing w:after="0"/>
              <w:rPr>
                <w:sz w:val="8"/>
                <w:szCs w:val="8"/>
                <w:color w:val="auto"/>
              </w:rPr>
            </w:pPr>
          </w:p>
        </w:tc>
        <w:tc>
          <w:tcPr>
            <w:tcW w:w="0" w:type="dxa"/>
            <w:vAlign w:val="bottom"/>
          </w:tcPr>
          <w:p>
            <w:pPr>
              <w:spacing w:after="0"/>
              <w:rPr>
                <w:sz w:val="1"/>
                <w:szCs w:val="1"/>
                <w:color w:val="auto"/>
              </w:rPr>
            </w:pPr>
          </w:p>
        </w:tc>
      </w:tr>
      <w:tr>
        <w:trPr>
          <w:trHeight w:val="177"/>
        </w:trPr>
        <w:tc>
          <w:tcPr>
            <w:tcW w:w="920" w:type="dxa"/>
            <w:vAlign w:val="bottom"/>
            <w:shd w:val="clear" w:color="auto" w:fill="6C6D71"/>
          </w:tcPr>
          <w:p>
            <w:pPr>
              <w:spacing w:after="0"/>
              <w:rPr>
                <w:sz w:val="15"/>
                <w:szCs w:val="15"/>
                <w:color w:val="auto"/>
              </w:rPr>
            </w:pPr>
          </w:p>
        </w:tc>
        <w:tc>
          <w:tcPr>
            <w:tcW w:w="1120" w:type="dxa"/>
            <w:vAlign w:val="bottom"/>
            <w:shd w:val="clear" w:color="auto" w:fill="6C6D71"/>
          </w:tcPr>
          <w:p>
            <w:pPr>
              <w:spacing w:after="0"/>
              <w:rPr>
                <w:sz w:val="15"/>
                <w:szCs w:val="15"/>
                <w:color w:val="auto"/>
              </w:rPr>
            </w:pPr>
          </w:p>
        </w:tc>
        <w:tc>
          <w:tcPr>
            <w:tcW w:w="2520" w:type="dxa"/>
            <w:vAlign w:val="bottom"/>
            <w:shd w:val="clear" w:color="auto" w:fill="6C6D71"/>
          </w:tcPr>
          <w:p>
            <w:pPr>
              <w:spacing w:after="0"/>
              <w:rPr>
                <w:sz w:val="15"/>
                <w:szCs w:val="15"/>
                <w:color w:val="auto"/>
              </w:rPr>
            </w:pPr>
          </w:p>
        </w:tc>
        <w:tc>
          <w:tcPr>
            <w:tcW w:w="440" w:type="dxa"/>
            <w:vAlign w:val="bottom"/>
            <w:shd w:val="clear" w:color="auto" w:fill="6C6D71"/>
          </w:tcPr>
          <w:p>
            <w:pPr>
              <w:spacing w:after="0"/>
              <w:rPr>
                <w:sz w:val="15"/>
                <w:szCs w:val="15"/>
                <w:color w:val="auto"/>
              </w:rPr>
            </w:pPr>
          </w:p>
        </w:tc>
        <w:tc>
          <w:tcPr>
            <w:tcW w:w="400" w:type="dxa"/>
            <w:vAlign w:val="bottom"/>
            <w:shd w:val="clear" w:color="auto" w:fill="6C6D71"/>
          </w:tcPr>
          <w:p>
            <w:pPr>
              <w:spacing w:after="0"/>
              <w:rPr>
                <w:sz w:val="15"/>
                <w:szCs w:val="15"/>
                <w:color w:val="auto"/>
              </w:rPr>
            </w:pPr>
          </w:p>
        </w:tc>
        <w:tc>
          <w:tcPr>
            <w:tcW w:w="460" w:type="dxa"/>
            <w:vAlign w:val="bottom"/>
            <w:shd w:val="clear" w:color="auto" w:fill="6C6D71"/>
          </w:tcPr>
          <w:p>
            <w:pPr>
              <w:spacing w:after="0"/>
              <w:rPr>
                <w:sz w:val="15"/>
                <w:szCs w:val="15"/>
                <w:color w:val="auto"/>
              </w:rPr>
            </w:pPr>
          </w:p>
        </w:tc>
        <w:tc>
          <w:tcPr>
            <w:tcW w:w="3580" w:type="dxa"/>
            <w:vAlign w:val="bottom"/>
            <w:shd w:val="clear" w:color="auto" w:fill="6C6D71"/>
          </w:tcPr>
          <w:p>
            <w:pPr>
              <w:spacing w:after="0"/>
              <w:rPr>
                <w:sz w:val="15"/>
                <w:szCs w:val="15"/>
                <w:color w:val="auto"/>
              </w:rPr>
            </w:pPr>
          </w:p>
        </w:tc>
        <w:tc>
          <w:tcPr>
            <w:tcW w:w="1800" w:type="dxa"/>
            <w:vAlign w:val="bottom"/>
            <w:shd w:val="clear" w:color="auto" w:fill="6C6D71"/>
          </w:tcPr>
          <w:p>
            <w:pPr>
              <w:spacing w:after="0"/>
              <w:rPr>
                <w:sz w:val="15"/>
                <w:szCs w:val="15"/>
                <w:color w:val="auto"/>
              </w:rPr>
            </w:pPr>
          </w:p>
        </w:tc>
        <w:tc>
          <w:tcPr>
            <w:tcW w:w="0" w:type="dxa"/>
            <w:vAlign w:val="bottom"/>
          </w:tcPr>
          <w:p>
            <w:pPr>
              <w:spacing w:after="0"/>
              <w:rPr>
                <w:sz w:val="1"/>
                <w:szCs w:val="1"/>
                <w:color w:val="auto"/>
              </w:rPr>
            </w:pPr>
          </w:p>
        </w:tc>
      </w:tr>
      <w:tr>
        <w:trPr>
          <w:trHeight w:val="668"/>
        </w:trPr>
        <w:tc>
          <w:tcPr>
            <w:tcW w:w="9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34</w:t>
            </w:r>
          </w:p>
        </w:tc>
        <w:tc>
          <w:tcPr>
            <w:tcW w:w="3580" w:type="dxa"/>
            <w:vAlign w:val="bottom"/>
            <w:tcBorders>
              <w:bottom w:val="single" w:sz="8" w:color="auto"/>
            </w:tcBorders>
          </w:tcPr>
          <w:p>
            <w:pPr>
              <w:spacing w:after="0"/>
              <w:rPr>
                <w:sz w:val="24"/>
                <w:szCs w:val="24"/>
                <w:color w:val="auto"/>
              </w:rPr>
            </w:pPr>
          </w:p>
        </w:tc>
        <w:tc>
          <w:tcPr>
            <w:tcW w:w="1800" w:type="dxa"/>
            <w:vAlign w:val="bottom"/>
            <w:vMerge w:val="restart"/>
          </w:tcPr>
          <w:p>
            <w:pPr>
              <w:ind w:left="120"/>
              <w:spacing w:after="0"/>
              <w:rPr>
                <w:sz w:val="20"/>
                <w:szCs w:val="20"/>
                <w:color w:val="auto"/>
              </w:rPr>
            </w:pPr>
            <w:r>
              <w:rPr>
                <w:rFonts w:ascii="Arial" w:cs="Arial" w:eastAsia="Arial" w:hAnsi="Arial"/>
                <w:sz w:val="16"/>
                <w:szCs w:val="16"/>
                <w:b w:val="1"/>
                <w:bCs w:val="1"/>
                <w:color w:val="636466"/>
                <w:w w:val="99"/>
              </w:rPr>
              <w:t>2024 Proxy Statement</w:t>
            </w:r>
          </w:p>
        </w:tc>
        <w:tc>
          <w:tcPr>
            <w:tcW w:w="0" w:type="dxa"/>
            <w:vAlign w:val="bottom"/>
          </w:tcPr>
          <w:p>
            <w:pPr>
              <w:spacing w:after="0"/>
              <w:rPr>
                <w:sz w:val="1"/>
                <w:szCs w:val="1"/>
                <w:color w:val="auto"/>
              </w:rPr>
            </w:pPr>
          </w:p>
        </w:tc>
      </w:tr>
      <w:tr>
        <w:trPr>
          <w:trHeight w:val="74"/>
        </w:trPr>
        <w:tc>
          <w:tcPr>
            <w:tcW w:w="9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5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3580" w:type="dxa"/>
            <w:vAlign w:val="bottom"/>
          </w:tcPr>
          <w:p>
            <w:pPr>
              <w:spacing w:after="0"/>
              <w:rPr>
                <w:sz w:val="6"/>
                <w:szCs w:val="6"/>
                <w:color w:val="auto"/>
              </w:rPr>
            </w:pPr>
          </w:p>
        </w:tc>
        <w:tc>
          <w:tcPr>
            <w:tcW w:w="1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46"/>
        </w:trPr>
        <w:tc>
          <w:tcPr>
            <w:tcW w:w="920" w:type="dxa"/>
            <w:vAlign w:val="bottom"/>
            <w:tcBorders>
              <w:bottom w:val="single" w:sz="8" w:color="C0C0C0"/>
            </w:tcBorders>
          </w:tcPr>
          <w:p>
            <w:pPr>
              <w:spacing w:after="0"/>
              <w:rPr>
                <w:sz w:val="24"/>
                <w:szCs w:val="24"/>
                <w:color w:val="auto"/>
              </w:rPr>
            </w:pPr>
          </w:p>
        </w:tc>
        <w:tc>
          <w:tcPr>
            <w:tcW w:w="1120" w:type="dxa"/>
            <w:vAlign w:val="bottom"/>
            <w:tcBorders>
              <w:bottom w:val="single" w:sz="8" w:color="C0C0C0"/>
            </w:tcBorders>
          </w:tcPr>
          <w:p>
            <w:pPr>
              <w:spacing w:after="0"/>
              <w:rPr>
                <w:sz w:val="24"/>
                <w:szCs w:val="24"/>
                <w:color w:val="auto"/>
              </w:rPr>
            </w:pPr>
          </w:p>
        </w:tc>
        <w:tc>
          <w:tcPr>
            <w:tcW w:w="2520" w:type="dxa"/>
            <w:vAlign w:val="bottom"/>
            <w:tcBorders>
              <w:bottom w:val="single" w:sz="8" w:color="C0C0C0"/>
            </w:tcBorders>
          </w:tcPr>
          <w:p>
            <w:pPr>
              <w:spacing w:after="0"/>
              <w:rPr>
                <w:sz w:val="24"/>
                <w:szCs w:val="24"/>
                <w:color w:val="auto"/>
              </w:rPr>
            </w:pPr>
          </w:p>
        </w:tc>
        <w:tc>
          <w:tcPr>
            <w:tcW w:w="440" w:type="dxa"/>
            <w:vAlign w:val="bottom"/>
            <w:tcBorders>
              <w:bottom w:val="single" w:sz="8" w:color="C0C0C0"/>
            </w:tcBorders>
          </w:tcPr>
          <w:p>
            <w:pPr>
              <w:spacing w:after="0"/>
              <w:rPr>
                <w:sz w:val="24"/>
                <w:szCs w:val="24"/>
                <w:color w:val="auto"/>
              </w:rPr>
            </w:pPr>
          </w:p>
        </w:tc>
        <w:tc>
          <w:tcPr>
            <w:tcW w:w="4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3580" w:type="dxa"/>
            <w:vAlign w:val="bottom"/>
            <w:tcBorders>
              <w:bottom w:val="single" w:sz="8" w:color="C0C0C0"/>
            </w:tcBorders>
          </w:tcPr>
          <w:p>
            <w:pPr>
              <w:spacing w:after="0"/>
              <w:rPr>
                <w:sz w:val="24"/>
                <w:szCs w:val="24"/>
                <w:color w:val="auto"/>
              </w:rPr>
            </w:pPr>
          </w:p>
        </w:tc>
        <w:tc>
          <w:tcPr>
            <w:tcW w:w="18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-1225550</wp:posOffset>
            </wp:positionV>
            <wp:extent cx="93980" cy="28257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9398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-530860</wp:posOffset>
            </wp:positionV>
            <wp:extent cx="471170" cy="28257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471170" cy="28257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setting our executives’ compensation, our Compensation Committee believes that:</w:t>
      </w:r>
    </w:p>
    <w:p>
      <w:pPr>
        <w:spacing w:after="0" w:line="194" w:lineRule="exact"/>
        <w:rPr>
          <w:sz w:val="20"/>
          <w:szCs w:val="20"/>
          <w:color w:val="auto"/>
        </w:rPr>
      </w:pPr>
    </w:p>
    <w:p>
      <w:pPr>
        <w:ind w:left="500" w:hanging="168"/>
        <w:spacing w:after="0" w:line="286" w:lineRule="auto"/>
        <w:tabs>
          <w:tab w:leader="none" w:pos="500" w:val="left"/>
        </w:tabs>
        <w:numPr>
          <w:ilvl w:val="0"/>
          <w:numId w:val="30"/>
        </w:numPr>
        <w:rPr>
          <w:rFonts w:ascii="Arial" w:cs="Arial" w:eastAsia="Arial" w:hAnsi="Arial"/>
          <w:sz w:val="16"/>
          <w:szCs w:val="16"/>
          <w:b w:val="1"/>
          <w:bCs w:val="1"/>
          <w:color w:val="0233A1"/>
        </w:rPr>
      </w:pPr>
      <w:r>
        <w:rPr>
          <w:rFonts w:ascii="Arial" w:cs="Arial" w:eastAsia="Arial" w:hAnsi="Arial"/>
          <w:sz w:val="16"/>
          <w:szCs w:val="16"/>
          <w:color w:val="auto"/>
        </w:rPr>
        <w:t>the pay of our NEOs and other executives should be strongly linked to performance that is evaluated against financial and strategic objectives, and should balance incentivizing outperformance, ensuring retention, and maximizing shareholder value,</w:t>
      </w:r>
    </w:p>
    <w:p>
      <w:pPr>
        <w:spacing w:after="0" w:line="20" w:lineRule="exact"/>
        <w:rPr>
          <w:rFonts w:ascii="Arial" w:cs="Arial" w:eastAsia="Arial" w:hAnsi="Arial"/>
          <w:sz w:val="16"/>
          <w:szCs w:val="16"/>
          <w:b w:val="1"/>
          <w:bCs w:val="1"/>
          <w:color w:val="0233A1"/>
        </w:rPr>
      </w:pPr>
    </w:p>
    <w:p>
      <w:pPr>
        <w:ind w:left="500" w:hanging="168"/>
        <w:spacing w:after="0" w:line="286" w:lineRule="auto"/>
        <w:tabs>
          <w:tab w:leader="none" w:pos="500" w:val="left"/>
        </w:tabs>
        <w:numPr>
          <w:ilvl w:val="0"/>
          <w:numId w:val="30"/>
        </w:numPr>
        <w:rPr>
          <w:rFonts w:ascii="Arial" w:cs="Arial" w:eastAsia="Arial" w:hAnsi="Arial"/>
          <w:sz w:val="16"/>
          <w:szCs w:val="16"/>
          <w:b w:val="1"/>
          <w:bCs w:val="1"/>
          <w:color w:val="0233A1"/>
        </w:rPr>
      </w:pPr>
      <w:r>
        <w:rPr>
          <w:rFonts w:ascii="Arial" w:cs="Arial" w:eastAsia="Arial" w:hAnsi="Arial"/>
          <w:sz w:val="16"/>
          <w:szCs w:val="16"/>
          <w:color w:val="auto"/>
        </w:rPr>
        <w:t>our performance-based LTI and STI awards should utilize clear, quantitative financial metrics that are closely aligned with our corporate strategy and stated external objectives and should be effective through all industry cycles,</w:t>
      </w:r>
    </w:p>
    <w:p>
      <w:pPr>
        <w:spacing w:after="0" w:line="20" w:lineRule="exact"/>
        <w:rPr>
          <w:rFonts w:ascii="Arial" w:cs="Arial" w:eastAsia="Arial" w:hAnsi="Arial"/>
          <w:sz w:val="16"/>
          <w:szCs w:val="16"/>
          <w:b w:val="1"/>
          <w:bCs w:val="1"/>
          <w:color w:val="0233A1"/>
        </w:rPr>
      </w:pPr>
    </w:p>
    <w:p>
      <w:pPr>
        <w:jc w:val="both"/>
        <w:ind w:left="500" w:hanging="168"/>
        <w:spacing w:after="0" w:line="266" w:lineRule="auto"/>
        <w:tabs>
          <w:tab w:leader="none" w:pos="500" w:val="left"/>
        </w:tabs>
        <w:numPr>
          <w:ilvl w:val="0"/>
          <w:numId w:val="30"/>
        </w:numPr>
        <w:rPr>
          <w:rFonts w:ascii="Arial" w:cs="Arial" w:eastAsia="Arial" w:hAnsi="Arial"/>
          <w:sz w:val="16"/>
          <w:szCs w:val="16"/>
          <w:b w:val="1"/>
          <w:bCs w:val="1"/>
          <w:color w:val="0233A1"/>
        </w:rPr>
      </w:pPr>
      <w:r>
        <w:rPr>
          <w:rFonts w:ascii="Arial" w:cs="Arial" w:eastAsia="Arial" w:hAnsi="Arial"/>
          <w:sz w:val="16"/>
          <w:szCs w:val="16"/>
          <w:color w:val="auto"/>
        </w:rPr>
        <w:t>LTI awards should encourage the creation of long-term shareholder value, align our executives’ compensation with our shareholder returns, and incentivize our executives to achieve difficult but attainable strategic and financial goals that support our long-term performance and our leadership position in our industry,</w:t>
      </w:r>
    </w:p>
    <w:p>
      <w:pPr>
        <w:spacing w:after="0" w:line="36" w:lineRule="exact"/>
        <w:rPr>
          <w:rFonts w:ascii="Arial" w:cs="Arial" w:eastAsia="Arial" w:hAnsi="Arial"/>
          <w:sz w:val="16"/>
          <w:szCs w:val="16"/>
          <w:b w:val="1"/>
          <w:bCs w:val="1"/>
          <w:color w:val="0233A1"/>
        </w:rPr>
      </w:pPr>
    </w:p>
    <w:p>
      <w:pPr>
        <w:ind w:left="500" w:hanging="168"/>
        <w:spacing w:after="0" w:line="286" w:lineRule="auto"/>
        <w:tabs>
          <w:tab w:leader="none" w:pos="500" w:val="left"/>
        </w:tabs>
        <w:numPr>
          <w:ilvl w:val="0"/>
          <w:numId w:val="30"/>
        </w:numPr>
        <w:rPr>
          <w:rFonts w:ascii="Arial" w:cs="Arial" w:eastAsia="Arial" w:hAnsi="Arial"/>
          <w:sz w:val="16"/>
          <w:szCs w:val="16"/>
          <w:b w:val="1"/>
          <w:bCs w:val="1"/>
          <w:color w:val="0233A1"/>
        </w:rPr>
      </w:pPr>
      <w:r>
        <w:rPr>
          <w:rFonts w:ascii="Arial" w:cs="Arial" w:eastAsia="Arial" w:hAnsi="Arial"/>
          <w:sz w:val="16"/>
          <w:szCs w:val="16"/>
          <w:color w:val="auto"/>
        </w:rPr>
        <w:t>our executive compensation structure should enable us to recruit, develop, motivate, and retain top global talent, both in the short term and long term, and</w:t>
      </w:r>
    </w:p>
    <w:p>
      <w:pPr>
        <w:spacing w:after="0" w:line="20" w:lineRule="exact"/>
        <w:rPr>
          <w:rFonts w:ascii="Arial" w:cs="Arial" w:eastAsia="Arial" w:hAnsi="Arial"/>
          <w:sz w:val="16"/>
          <w:szCs w:val="16"/>
          <w:b w:val="1"/>
          <w:bCs w:val="1"/>
          <w:color w:val="0233A1"/>
        </w:rPr>
      </w:pPr>
    </w:p>
    <w:p>
      <w:pPr>
        <w:ind w:left="500" w:hanging="168"/>
        <w:spacing w:after="0" w:line="286" w:lineRule="auto"/>
        <w:tabs>
          <w:tab w:leader="none" w:pos="500" w:val="left"/>
        </w:tabs>
        <w:numPr>
          <w:ilvl w:val="0"/>
          <w:numId w:val="30"/>
        </w:numPr>
        <w:rPr>
          <w:rFonts w:ascii="Arial" w:cs="Arial" w:eastAsia="Arial" w:hAnsi="Arial"/>
          <w:sz w:val="16"/>
          <w:szCs w:val="16"/>
          <w:b w:val="1"/>
          <w:bCs w:val="1"/>
          <w:color w:val="0233A1"/>
        </w:rPr>
      </w:pPr>
      <w:r>
        <w:rPr>
          <w:rFonts w:ascii="Arial" w:cs="Arial" w:eastAsia="Arial" w:hAnsi="Arial"/>
          <w:sz w:val="16"/>
          <w:szCs w:val="16"/>
          <w:color w:val="auto"/>
        </w:rPr>
        <w:t>stock ownership guidelines, which require our executives to hold stock acquired through LTI awards, further align the interests of our executives with those of our other shareholders.</w:t>
      </w:r>
    </w:p>
    <w:p>
      <w:pPr>
        <w:spacing w:after="0" w:line="242" w:lineRule="exact"/>
        <w:rPr>
          <w:sz w:val="20"/>
          <w:szCs w:val="20"/>
          <w:color w:val="auto"/>
        </w:rPr>
      </w:pPr>
    </w:p>
    <w:p>
      <w:pPr>
        <w:spacing w:after="0"/>
        <w:rPr>
          <w:sz w:val="20"/>
          <w:szCs w:val="20"/>
          <w:color w:val="auto"/>
        </w:rPr>
      </w:pPr>
      <w:r>
        <w:rPr>
          <w:rFonts w:ascii="Arial" w:cs="Arial" w:eastAsia="Arial" w:hAnsi="Arial"/>
          <w:sz w:val="25"/>
          <w:szCs w:val="25"/>
          <w:color w:val="0233A1"/>
        </w:rPr>
        <w:t>At-Risk Pay Mix</w:t>
      </w:r>
    </w:p>
    <w:p>
      <w:pPr>
        <w:spacing w:after="0" w:line="207"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Our executive compensation program is designed so that the higher an executive’s position in the Company, the greater the percentage of compensation that is “at risk”. At-risk compensation refers to an executive’s LTI and STI awards. We believe that having a significant portion of our executives’ compensation at risk more closely aligns their interests with Company interests and with the interests of our shareholders.</w:t>
      </w:r>
    </w:p>
    <w:p>
      <w:pPr>
        <w:spacing w:after="0" w:line="144"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6"/>
          <w:szCs w:val="16"/>
          <w:color w:val="auto"/>
        </w:rPr>
        <w:t>Approximately 90% of our CEO’s 2023 target total compensation was at risk, and approximately 84% of our other NEOs’ 2023 target total compensation was at risk, as illustrated below.</w:t>
      </w:r>
    </w:p>
    <w:p>
      <w:pPr>
        <w:spacing w:after="0" w:line="129" w:lineRule="exact"/>
        <w:rPr>
          <w:sz w:val="20"/>
          <w:szCs w:val="20"/>
          <w:color w:val="auto"/>
        </w:rPr>
      </w:pPr>
    </w:p>
    <w:p>
      <w:pPr>
        <w:ind w:left="1800"/>
        <w:spacing w:after="0"/>
        <w:tabs>
          <w:tab w:leader="none" w:pos="6920" w:val="left"/>
        </w:tabs>
        <w:rPr>
          <w:sz w:val="20"/>
          <w:szCs w:val="20"/>
          <w:color w:val="auto"/>
        </w:rPr>
      </w:pPr>
      <w:r>
        <w:rPr>
          <w:rFonts w:ascii="Arial" w:cs="Arial" w:eastAsia="Arial" w:hAnsi="Arial"/>
          <w:sz w:val="16"/>
          <w:szCs w:val="16"/>
          <w:b w:val="1"/>
          <w:bCs w:val="1"/>
          <w:color w:val="auto"/>
        </w:rPr>
        <w:t>CEO 2023 Target Pay Mix</w:t>
      </w:r>
      <w:r>
        <w:rPr>
          <w:sz w:val="20"/>
          <w:szCs w:val="20"/>
          <w:color w:val="auto"/>
        </w:rPr>
        <w:tab/>
      </w:r>
      <w:r>
        <w:rPr>
          <w:rFonts w:ascii="Arial" w:cs="Arial" w:eastAsia="Arial" w:hAnsi="Arial"/>
          <w:sz w:val="16"/>
          <w:szCs w:val="16"/>
          <w:b w:val="1"/>
          <w:bCs w:val="1"/>
          <w:color w:val="auto"/>
        </w:rPr>
        <w:t>Other NEO 2023 Average Target Pay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132080</wp:posOffset>
            </wp:positionV>
            <wp:extent cx="6763385" cy="145732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763385" cy="145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Based on market data provided by Pay Governance, our Compensation Committee’s independent compensation consultant, the pay mix of our NEOs is well-aligned with that of the companies in our two main executive compensation peer groups, as described in “Other Aspects of Our Executive Compensation Program—Our Peer Group Companies” on page 47.</w:t>
      </w:r>
    </w:p>
    <w:p>
      <w:pPr>
        <w:spacing w:after="0" w:line="14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In January 2023, the Committee concluded that the mix of base salary, target STI, and target LTI was appropriate for each of our NEOs, based on the proportion of compensation elements at companies in our main executive compensation peer groups, as well as internal factors.</w:t>
      </w:r>
    </w:p>
    <w:p>
      <w:pPr>
        <w:spacing w:after="0" w:line="242" w:lineRule="exact"/>
        <w:rPr>
          <w:sz w:val="20"/>
          <w:szCs w:val="20"/>
          <w:color w:val="auto"/>
        </w:rPr>
      </w:pPr>
    </w:p>
    <w:p>
      <w:pPr>
        <w:spacing w:after="0"/>
        <w:rPr>
          <w:sz w:val="20"/>
          <w:szCs w:val="20"/>
          <w:color w:val="auto"/>
        </w:rPr>
      </w:pPr>
      <w:r>
        <w:rPr>
          <w:rFonts w:ascii="Arial" w:cs="Arial" w:eastAsia="Arial" w:hAnsi="Arial"/>
          <w:sz w:val="25"/>
          <w:szCs w:val="25"/>
          <w:color w:val="0233A1"/>
        </w:rPr>
        <w:t>Responsiveness to Shareholder Feedback</w:t>
      </w:r>
    </w:p>
    <w:p>
      <w:pPr>
        <w:spacing w:after="0" w:line="207" w:lineRule="exact"/>
        <w:rPr>
          <w:sz w:val="20"/>
          <w:szCs w:val="20"/>
          <w:color w:val="auto"/>
        </w:rPr>
      </w:pPr>
    </w:p>
    <w:p>
      <w:pPr>
        <w:jc w:val="both"/>
        <w:ind w:right="20" w:firstLine="324"/>
        <w:spacing w:after="0" w:line="255" w:lineRule="auto"/>
        <w:rPr>
          <w:sz w:val="20"/>
          <w:szCs w:val="20"/>
          <w:color w:val="auto"/>
        </w:rPr>
      </w:pPr>
      <w:r>
        <w:rPr>
          <w:rFonts w:ascii="Arial" w:cs="Arial" w:eastAsia="Arial" w:hAnsi="Arial"/>
          <w:sz w:val="16"/>
          <w:szCs w:val="16"/>
          <w:color w:val="auto"/>
        </w:rPr>
        <w:t>Our executive compensation program was largely designed and implemented in response to, and as a product of, past discussions with our shareholders. For example, in response to shareholder feedback, since 2021 our NEOs have received three-year relative TSR PSUs that directly align a</w:t>
      </w:r>
    </w:p>
    <w:p>
      <w:pPr>
        <w:jc w:val="both"/>
        <w:spacing w:after="0" w:line="231" w:lineRule="auto"/>
        <w:rPr>
          <w:sz w:val="20"/>
          <w:szCs w:val="20"/>
          <w:color w:val="auto"/>
        </w:rPr>
      </w:pPr>
      <w:r>
        <w:rPr>
          <w:rFonts w:ascii="Arial" w:cs="Arial" w:eastAsia="Arial" w:hAnsi="Arial"/>
          <w:sz w:val="16"/>
          <w:szCs w:val="16"/>
          <w:color w:val="auto"/>
        </w:rPr>
        <w:t>portion of their LTI payouts with shareholder value creation, with target performance goals set above median at the 60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Since 2022, the comparator group for our TSR PSUs has included the S&amp;P Global 1200 Energy Index, based on feedback that our shareholders evaluate our TSR performance against both our competitors and the broader global energy sector. And for 2023, our Compensation Committee incorporated into our STI plan a new quantitative component focused on reducing our Scope 3 emissions intensity and improving gender diversity in our workforce, to align our executives’ compensation with SLB’s non-financial strategic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191135</wp:posOffset>
            </wp:positionV>
            <wp:extent cx="471805" cy="28257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2024 Proxy Statement</w:t>
            </w:r>
          </w:p>
        </w:tc>
        <w:tc>
          <w:tcPr>
            <w:tcW w:w="3600" w:type="dxa"/>
            <w:vAlign w:val="bottom"/>
            <w:tcBorders>
              <w:bottom w:val="single" w:sz="8" w:color="auto"/>
            </w:tcBorders>
          </w:tcPr>
          <w:p>
            <w:pPr>
              <w:spacing w:after="0"/>
              <w:rPr>
                <w:sz w:val="12"/>
                <w:szCs w:val="12"/>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35</w:t>
            </w:r>
          </w:p>
        </w:tc>
        <w:tc>
          <w:tcPr>
            <w:tcW w:w="4480" w:type="dxa"/>
            <w:vAlign w:val="bottom"/>
            <w:tcBorders>
              <w:bottom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36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48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In 2023, we contacted shareholders representing more than 50% of our outstanding common stock, to seek their views on our executive compensation program, as well as other governance and sustainability topics. Members of SLB management met with shareholders representing approximately 29% of our outstanding common stock, and received positive feedback on the design of our executive compensation program. In addition, our executive compensation program received the support of our shareholders:</w:t>
      </w:r>
    </w:p>
    <w:p>
      <w:pPr>
        <w:spacing w:after="0" w:line="146" w:lineRule="exact"/>
        <w:rPr>
          <w:sz w:val="20"/>
          <w:szCs w:val="20"/>
          <w:color w:val="auto"/>
        </w:rPr>
      </w:pPr>
    </w:p>
    <w:p>
      <w:pPr>
        <w:ind w:left="500" w:hanging="168"/>
        <w:spacing w:after="0"/>
        <w:tabs>
          <w:tab w:leader="none" w:pos="500" w:val="left"/>
        </w:tabs>
        <w:numPr>
          <w:ilvl w:val="0"/>
          <w:numId w:val="31"/>
        </w:numPr>
        <w:rPr>
          <w:rFonts w:ascii="Arial" w:cs="Arial" w:eastAsia="Arial" w:hAnsi="Arial"/>
          <w:sz w:val="16"/>
          <w:szCs w:val="16"/>
          <w:b w:val="1"/>
          <w:bCs w:val="1"/>
          <w:color w:val="0233A1"/>
        </w:rPr>
      </w:pPr>
      <w:r>
        <w:rPr>
          <w:rFonts w:ascii="Arial" w:cs="Arial" w:eastAsia="Arial" w:hAnsi="Arial"/>
          <w:sz w:val="18"/>
          <w:szCs w:val="18"/>
          <w:b w:val="1"/>
          <w:bCs w:val="1"/>
          <w:color w:val="0233A1"/>
        </w:rPr>
        <w:t xml:space="preserve">97% </w:t>
      </w:r>
      <w:r>
        <w:rPr>
          <w:rFonts w:ascii="Arial" w:cs="Arial" w:eastAsia="Arial" w:hAnsi="Arial"/>
          <w:sz w:val="16"/>
          <w:szCs w:val="16"/>
          <w:color w:val="000000"/>
        </w:rPr>
        <w:t>of the votes cast at our 2023 AGM</w:t>
      </w:r>
    </w:p>
    <w:p>
      <w:pPr>
        <w:spacing w:after="0" w:line="81" w:lineRule="exact"/>
        <w:rPr>
          <w:rFonts w:ascii="Arial" w:cs="Arial" w:eastAsia="Arial" w:hAnsi="Arial"/>
          <w:sz w:val="16"/>
          <w:szCs w:val="16"/>
          <w:b w:val="1"/>
          <w:bCs w:val="1"/>
          <w:color w:val="0233A1"/>
        </w:rPr>
      </w:pPr>
    </w:p>
    <w:p>
      <w:pPr>
        <w:ind w:left="500" w:hanging="168"/>
        <w:spacing w:after="0"/>
        <w:tabs>
          <w:tab w:leader="none" w:pos="500" w:val="left"/>
        </w:tabs>
        <w:numPr>
          <w:ilvl w:val="0"/>
          <w:numId w:val="31"/>
        </w:numPr>
        <w:rPr>
          <w:rFonts w:ascii="Arial" w:cs="Arial" w:eastAsia="Arial" w:hAnsi="Arial"/>
          <w:sz w:val="16"/>
          <w:szCs w:val="16"/>
          <w:b w:val="1"/>
          <w:bCs w:val="1"/>
          <w:color w:val="0233A1"/>
        </w:rPr>
      </w:pPr>
      <w:r>
        <w:rPr>
          <w:rFonts w:ascii="Arial" w:cs="Arial" w:eastAsia="Arial" w:hAnsi="Arial"/>
          <w:sz w:val="16"/>
          <w:szCs w:val="16"/>
          <w:color w:val="auto"/>
        </w:rPr>
        <w:t>95% of the votes cast at our 2022 AGM</w:t>
      </w:r>
    </w:p>
    <w:p>
      <w:pPr>
        <w:spacing w:after="0" w:line="86" w:lineRule="exact"/>
        <w:rPr>
          <w:rFonts w:ascii="Arial" w:cs="Arial" w:eastAsia="Arial" w:hAnsi="Arial"/>
          <w:sz w:val="16"/>
          <w:szCs w:val="16"/>
          <w:b w:val="1"/>
          <w:bCs w:val="1"/>
          <w:color w:val="0233A1"/>
        </w:rPr>
      </w:pPr>
    </w:p>
    <w:p>
      <w:pPr>
        <w:ind w:left="500" w:hanging="168"/>
        <w:spacing w:after="0"/>
        <w:tabs>
          <w:tab w:leader="none" w:pos="500" w:val="left"/>
        </w:tabs>
        <w:numPr>
          <w:ilvl w:val="0"/>
          <w:numId w:val="31"/>
        </w:numPr>
        <w:rPr>
          <w:rFonts w:ascii="Arial" w:cs="Arial" w:eastAsia="Arial" w:hAnsi="Arial"/>
          <w:sz w:val="16"/>
          <w:szCs w:val="16"/>
          <w:b w:val="1"/>
          <w:bCs w:val="1"/>
          <w:color w:val="0233A1"/>
        </w:rPr>
      </w:pPr>
      <w:r>
        <w:rPr>
          <w:rFonts w:ascii="Arial" w:cs="Arial" w:eastAsia="Arial" w:hAnsi="Arial"/>
          <w:sz w:val="16"/>
          <w:szCs w:val="16"/>
          <w:color w:val="auto"/>
        </w:rPr>
        <w:t>95% of the votes cast at our 2021 AGM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132080</wp:posOffset>
            </wp:positionV>
            <wp:extent cx="2802890" cy="154305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802890" cy="154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a result, our Compensation Committee believes that our overall compensation program design is well-supported by our shareholders.</w:t>
      </w:r>
    </w:p>
    <w:p>
      <w:pPr>
        <w:spacing w:after="0" w:line="307" w:lineRule="exact"/>
        <w:rPr>
          <w:sz w:val="20"/>
          <w:szCs w:val="20"/>
          <w:color w:val="auto"/>
        </w:rPr>
      </w:pPr>
    </w:p>
    <w:p>
      <w:pPr>
        <w:spacing w:after="0"/>
        <w:rPr>
          <w:sz w:val="20"/>
          <w:szCs w:val="20"/>
          <w:color w:val="auto"/>
        </w:rPr>
      </w:pPr>
      <w:r>
        <w:rPr>
          <w:rFonts w:ascii="Arial" w:cs="Arial" w:eastAsia="Arial" w:hAnsi="Arial"/>
          <w:sz w:val="25"/>
          <w:szCs w:val="25"/>
          <w:color w:val="0233A1"/>
        </w:rPr>
        <w:t>Best Practices in Executive Compensation Governance</w:t>
      </w:r>
    </w:p>
    <w:p>
      <w:pPr>
        <w:spacing w:after="0" w:line="207"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Below is a summary of some of our executive compensation best practices and policies. For additional details, see “Executive Compensation Governance” beginning on page 48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18859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183" w:lineRule="exact"/>
        <w:rPr>
          <w:sz w:val="20"/>
          <w:szCs w:val="20"/>
          <w:color w:val="auto"/>
        </w:rPr>
      </w:pPr>
    </w:p>
    <w:p>
      <w:pPr>
        <w:jc w:val="center"/>
        <w:ind w:left="60"/>
        <w:spacing w:after="0"/>
        <w:rPr>
          <w:sz w:val="20"/>
          <w:szCs w:val="20"/>
          <w:color w:val="auto"/>
        </w:rPr>
      </w:pPr>
      <w:r>
        <w:rPr>
          <w:rFonts w:ascii="Arial" w:cs="Arial" w:eastAsia="Arial" w:hAnsi="Arial"/>
          <w:sz w:val="16"/>
          <w:szCs w:val="16"/>
          <w:b w:val="1"/>
          <w:bCs w:val="1"/>
          <w:color w:val="FFFFFF"/>
        </w:rPr>
        <w:t>What We Do</w:t>
      </w:r>
    </w:p>
    <w:p>
      <w:pPr>
        <w:spacing w:after="0" w:line="154" w:lineRule="exact"/>
        <w:rPr>
          <w:sz w:val="20"/>
          <w:szCs w:val="20"/>
          <w:color w:val="auto"/>
        </w:rPr>
      </w:pPr>
    </w:p>
    <w:p>
      <w:pPr>
        <w:jc w:val="both"/>
        <w:ind w:left="340" w:hanging="269"/>
        <w:spacing w:after="0"/>
        <w:rPr>
          <w:sz w:val="20"/>
          <w:szCs w:val="20"/>
          <w:color w:val="auto"/>
        </w:rPr>
      </w:pPr>
      <w:r>
        <w:rPr>
          <w:sz w:val="1"/>
          <w:szCs w:val="1"/>
          <w:color w:val="auto"/>
        </w:rPr>
        <w:drawing>
          <wp:inline distT="0" distB="0" distL="0" distR="0">
            <wp:extent cx="137160" cy="128905"/>
            <wp:effectExtent l="0" t="0" r="0" b="0"/>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37160" cy="128905"/>
                    </a:xfrm>
                    <a:prstGeom prst="rect">
                      <a:avLst/>
                    </a:prstGeom>
                    <a:noFill/>
                    <a:ln>
                      <a:noFill/>
                    </a:ln>
                  </pic:spPr>
                </pic:pic>
              </a:graphicData>
            </a:graphic>
          </wp:inline>
        </w:drawing>
      </w:r>
      <w:r>
        <w:rPr>
          <w:rFonts w:ascii="Arial" w:cs="Arial" w:eastAsia="Arial" w:hAnsi="Arial"/>
          <w:sz w:val="16"/>
          <w:szCs w:val="16"/>
          <w:b w:val="1"/>
          <w:bCs w:val="1"/>
          <w:i w:val="1"/>
          <w:iCs w:val="1"/>
          <w:color w:val="auto"/>
        </w:rPr>
        <w:t xml:space="preserve"> At Risk Pay </w:t>
      </w:r>
      <w:r>
        <w:rPr>
          <w:rFonts w:ascii="Arial" w:cs="Arial" w:eastAsia="Arial" w:hAnsi="Arial"/>
          <w:sz w:val="16"/>
          <w:szCs w:val="16"/>
          <w:color w:val="auto"/>
        </w:rPr>
        <w:t>— A significant portion of our executives’ compensation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 risk, based on a mix of absolute and relative financial metrics.</w:t>
      </w:r>
    </w:p>
    <w:p>
      <w:pPr>
        <w:spacing w:after="0" w:line="69" w:lineRule="exact"/>
        <w:rPr>
          <w:sz w:val="20"/>
          <w:szCs w:val="20"/>
          <w:color w:val="auto"/>
        </w:rPr>
      </w:pPr>
    </w:p>
    <w:p>
      <w:pPr>
        <w:jc w:val="both"/>
        <w:ind w:left="340" w:hanging="269"/>
        <w:spacing w:after="0"/>
        <w:rPr>
          <w:sz w:val="20"/>
          <w:szCs w:val="20"/>
          <w:color w:val="auto"/>
        </w:rPr>
      </w:pPr>
      <w:r>
        <w:rPr>
          <w:sz w:val="1"/>
          <w:szCs w:val="1"/>
          <w:color w:val="auto"/>
        </w:rPr>
        <w:drawing>
          <wp:inline distT="0" distB="0" distL="0" distR="0">
            <wp:extent cx="137160" cy="121285"/>
            <wp:effectExtent l="0" t="0" r="0" b="0"/>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37160" cy="121285"/>
                    </a:xfrm>
                    <a:prstGeom prst="rect">
                      <a:avLst/>
                    </a:prstGeom>
                    <a:noFill/>
                    <a:ln>
                      <a:noFill/>
                    </a:ln>
                  </pic:spPr>
                </pic:pic>
              </a:graphicData>
            </a:graphic>
          </wp:inline>
        </w:drawing>
      </w:r>
      <w:r>
        <w:rPr>
          <w:rFonts w:ascii="Arial" w:cs="Arial" w:eastAsia="Arial" w:hAnsi="Arial"/>
          <w:sz w:val="16"/>
          <w:szCs w:val="16"/>
          <w:b w:val="1"/>
          <w:bCs w:val="1"/>
          <w:i w:val="1"/>
          <w:iCs w:val="1"/>
          <w:color w:val="auto"/>
        </w:rPr>
        <w:t xml:space="preserve"> Performance-Based STI Awards </w:t>
      </w:r>
      <w:r>
        <w:rPr>
          <w:rFonts w:ascii="Arial" w:cs="Arial" w:eastAsia="Arial" w:hAnsi="Arial"/>
          <w:sz w:val="16"/>
          <w:szCs w:val="16"/>
          <w:color w:val="auto"/>
        </w:rPr>
        <w:t>— At least 70% of our executives’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target 2023 STI opportunity is based on achieving rigorous quantitative Company financial goals.</w:t>
      </w:r>
    </w:p>
    <w:p>
      <w:pPr>
        <w:spacing w:after="0" w:line="69" w:lineRule="exact"/>
        <w:rPr>
          <w:sz w:val="20"/>
          <w:szCs w:val="20"/>
          <w:color w:val="auto"/>
        </w:rPr>
      </w:pPr>
    </w:p>
    <w:p>
      <w:pPr>
        <w:jc w:val="both"/>
        <w:ind w:left="340" w:hanging="269"/>
        <w:spacing w:after="0"/>
        <w:rPr>
          <w:sz w:val="20"/>
          <w:szCs w:val="20"/>
          <w:color w:val="auto"/>
        </w:rPr>
      </w:pPr>
      <w:r>
        <w:rPr>
          <w:sz w:val="1"/>
          <w:szCs w:val="1"/>
          <w:color w:val="auto"/>
        </w:rPr>
        <w:drawing>
          <wp:inline distT="0" distB="0" distL="0" distR="0">
            <wp:extent cx="137160" cy="121285"/>
            <wp:effectExtent l="0" t="0" r="0" b="0"/>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37160" cy="121285"/>
                    </a:xfrm>
                    <a:prstGeom prst="rect">
                      <a:avLst/>
                    </a:prstGeom>
                    <a:noFill/>
                    <a:ln>
                      <a:noFill/>
                    </a:ln>
                  </pic:spPr>
                </pic:pic>
              </a:graphicData>
            </a:graphic>
          </wp:inline>
        </w:drawing>
      </w:r>
      <w:r>
        <w:rPr>
          <w:rFonts w:ascii="Arial" w:cs="Arial" w:eastAsia="Arial" w:hAnsi="Arial"/>
          <w:sz w:val="16"/>
          <w:szCs w:val="16"/>
          <w:b w:val="1"/>
          <w:bCs w:val="1"/>
          <w:i w:val="1"/>
          <w:iCs w:val="1"/>
          <w:color w:val="auto"/>
        </w:rPr>
        <w:t xml:space="preserve"> Robust Stock Holding Requirements </w:t>
      </w:r>
      <w:r>
        <w:rPr>
          <w:rFonts w:ascii="Arial" w:cs="Arial" w:eastAsia="Arial" w:hAnsi="Arial"/>
          <w:sz w:val="16"/>
          <w:szCs w:val="16"/>
          <w:color w:val="auto"/>
        </w:rPr>
        <w:t>— Our CEO is required to own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amount of SLB shares valued at six times (6x) his annual base salary; our EVPs must own at least three times (3x) their annual base salaries; and all other executive officers must own at least two times (2x) their annual base salaries.</w:t>
      </w:r>
    </w:p>
    <w:p>
      <w:pPr>
        <w:spacing w:after="0" w:line="69" w:lineRule="exact"/>
        <w:rPr>
          <w:sz w:val="20"/>
          <w:szCs w:val="20"/>
          <w:color w:val="auto"/>
        </w:rPr>
      </w:pPr>
    </w:p>
    <w:p>
      <w:pPr>
        <w:jc w:val="both"/>
        <w:ind w:left="340" w:hanging="269"/>
        <w:spacing w:after="0"/>
        <w:rPr>
          <w:sz w:val="20"/>
          <w:szCs w:val="20"/>
          <w:color w:val="auto"/>
        </w:rPr>
      </w:pPr>
      <w:r>
        <w:rPr>
          <w:sz w:val="1"/>
          <w:szCs w:val="1"/>
          <w:color w:val="auto"/>
        </w:rPr>
        <w:drawing>
          <wp:inline distT="0" distB="0" distL="0" distR="0">
            <wp:extent cx="137160" cy="121285"/>
            <wp:effectExtent l="0" t="0" r="0" b="0"/>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37160" cy="121285"/>
                    </a:xfrm>
                    <a:prstGeom prst="rect">
                      <a:avLst/>
                    </a:prstGeom>
                    <a:noFill/>
                    <a:ln>
                      <a:noFill/>
                    </a:ln>
                  </pic:spPr>
                </pic:pic>
              </a:graphicData>
            </a:graphic>
          </wp:inline>
        </w:drawing>
      </w:r>
      <w:r>
        <w:rPr>
          <w:rFonts w:ascii="Arial" w:cs="Arial" w:eastAsia="Arial" w:hAnsi="Arial"/>
          <w:sz w:val="16"/>
          <w:szCs w:val="16"/>
          <w:b w:val="1"/>
          <w:bCs w:val="1"/>
          <w:i w:val="1"/>
          <w:iCs w:val="1"/>
          <w:color w:val="auto"/>
        </w:rPr>
        <w:t xml:space="preserve"> Mandatory Retention of Shares </w:t>
      </w:r>
      <w:r>
        <w:rPr>
          <w:rFonts w:ascii="Arial" w:cs="Arial" w:eastAsia="Arial" w:hAnsi="Arial"/>
          <w:sz w:val="16"/>
          <w:szCs w:val="16"/>
          <w:color w:val="auto"/>
        </w:rPr>
        <w:t>— Executives must retain 50%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 shares they acquire upon the exercise of stock options and the vesting of PSUs and RSUs, until they achieve the required ownership level under our stock ownership guidelines.</w:t>
      </w:r>
    </w:p>
    <w:p>
      <w:pPr>
        <w:spacing w:after="0" w:line="55" w:lineRule="exact"/>
        <w:rPr>
          <w:sz w:val="20"/>
          <w:szCs w:val="20"/>
          <w:color w:val="auto"/>
        </w:rPr>
      </w:pPr>
    </w:p>
    <w:p>
      <w:pPr>
        <w:ind w:left="340"/>
        <w:spacing w:after="0" w:line="286" w:lineRule="auto"/>
        <w:rPr>
          <w:sz w:val="20"/>
          <w:szCs w:val="20"/>
          <w:color w:val="auto"/>
        </w:rPr>
      </w:pPr>
      <w:r>
        <w:rPr>
          <w:rFonts w:ascii="Arial" w:cs="Arial" w:eastAsia="Arial" w:hAnsi="Arial"/>
          <w:sz w:val="16"/>
          <w:szCs w:val="16"/>
          <w:b w:val="1"/>
          <w:bCs w:val="1"/>
          <w:i w:val="1"/>
          <w:iCs w:val="1"/>
          <w:color w:val="auto"/>
        </w:rPr>
        <w:t xml:space="preserve">Annual Peer Compensation Review </w:t>
      </w:r>
      <w:r>
        <w:rPr>
          <w:rFonts w:ascii="Arial" w:cs="Arial" w:eastAsia="Arial" w:hAnsi="Arial"/>
          <w:sz w:val="16"/>
          <w:szCs w:val="16"/>
          <w:color w:val="auto"/>
        </w:rPr>
        <w:t>— We annually review all officer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opportunities against our peer groups.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-260350</wp:posOffset>
            </wp:positionV>
            <wp:extent cx="137160" cy="12890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3716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left="1740"/>
        <w:spacing w:after="0"/>
        <w:rPr>
          <w:sz w:val="20"/>
          <w:szCs w:val="20"/>
          <w:color w:val="auto"/>
        </w:rPr>
      </w:pPr>
      <w:r>
        <w:rPr>
          <w:rFonts w:ascii="Arial" w:cs="Arial" w:eastAsia="Arial" w:hAnsi="Arial"/>
          <w:sz w:val="16"/>
          <w:szCs w:val="16"/>
          <w:b w:val="1"/>
          <w:bCs w:val="1"/>
          <w:color w:val="FFFFFF"/>
        </w:rPr>
        <w:t>What We Don’t Do</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No gross-ups on excise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-107315</wp:posOffset>
            </wp:positionV>
            <wp:extent cx="111125" cy="11112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11125" cy="11112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No repricing or exchanging options without shareholder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-98425</wp:posOffset>
            </wp:positionV>
            <wp:extent cx="111125" cy="11112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11125" cy="11112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No hedging or pledging of SLB stock by executive officers 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-107315</wp:posOffset>
            </wp:positionV>
            <wp:extent cx="111125" cy="11112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11125" cy="111125"/>
                    </a:xfrm>
                    <a:prstGeom prst="rect">
                      <a:avLst/>
                    </a:prstGeom>
                    <a:noFill/>
                  </pic:spPr>
                </pic:pic>
              </a:graphicData>
            </a:graphic>
          </wp:anchor>
        </w:drawing>
      </w:r>
    </w:p>
    <w:p>
      <w:pPr>
        <w:spacing w:after="0" w:line="66" w:lineRule="exact"/>
        <w:rPr>
          <w:sz w:val="20"/>
          <w:szCs w:val="20"/>
          <w:color w:val="auto"/>
        </w:rPr>
      </w:pPr>
    </w:p>
    <w:p>
      <w:pPr>
        <w:jc w:val="both"/>
        <w:ind w:right="60"/>
        <w:spacing w:after="0" w:line="286" w:lineRule="auto"/>
        <w:rPr>
          <w:sz w:val="20"/>
          <w:szCs w:val="20"/>
          <w:color w:val="auto"/>
        </w:rPr>
      </w:pPr>
      <w:r>
        <w:rPr>
          <w:rFonts w:ascii="Arial" w:cs="Arial" w:eastAsia="Arial" w:hAnsi="Arial"/>
          <w:sz w:val="16"/>
          <w:szCs w:val="16"/>
          <w:color w:val="auto"/>
        </w:rPr>
        <w:t>No LTI or STI payouts if we fail to achieve pre-established minimum performance criteria.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-268605</wp:posOffset>
            </wp:positionV>
            <wp:extent cx="111125" cy="11112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11125" cy="11112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No excessive perquisites to 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-98425</wp:posOffset>
            </wp:positionV>
            <wp:extent cx="111125" cy="11112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11125" cy="11112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No executive pension or insurance plans exclusively for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-107315</wp:posOffset>
            </wp:positionV>
            <wp:extent cx="111125" cy="11112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11125" cy="111125"/>
                    </a:xfrm>
                    <a:prstGeom prst="rect">
                      <a:avLst/>
                    </a:prstGeom>
                    <a:noFill/>
                  </pic:spPr>
                </pic:pic>
              </a:graphicData>
            </a:graphic>
          </wp:anchor>
        </w:drawing>
      </w:r>
    </w:p>
    <w:p>
      <w:pPr>
        <w:spacing w:after="0" w:line="66" w:lineRule="exact"/>
        <w:rPr>
          <w:sz w:val="20"/>
          <w:szCs w:val="20"/>
          <w:color w:val="auto"/>
        </w:rPr>
      </w:pPr>
    </w:p>
    <w:p>
      <w:pPr>
        <w:jc w:val="both"/>
        <w:ind w:right="60"/>
        <w:spacing w:after="0" w:line="286" w:lineRule="auto"/>
        <w:rPr>
          <w:sz w:val="20"/>
          <w:szCs w:val="20"/>
          <w:color w:val="auto"/>
        </w:rPr>
      </w:pPr>
      <w:r>
        <w:rPr>
          <w:rFonts w:ascii="Arial" w:cs="Arial" w:eastAsia="Arial" w:hAnsi="Arial"/>
          <w:sz w:val="16"/>
          <w:szCs w:val="16"/>
          <w:color w:val="auto"/>
        </w:rPr>
        <w:t>No change-in-control agreements, and no automatic acceleration of equity awards upon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-268605</wp:posOffset>
            </wp:positionV>
            <wp:extent cx="111125" cy="11112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11125" cy="111125"/>
                    </a:xfrm>
                    <a:prstGeom prst="rect">
                      <a:avLst/>
                    </a:prstGeom>
                    <a:noFill/>
                  </pic:spPr>
                </pic:pic>
              </a:graphicData>
            </a:graphic>
          </wp:anchor>
        </w:drawing>
      </w:r>
    </w:p>
    <w:p>
      <w:pPr>
        <w:spacing w:after="0" w:line="1" w:lineRule="exact"/>
        <w:rPr>
          <w:sz w:val="20"/>
          <w:szCs w:val="20"/>
          <w:color w:val="auto"/>
        </w:rPr>
      </w:pPr>
    </w:p>
    <w:p>
      <w:pPr>
        <w:jc w:val="both"/>
        <w:ind w:right="60"/>
        <w:spacing w:after="0" w:line="281" w:lineRule="auto"/>
        <w:rPr>
          <w:sz w:val="20"/>
          <w:szCs w:val="20"/>
          <w:color w:val="auto"/>
        </w:rPr>
      </w:pPr>
      <w:r>
        <w:rPr>
          <w:rFonts w:ascii="Arial" w:cs="Arial" w:eastAsia="Arial" w:hAnsi="Arial"/>
          <w:sz w:val="16"/>
          <w:szCs w:val="16"/>
          <w:color w:val="auto"/>
        </w:rPr>
        <w:t>PSUs and RSUs do not accrue or pay dividends or dividend equivalents or have voting rights prior to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-255270</wp:posOffset>
            </wp:positionV>
            <wp:extent cx="111125" cy="11112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11125" cy="111125"/>
                    </a:xfrm>
                    <a:prstGeom prst="rect">
                      <a:avLst/>
                    </a:prstGeom>
                    <a:noFill/>
                  </pic:spPr>
                </pic:pic>
              </a:graphicData>
            </a:graphic>
          </wp:anchor>
        </w:drawing>
      </w:r>
    </w:p>
    <w:p>
      <w:pPr>
        <w:jc w:val="both"/>
        <w:ind w:right="60"/>
        <w:spacing w:after="0" w:line="266" w:lineRule="auto"/>
        <w:rPr>
          <w:sz w:val="20"/>
          <w:szCs w:val="20"/>
          <w:color w:val="auto"/>
        </w:rPr>
      </w:pPr>
      <w:r>
        <w:rPr>
          <w:rFonts w:ascii="Arial" w:cs="Arial" w:eastAsia="Arial" w:hAnsi="Arial"/>
          <w:sz w:val="16"/>
          <w:szCs w:val="16"/>
          <w:color w:val="auto"/>
        </w:rPr>
        <w:t>We do not dilute our shareholders with excessive employee equity grants. Our 2023 “burn rate,” or stock awards granted as a percentage of common shares outstanding, was only 0.48%.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-353060</wp:posOffset>
            </wp:positionV>
            <wp:extent cx="111125" cy="11112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11125" cy="111125"/>
                    </a:xfrm>
                    <a:prstGeom prst="rect">
                      <a:avLst/>
                    </a:prstGeom>
                    <a:noFill/>
                  </pic:spPr>
                </pic:pic>
              </a:graphicData>
            </a:graphic>
          </wp:anchor>
        </w:drawing>
      </w:r>
    </w:p>
    <w:p>
      <w:pPr>
        <w:spacing w:after="0" w:line="337" w:lineRule="exact"/>
        <w:rPr>
          <w:sz w:val="20"/>
          <w:szCs w:val="20"/>
          <w:color w:val="auto"/>
        </w:rPr>
      </w:pPr>
    </w:p>
    <w:p>
      <w:pPr>
        <w:sectPr>
          <w:pgSz w:w="11900" w:h="16838" w:orient="portrait"/>
          <w:cols w:equalWidth="0" w:num="2">
            <w:col w:w="5460" w:space="600"/>
            <w:col w:w="5180"/>
          </w:cols>
          <w:pgMar w:left="320" w:top="238" w:right="33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29"/>
          <w:szCs w:val="29"/>
          <w:color w:val="0233A1"/>
        </w:rPr>
        <w:t>Elements of 2023 Total Compensation</w:t>
      </w: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color w:val="0233A1"/>
        </w:rPr>
        <w:t>Base Salary</w:t>
      </w:r>
    </w:p>
    <w:p>
      <w:pPr>
        <w:spacing w:after="0" w:line="20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6"/>
          <w:szCs w:val="16"/>
          <w:color w:val="auto"/>
        </w:rPr>
        <w:t>Base salary is the only fixed portion of an executive’s annual compensation, providing some stability of income since the other compensation elements are at risk. Our Compensation Committee annually reviews and approves the base salary levels for our executive officers (other than the CEO) after considering comparable salaries for executives with similar responsibilities in our main executive compensation peer groups, comparisons to internal peer positions, recent Company performance, individual performance, business experience and potential, economic trends, and the CEO’s recommendations. The Committee annually reviews the base salary of our CEO in executive session and recommends his base salary amount to the independent members of the Board for approval, based on the criteria described above.</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January 2023, our Compensation Committee reviewed the base salaries of each of our NEOs, and made no changes to their base salaries for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471170" cy="28257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471170" cy="28257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both"/>
        <w:ind w:left="5540"/>
        <w:spacing w:after="0"/>
        <w:tabs>
          <w:tab w:leader="none" w:pos="9540" w:val="left"/>
        </w:tabs>
        <w:rPr>
          <w:sz w:val="20"/>
          <w:szCs w:val="20"/>
          <w:color w:val="auto"/>
        </w:rPr>
      </w:pPr>
      <w:r>
        <w:rPr>
          <w:rFonts w:ascii="Arial" w:cs="Arial" w:eastAsia="Arial" w:hAnsi="Arial"/>
          <w:sz w:val="16"/>
          <w:szCs w:val="16"/>
          <w:b w:val="1"/>
          <w:bCs w:val="1"/>
          <w:color w:val="auto"/>
        </w:rPr>
        <w:t>36</w:t>
      </w:r>
      <w:r>
        <w:rPr>
          <w:sz w:val="20"/>
          <w:szCs w:val="20"/>
          <w:color w:val="auto"/>
        </w:rPr>
        <w:tab/>
      </w:r>
      <w:r>
        <w:rPr>
          <w:rFonts w:ascii="Arial" w:cs="Arial" w:eastAsia="Arial" w:hAnsi="Arial"/>
          <w:sz w:val="16"/>
          <w:szCs w:val="16"/>
          <w:b w:val="1"/>
          <w:bCs w:val="1"/>
          <w:color w:val="636466"/>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-29845</wp:posOffset>
            </wp:positionV>
            <wp:extent cx="5417820" cy="171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342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3" w:lineRule="exact"/>
        <w:rPr>
          <w:sz w:val="20"/>
          <w:szCs w:val="20"/>
          <w:color w:val="auto"/>
        </w:rPr>
      </w:pPr>
    </w:p>
    <w:p>
      <w:pPr>
        <w:spacing w:after="0"/>
        <w:rPr>
          <w:sz w:val="20"/>
          <w:szCs w:val="20"/>
          <w:color w:val="auto"/>
        </w:rPr>
      </w:pPr>
      <w:r>
        <w:rPr>
          <w:rFonts w:ascii="Arial" w:cs="Arial" w:eastAsia="Arial" w:hAnsi="Arial"/>
          <w:sz w:val="25"/>
          <w:szCs w:val="25"/>
          <w:color w:val="0233A1"/>
        </w:rPr>
        <w:t>Short-Term Cash Incentive Awards</w:t>
      </w:r>
    </w:p>
    <w:p>
      <w:pPr>
        <w:spacing w:after="0" w:line="207" w:lineRule="exact"/>
        <w:rPr>
          <w:sz w:val="20"/>
          <w:szCs w:val="20"/>
          <w:color w:val="auto"/>
        </w:rPr>
      </w:pPr>
    </w:p>
    <w:p>
      <w:pPr>
        <w:jc w:val="both"/>
        <w:ind w:firstLine="180"/>
        <w:spacing w:after="0" w:line="256" w:lineRule="auto"/>
        <w:rPr>
          <w:sz w:val="20"/>
          <w:szCs w:val="20"/>
          <w:color w:val="auto"/>
        </w:rPr>
      </w:pPr>
      <w:r>
        <w:rPr>
          <w:rFonts w:ascii="Arial" w:cs="Arial" w:eastAsia="Arial" w:hAnsi="Arial"/>
          <w:sz w:val="16"/>
          <w:szCs w:val="16"/>
          <w:color w:val="auto"/>
        </w:rPr>
        <w:t>We pay performance-based short-term (annual) cash incentives to our executives to foster a results-driven, pay-for-performance culture, and to align executives’ interests with those of our shareholders. STI awards are earned according to the achievement of quantitative Company financial and non-financial objectives, as well as strategic objectives. Our Compensation Committee selects performance measures that it believes support our strategy and strike a balance between motivating our executives to increase near-term financial and operating results and driving profitable long-term Company growth and value for shareholders.</w:t>
      </w:r>
    </w:p>
    <w:p>
      <w:pPr>
        <w:spacing w:after="0" w:line="153" w:lineRule="exact"/>
        <w:rPr>
          <w:sz w:val="20"/>
          <w:szCs w:val="20"/>
          <w:color w:val="auto"/>
        </w:rPr>
      </w:pPr>
    </w:p>
    <w:p>
      <w:pPr>
        <w:jc w:val="both"/>
        <w:ind w:firstLine="180"/>
        <w:spacing w:after="0" w:line="259" w:lineRule="auto"/>
        <w:rPr>
          <w:sz w:val="20"/>
          <w:szCs w:val="20"/>
          <w:color w:val="auto"/>
        </w:rPr>
      </w:pPr>
      <w:r>
        <w:rPr>
          <w:rFonts w:ascii="Arial" w:cs="Arial" w:eastAsia="Arial" w:hAnsi="Arial"/>
          <w:sz w:val="16"/>
          <w:szCs w:val="16"/>
          <w:color w:val="auto"/>
        </w:rPr>
        <w:t>For 2023, 70% of our NEOs’ target STI opportunity was based on achieving quantitative Company financial objectives, 10% was based on achieving quantitative Company non-financial objectives, and 20% was based on strategic personal objectives. The financial portion of the target plan was evenly split between adjusted EBITDA and free cash flow performance goals. The total maximum STI payout for 2023 was 200% of target—consistent with 2022—and the weighted payout range for each metric as a percentage of target is reflected by the outer bars in the 2023 STI Opportunity Mix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104775</wp:posOffset>
            </wp:positionV>
            <wp:extent cx="6000750" cy="231457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00075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180"/>
        <w:spacing w:after="0" w:line="266" w:lineRule="auto"/>
        <w:rPr>
          <w:sz w:val="20"/>
          <w:szCs w:val="20"/>
          <w:color w:val="auto"/>
        </w:rPr>
      </w:pPr>
      <w:r>
        <w:rPr>
          <w:rFonts w:ascii="Arial" w:cs="Arial" w:eastAsia="Arial" w:hAnsi="Arial"/>
          <w:sz w:val="16"/>
          <w:szCs w:val="16"/>
          <w:color w:val="auto"/>
        </w:rPr>
        <w:t>In January 2023, our Compensation Committee determined to leave the target STI opportunity for all NEOs unchanged from 2022, following a review of market data indicating that our NEOs’ target STI opportunity (as a percentage of base salary) was competitively positioned. As a result, the 2023 target STI opportunity for our CEO was 150% of his base salary and for our other NEOs it was 100% of base salary.</w:t>
      </w:r>
    </w:p>
    <w:p>
      <w:pPr>
        <w:spacing w:after="0" w:line="144" w:lineRule="exact"/>
        <w:rPr>
          <w:sz w:val="20"/>
          <w:szCs w:val="20"/>
          <w:color w:val="auto"/>
        </w:rPr>
      </w:pPr>
    </w:p>
    <w:p>
      <w:pPr>
        <w:jc w:val="both"/>
        <w:ind w:firstLine="180"/>
        <w:spacing w:after="0" w:line="286" w:lineRule="auto"/>
        <w:rPr>
          <w:sz w:val="20"/>
          <w:szCs w:val="20"/>
          <w:color w:val="auto"/>
        </w:rPr>
      </w:pPr>
      <w:r>
        <w:rPr>
          <w:rFonts w:ascii="Arial" w:cs="Arial" w:eastAsia="Arial" w:hAnsi="Arial"/>
          <w:sz w:val="16"/>
          <w:szCs w:val="16"/>
          <w:color w:val="auto"/>
        </w:rPr>
        <w:t>The following table reflects our NEOs’ full-year 2023 STI results, together with relevant weightings of the different components and payouts under each component.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960" w:type="dxa"/>
            <w:vAlign w:val="bottom"/>
            <w:tcBorders>
              <w:bottom w:val="single" w:sz="8" w:color="16458B"/>
            </w:tcBorders>
            <w:gridSpan w:val="5"/>
          </w:tcPr>
          <w:p>
            <w:pPr>
              <w:jc w:val="right"/>
              <w:ind w:right="459"/>
              <w:spacing w:after="0"/>
              <w:rPr>
                <w:sz w:val="20"/>
                <w:szCs w:val="20"/>
                <w:color w:val="auto"/>
              </w:rPr>
            </w:pPr>
            <w:r>
              <w:rPr>
                <w:rFonts w:ascii="Arial" w:cs="Arial" w:eastAsia="Arial" w:hAnsi="Arial"/>
                <w:sz w:val="16"/>
                <w:szCs w:val="16"/>
                <w:b w:val="1"/>
                <w:bCs w:val="1"/>
                <w:color w:val="0233A1"/>
              </w:rPr>
              <w:t>SLB Financial Objectives</w:t>
            </w:r>
          </w:p>
        </w:tc>
        <w:tc>
          <w:tcPr>
            <w:tcW w:w="160" w:type="dxa"/>
            <w:vAlign w:val="bottom"/>
          </w:tcPr>
          <w:p>
            <w:pPr>
              <w:spacing w:after="0"/>
              <w:rPr>
                <w:sz w:val="17"/>
                <w:szCs w:val="17"/>
                <w:color w:val="auto"/>
              </w:rPr>
            </w:pPr>
          </w:p>
        </w:tc>
        <w:tc>
          <w:tcPr>
            <w:tcW w:w="164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0233A1"/>
              </w:rPr>
              <w:t>SLB Non-Financial</w:t>
            </w: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580" w:type="dxa"/>
            <w:vAlign w:val="bottom"/>
          </w:tcPr>
          <w:p>
            <w:pPr>
              <w:spacing w:after="0"/>
              <w:rPr>
                <w:sz w:val="15"/>
                <w:szCs w:val="15"/>
                <w:color w:val="auto"/>
              </w:rPr>
            </w:pPr>
          </w:p>
        </w:tc>
        <w:tc>
          <w:tcPr>
            <w:tcW w:w="182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0233A1"/>
              </w:rPr>
              <w:t>STI Opportunity</w:t>
            </w:r>
          </w:p>
        </w:tc>
        <w:tc>
          <w:tcPr>
            <w:tcW w:w="1580" w:type="dxa"/>
            <w:vAlign w:val="bottom"/>
            <w:gridSpan w:val="3"/>
          </w:tcPr>
          <w:p>
            <w:pPr>
              <w:ind w:left="20"/>
              <w:spacing w:after="0" w:line="183" w:lineRule="exact"/>
              <w:rPr>
                <w:sz w:val="20"/>
                <w:szCs w:val="20"/>
                <w:color w:val="auto"/>
              </w:rPr>
            </w:pPr>
            <w:r>
              <w:rPr>
                <w:rFonts w:ascii="Arial" w:cs="Arial" w:eastAsia="Arial" w:hAnsi="Arial"/>
                <w:sz w:val="16"/>
                <w:szCs w:val="16"/>
                <w:b w:val="1"/>
                <w:bCs w:val="1"/>
                <w:color w:val="0233A1"/>
              </w:rPr>
              <w:t>Adjusted EBITDA</w:t>
            </w:r>
          </w:p>
        </w:tc>
        <w:tc>
          <w:tcPr>
            <w:tcW w:w="1380" w:type="dxa"/>
            <w:vAlign w:val="bottom"/>
            <w:gridSpan w:val="2"/>
          </w:tcPr>
          <w:p>
            <w:pPr>
              <w:jc w:val="right"/>
              <w:ind w:right="39"/>
              <w:spacing w:after="0" w:line="183" w:lineRule="exact"/>
              <w:rPr>
                <w:sz w:val="20"/>
                <w:szCs w:val="20"/>
                <w:color w:val="auto"/>
              </w:rPr>
            </w:pPr>
            <w:r>
              <w:rPr>
                <w:rFonts w:ascii="Arial" w:cs="Arial" w:eastAsia="Arial" w:hAnsi="Arial"/>
                <w:sz w:val="16"/>
                <w:szCs w:val="16"/>
                <w:b w:val="1"/>
                <w:bCs w:val="1"/>
                <w:color w:val="0233A1"/>
              </w:rPr>
              <w:t>Free Cash Flow</w:t>
            </w:r>
          </w:p>
        </w:tc>
        <w:tc>
          <w:tcPr>
            <w:tcW w:w="160" w:type="dxa"/>
            <w:vAlign w:val="bottom"/>
          </w:tcPr>
          <w:p>
            <w:pPr>
              <w:spacing w:after="0"/>
              <w:rPr>
                <w:sz w:val="15"/>
                <w:szCs w:val="15"/>
                <w:color w:val="auto"/>
              </w:rPr>
            </w:pPr>
          </w:p>
        </w:tc>
        <w:tc>
          <w:tcPr>
            <w:tcW w:w="1640" w:type="dxa"/>
            <w:vAlign w:val="bottom"/>
            <w:gridSpan w:val="3"/>
          </w:tcPr>
          <w:p>
            <w:pPr>
              <w:jc w:val="center"/>
              <w:ind w:right="220"/>
              <w:spacing w:after="0" w:line="183" w:lineRule="exact"/>
              <w:rPr>
                <w:sz w:val="20"/>
                <w:szCs w:val="20"/>
                <w:color w:val="auto"/>
              </w:rPr>
            </w:pPr>
            <w:r>
              <w:rPr>
                <w:rFonts w:ascii="Arial" w:cs="Arial" w:eastAsia="Arial" w:hAnsi="Arial"/>
                <w:sz w:val="16"/>
                <w:szCs w:val="16"/>
                <w:b w:val="1"/>
                <w:bCs w:val="1"/>
                <w:color w:val="0233A1"/>
              </w:rPr>
              <w:t>Objectives</w:t>
            </w:r>
          </w:p>
        </w:tc>
        <w:tc>
          <w:tcPr>
            <w:tcW w:w="1820" w:type="dxa"/>
            <w:vAlign w:val="bottom"/>
            <w:gridSpan w:val="3"/>
          </w:tcPr>
          <w:p>
            <w:pPr>
              <w:spacing w:after="0" w:line="183" w:lineRule="exact"/>
              <w:rPr>
                <w:sz w:val="20"/>
                <w:szCs w:val="20"/>
                <w:color w:val="auto"/>
              </w:rPr>
            </w:pPr>
            <w:r>
              <w:rPr>
                <w:rFonts w:ascii="Arial" w:cs="Arial" w:eastAsia="Arial" w:hAnsi="Arial"/>
                <w:sz w:val="16"/>
                <w:szCs w:val="16"/>
                <w:b w:val="1"/>
                <w:bCs w:val="1"/>
                <w:color w:val="0233A1"/>
              </w:rPr>
              <w:t>Personal Objectives</w:t>
            </w:r>
          </w:p>
        </w:tc>
        <w:tc>
          <w:tcPr>
            <w:tcW w:w="126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0233A1"/>
              </w:rPr>
              <w:t>Total 2023</w:t>
            </w:r>
          </w:p>
        </w:tc>
        <w:tc>
          <w:tcPr>
            <w:tcW w:w="0" w:type="dxa"/>
            <w:vAlign w:val="bottom"/>
          </w:tcPr>
          <w:p>
            <w:pPr>
              <w:spacing w:after="0"/>
              <w:rPr>
                <w:sz w:val="1"/>
                <w:szCs w:val="1"/>
                <w:color w:val="auto"/>
              </w:rPr>
            </w:pPr>
          </w:p>
        </w:tc>
      </w:tr>
      <w:tr>
        <w:trPr>
          <w:trHeight w:val="168"/>
        </w:trPr>
        <w:tc>
          <w:tcPr>
            <w:tcW w:w="158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680" w:type="dxa"/>
            <w:vAlign w:val="bottom"/>
            <w:tcBorders>
              <w:top w:val="single" w:sz="8" w:color="16458B"/>
            </w:tcBorders>
          </w:tcPr>
          <w:p>
            <w:pPr>
              <w:spacing w:after="0"/>
              <w:rPr>
                <w:sz w:val="14"/>
                <w:szCs w:val="14"/>
                <w:color w:val="auto"/>
              </w:rPr>
            </w:pPr>
          </w:p>
        </w:tc>
        <w:tc>
          <w:tcPr>
            <w:tcW w:w="740" w:type="dxa"/>
            <w:vAlign w:val="bottom"/>
            <w:tcBorders>
              <w:top w:val="single" w:sz="8" w:color="16458B"/>
            </w:tcBorders>
          </w:tcPr>
          <w:p>
            <w:pPr>
              <w:jc w:val="right"/>
              <w:spacing w:after="0" w:line="168" w:lineRule="exact"/>
              <w:rPr>
                <w:sz w:val="20"/>
                <w:szCs w:val="20"/>
                <w:color w:val="auto"/>
              </w:rPr>
            </w:pPr>
            <w:r>
              <w:rPr>
                <w:rFonts w:ascii="Arial" w:cs="Arial" w:eastAsia="Arial" w:hAnsi="Arial"/>
                <w:sz w:val="16"/>
                <w:szCs w:val="16"/>
                <w:b w:val="1"/>
                <w:bCs w:val="1"/>
                <w:color w:val="0233A1"/>
              </w:rPr>
              <w:t>Payout</w:t>
            </w:r>
          </w:p>
        </w:tc>
        <w:tc>
          <w:tcPr>
            <w:tcW w:w="160" w:type="dxa"/>
            <w:vAlign w:val="bottom"/>
          </w:tcPr>
          <w:p>
            <w:pPr>
              <w:spacing w:after="0"/>
              <w:rPr>
                <w:sz w:val="14"/>
                <w:szCs w:val="14"/>
                <w:color w:val="auto"/>
              </w:rPr>
            </w:pPr>
          </w:p>
        </w:tc>
        <w:tc>
          <w:tcPr>
            <w:tcW w:w="660" w:type="dxa"/>
            <w:vAlign w:val="bottom"/>
            <w:tcBorders>
              <w:top w:val="single" w:sz="8" w:color="16458B"/>
            </w:tcBorders>
          </w:tcPr>
          <w:p>
            <w:pPr>
              <w:spacing w:after="0"/>
              <w:rPr>
                <w:sz w:val="14"/>
                <w:szCs w:val="14"/>
                <w:color w:val="auto"/>
              </w:rPr>
            </w:pPr>
          </w:p>
        </w:tc>
        <w:tc>
          <w:tcPr>
            <w:tcW w:w="720" w:type="dxa"/>
            <w:vAlign w:val="bottom"/>
            <w:tcBorders>
              <w:top w:val="single" w:sz="8" w:color="16458B"/>
            </w:tcBorders>
          </w:tcPr>
          <w:p>
            <w:pPr>
              <w:jc w:val="right"/>
              <w:spacing w:after="0" w:line="168" w:lineRule="exact"/>
              <w:rPr>
                <w:sz w:val="20"/>
                <w:szCs w:val="20"/>
                <w:color w:val="auto"/>
              </w:rPr>
            </w:pPr>
            <w:r>
              <w:rPr>
                <w:rFonts w:ascii="Arial" w:cs="Arial" w:eastAsia="Arial" w:hAnsi="Arial"/>
                <w:sz w:val="16"/>
                <w:szCs w:val="16"/>
                <w:b w:val="1"/>
                <w:bCs w:val="1"/>
                <w:color w:val="0233A1"/>
              </w:rPr>
              <w:t>Payout</w:t>
            </w:r>
          </w:p>
        </w:tc>
        <w:tc>
          <w:tcPr>
            <w:tcW w:w="160" w:type="dxa"/>
            <w:vAlign w:val="bottom"/>
          </w:tcPr>
          <w:p>
            <w:pPr>
              <w:spacing w:after="0"/>
              <w:rPr>
                <w:sz w:val="14"/>
                <w:szCs w:val="14"/>
                <w:color w:val="auto"/>
              </w:rPr>
            </w:pPr>
          </w:p>
        </w:tc>
        <w:tc>
          <w:tcPr>
            <w:tcW w:w="720" w:type="dxa"/>
            <w:vAlign w:val="bottom"/>
            <w:tcBorders>
              <w:top w:val="single" w:sz="8" w:color="16458B"/>
            </w:tcBorders>
          </w:tcPr>
          <w:p>
            <w:pPr>
              <w:spacing w:after="0"/>
              <w:rPr>
                <w:sz w:val="14"/>
                <w:szCs w:val="14"/>
                <w:color w:val="auto"/>
              </w:rPr>
            </w:pPr>
          </w:p>
        </w:tc>
        <w:tc>
          <w:tcPr>
            <w:tcW w:w="760" w:type="dxa"/>
            <w:vAlign w:val="bottom"/>
            <w:tcBorders>
              <w:top w:val="single" w:sz="8" w:color="16458B"/>
            </w:tcBorders>
          </w:tcPr>
          <w:p>
            <w:pPr>
              <w:jc w:val="right"/>
              <w:spacing w:after="0" w:line="168" w:lineRule="exact"/>
              <w:rPr>
                <w:sz w:val="20"/>
                <w:szCs w:val="20"/>
                <w:color w:val="auto"/>
              </w:rPr>
            </w:pPr>
            <w:r>
              <w:rPr>
                <w:rFonts w:ascii="Arial" w:cs="Arial" w:eastAsia="Arial" w:hAnsi="Arial"/>
                <w:sz w:val="16"/>
                <w:szCs w:val="16"/>
                <w:b w:val="1"/>
                <w:bCs w:val="1"/>
                <w:color w:val="0233A1"/>
              </w:rPr>
              <w:t>Payout</w:t>
            </w:r>
          </w:p>
        </w:tc>
        <w:tc>
          <w:tcPr>
            <w:tcW w:w="160" w:type="dxa"/>
            <w:vAlign w:val="bottom"/>
          </w:tcPr>
          <w:p>
            <w:pPr>
              <w:spacing w:after="0"/>
              <w:rPr>
                <w:sz w:val="14"/>
                <w:szCs w:val="14"/>
                <w:color w:val="auto"/>
              </w:rPr>
            </w:pPr>
          </w:p>
        </w:tc>
        <w:tc>
          <w:tcPr>
            <w:tcW w:w="800" w:type="dxa"/>
            <w:vAlign w:val="bottom"/>
            <w:tcBorders>
              <w:top w:val="single" w:sz="8" w:color="16458B"/>
            </w:tcBorders>
          </w:tcPr>
          <w:p>
            <w:pPr>
              <w:spacing w:after="0"/>
              <w:rPr>
                <w:sz w:val="14"/>
                <w:szCs w:val="14"/>
                <w:color w:val="auto"/>
              </w:rPr>
            </w:pPr>
          </w:p>
        </w:tc>
        <w:tc>
          <w:tcPr>
            <w:tcW w:w="780" w:type="dxa"/>
            <w:vAlign w:val="bottom"/>
            <w:tcBorders>
              <w:top w:val="single" w:sz="8" w:color="16458B"/>
            </w:tcBorders>
          </w:tcPr>
          <w:p>
            <w:pPr>
              <w:ind w:left="180"/>
              <w:spacing w:after="0" w:line="168" w:lineRule="exact"/>
              <w:rPr>
                <w:sz w:val="20"/>
                <w:szCs w:val="20"/>
                <w:color w:val="auto"/>
              </w:rPr>
            </w:pPr>
            <w:r>
              <w:rPr>
                <w:rFonts w:ascii="Arial" w:cs="Arial" w:eastAsia="Arial" w:hAnsi="Arial"/>
                <w:sz w:val="16"/>
                <w:szCs w:val="16"/>
                <w:b w:val="1"/>
                <w:bCs w:val="1"/>
                <w:color w:val="0233A1"/>
              </w:rPr>
              <w:t>Payout</w:t>
            </w:r>
          </w:p>
        </w:tc>
        <w:tc>
          <w:tcPr>
            <w:tcW w:w="24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580" w:type="dxa"/>
            <w:vAlign w:val="bottom"/>
          </w:tcPr>
          <w:p>
            <w:pPr>
              <w:spacing w:after="0"/>
              <w:rPr>
                <w:sz w:val="14"/>
                <w:szCs w:val="14"/>
                <w:color w:val="auto"/>
              </w:rPr>
            </w:pPr>
          </w:p>
        </w:tc>
        <w:tc>
          <w:tcPr>
            <w:tcW w:w="1820" w:type="dxa"/>
            <w:vAlign w:val="bottom"/>
          </w:tcPr>
          <w:p>
            <w:pPr>
              <w:jc w:val="right"/>
              <w:ind w:right="139"/>
              <w:spacing w:after="0" w:line="163" w:lineRule="exact"/>
              <w:rPr>
                <w:sz w:val="20"/>
                <w:szCs w:val="20"/>
                <w:color w:val="auto"/>
              </w:rPr>
            </w:pPr>
            <w:r>
              <w:rPr>
                <w:rFonts w:ascii="Arial" w:cs="Arial" w:eastAsia="Arial" w:hAnsi="Arial"/>
                <w:sz w:val="16"/>
                <w:szCs w:val="16"/>
                <w:b w:val="1"/>
                <w:bCs w:val="1"/>
                <w:color w:val="0233A1"/>
              </w:rPr>
              <w:t>as % of</w:t>
            </w:r>
          </w:p>
        </w:tc>
        <w:tc>
          <w:tcPr>
            <w:tcW w:w="680" w:type="dxa"/>
            <w:vAlign w:val="bottom"/>
          </w:tcPr>
          <w:p>
            <w:pPr>
              <w:jc w:val="right"/>
              <w:ind w:right="59"/>
              <w:spacing w:after="0" w:line="163" w:lineRule="exact"/>
              <w:rPr>
                <w:sz w:val="20"/>
                <w:szCs w:val="20"/>
                <w:color w:val="auto"/>
              </w:rPr>
            </w:pPr>
            <w:r>
              <w:rPr>
                <w:rFonts w:ascii="Arial" w:cs="Arial" w:eastAsia="Arial" w:hAnsi="Arial"/>
                <w:sz w:val="16"/>
                <w:szCs w:val="16"/>
                <w:b w:val="1"/>
                <w:bCs w:val="1"/>
                <w:color w:val="0233A1"/>
                <w:w w:val="97"/>
              </w:rPr>
              <w:t>Weight</w:t>
            </w:r>
          </w:p>
        </w:tc>
        <w:tc>
          <w:tcPr>
            <w:tcW w:w="900" w:type="dxa"/>
            <w:vAlign w:val="bottom"/>
            <w:gridSpan w:val="2"/>
          </w:tcPr>
          <w:p>
            <w:pPr>
              <w:jc w:val="right"/>
              <w:ind w:right="200"/>
              <w:spacing w:after="0" w:line="163" w:lineRule="exact"/>
              <w:rPr>
                <w:sz w:val="20"/>
                <w:szCs w:val="20"/>
                <w:color w:val="auto"/>
              </w:rPr>
            </w:pPr>
            <w:r>
              <w:rPr>
                <w:rFonts w:ascii="Arial" w:cs="Arial" w:eastAsia="Arial" w:hAnsi="Arial"/>
                <w:sz w:val="16"/>
                <w:szCs w:val="16"/>
                <w:b w:val="1"/>
                <w:bCs w:val="1"/>
                <w:color w:val="0233A1"/>
              </w:rPr>
              <w:t>Result</w:t>
            </w:r>
          </w:p>
        </w:tc>
        <w:tc>
          <w:tcPr>
            <w:tcW w:w="660" w:type="dxa"/>
            <w:vAlign w:val="bottom"/>
          </w:tcPr>
          <w:p>
            <w:pPr>
              <w:jc w:val="right"/>
              <w:ind w:right="39"/>
              <w:spacing w:after="0" w:line="163" w:lineRule="exact"/>
              <w:rPr>
                <w:sz w:val="20"/>
                <w:szCs w:val="20"/>
                <w:color w:val="auto"/>
              </w:rPr>
            </w:pPr>
            <w:r>
              <w:rPr>
                <w:rFonts w:ascii="Arial" w:cs="Arial" w:eastAsia="Arial" w:hAnsi="Arial"/>
                <w:sz w:val="16"/>
                <w:szCs w:val="16"/>
                <w:b w:val="1"/>
                <w:bCs w:val="1"/>
                <w:color w:val="0233A1"/>
                <w:w w:val="97"/>
              </w:rPr>
              <w:t>Weight</w:t>
            </w:r>
          </w:p>
        </w:tc>
        <w:tc>
          <w:tcPr>
            <w:tcW w:w="720" w:type="dxa"/>
            <w:vAlign w:val="bottom"/>
          </w:tcPr>
          <w:p>
            <w:pPr>
              <w:jc w:val="right"/>
              <w:spacing w:after="0" w:line="163" w:lineRule="exact"/>
              <w:rPr>
                <w:sz w:val="20"/>
                <w:szCs w:val="20"/>
                <w:color w:val="auto"/>
              </w:rPr>
            </w:pPr>
            <w:r>
              <w:rPr>
                <w:rFonts w:ascii="Arial" w:cs="Arial" w:eastAsia="Arial" w:hAnsi="Arial"/>
                <w:sz w:val="16"/>
                <w:szCs w:val="16"/>
                <w:b w:val="1"/>
                <w:bCs w:val="1"/>
                <w:color w:val="0233A1"/>
              </w:rPr>
              <w:t>Result</w:t>
            </w:r>
          </w:p>
        </w:tc>
        <w:tc>
          <w:tcPr>
            <w:tcW w:w="160" w:type="dxa"/>
            <w:vAlign w:val="bottom"/>
          </w:tcPr>
          <w:p>
            <w:pPr>
              <w:spacing w:after="0"/>
              <w:rPr>
                <w:sz w:val="14"/>
                <w:szCs w:val="14"/>
                <w:color w:val="auto"/>
              </w:rPr>
            </w:pPr>
          </w:p>
        </w:tc>
        <w:tc>
          <w:tcPr>
            <w:tcW w:w="720" w:type="dxa"/>
            <w:vAlign w:val="bottom"/>
          </w:tcPr>
          <w:p>
            <w:pPr>
              <w:jc w:val="right"/>
              <w:ind w:right="79"/>
              <w:spacing w:after="0" w:line="163" w:lineRule="exact"/>
              <w:rPr>
                <w:sz w:val="20"/>
                <w:szCs w:val="20"/>
                <w:color w:val="auto"/>
              </w:rPr>
            </w:pPr>
            <w:r>
              <w:rPr>
                <w:rFonts w:ascii="Arial" w:cs="Arial" w:eastAsia="Arial" w:hAnsi="Arial"/>
                <w:sz w:val="16"/>
                <w:szCs w:val="16"/>
                <w:b w:val="1"/>
                <w:bCs w:val="1"/>
                <w:color w:val="0233A1"/>
              </w:rPr>
              <w:t>Weight</w:t>
            </w:r>
          </w:p>
        </w:tc>
        <w:tc>
          <w:tcPr>
            <w:tcW w:w="920" w:type="dxa"/>
            <w:vAlign w:val="bottom"/>
            <w:gridSpan w:val="2"/>
          </w:tcPr>
          <w:p>
            <w:pPr>
              <w:jc w:val="right"/>
              <w:ind w:right="220"/>
              <w:spacing w:after="0" w:line="163" w:lineRule="exact"/>
              <w:rPr>
                <w:sz w:val="20"/>
                <w:szCs w:val="20"/>
                <w:color w:val="auto"/>
              </w:rPr>
            </w:pPr>
            <w:r>
              <w:rPr>
                <w:rFonts w:ascii="Arial" w:cs="Arial" w:eastAsia="Arial" w:hAnsi="Arial"/>
                <w:sz w:val="16"/>
                <w:szCs w:val="16"/>
                <w:b w:val="1"/>
                <w:bCs w:val="1"/>
                <w:color w:val="0233A1"/>
              </w:rPr>
              <w:t>Result</w:t>
            </w:r>
          </w:p>
        </w:tc>
        <w:tc>
          <w:tcPr>
            <w:tcW w:w="800" w:type="dxa"/>
            <w:vAlign w:val="bottom"/>
          </w:tcPr>
          <w:p>
            <w:pPr>
              <w:jc w:val="right"/>
              <w:ind w:right="119"/>
              <w:spacing w:after="0" w:line="163" w:lineRule="exact"/>
              <w:rPr>
                <w:sz w:val="20"/>
                <w:szCs w:val="20"/>
                <w:color w:val="auto"/>
              </w:rPr>
            </w:pPr>
            <w:r>
              <w:rPr>
                <w:rFonts w:ascii="Arial" w:cs="Arial" w:eastAsia="Arial" w:hAnsi="Arial"/>
                <w:sz w:val="16"/>
                <w:szCs w:val="16"/>
                <w:b w:val="1"/>
                <w:bCs w:val="1"/>
                <w:color w:val="0233A1"/>
              </w:rPr>
              <w:t>Weight</w:t>
            </w:r>
          </w:p>
        </w:tc>
        <w:tc>
          <w:tcPr>
            <w:tcW w:w="1020" w:type="dxa"/>
            <w:vAlign w:val="bottom"/>
            <w:gridSpan w:val="2"/>
          </w:tcPr>
          <w:p>
            <w:pPr>
              <w:ind w:left="180"/>
              <w:spacing w:after="0" w:line="163" w:lineRule="exact"/>
              <w:rPr>
                <w:sz w:val="20"/>
                <w:szCs w:val="20"/>
                <w:color w:val="auto"/>
              </w:rPr>
            </w:pPr>
            <w:r>
              <w:rPr>
                <w:rFonts w:ascii="Arial" w:cs="Arial" w:eastAsia="Arial" w:hAnsi="Arial"/>
                <w:sz w:val="16"/>
                <w:szCs w:val="16"/>
                <w:b w:val="1"/>
                <w:bCs w:val="1"/>
                <w:color w:val="0233A1"/>
              </w:rPr>
              <w:t>Result</w:t>
            </w:r>
          </w:p>
        </w:tc>
        <w:tc>
          <w:tcPr>
            <w:tcW w:w="1260" w:type="dxa"/>
            <w:vAlign w:val="bottom"/>
          </w:tcPr>
          <w:p>
            <w:pPr>
              <w:jc w:val="right"/>
              <w:ind w:right="299"/>
              <w:spacing w:after="0" w:line="163" w:lineRule="exact"/>
              <w:rPr>
                <w:sz w:val="20"/>
                <w:szCs w:val="20"/>
                <w:color w:val="auto"/>
              </w:rPr>
            </w:pPr>
            <w:r>
              <w:rPr>
                <w:rFonts w:ascii="Arial" w:cs="Arial" w:eastAsia="Arial" w:hAnsi="Arial"/>
                <w:sz w:val="16"/>
                <w:szCs w:val="16"/>
                <w:b w:val="1"/>
                <w:bCs w:val="1"/>
                <w:color w:val="0233A1"/>
              </w:rPr>
              <w:t>STI Paid as</w:t>
            </w:r>
          </w:p>
        </w:tc>
        <w:tc>
          <w:tcPr>
            <w:tcW w:w="0" w:type="dxa"/>
            <w:vAlign w:val="bottom"/>
          </w:tcPr>
          <w:p>
            <w:pPr>
              <w:spacing w:after="0"/>
              <w:rPr>
                <w:sz w:val="1"/>
                <w:szCs w:val="1"/>
                <w:color w:val="auto"/>
              </w:rPr>
            </w:pPr>
          </w:p>
        </w:tc>
      </w:tr>
      <w:tr>
        <w:trPr>
          <w:trHeight w:val="230"/>
        </w:trPr>
        <w:tc>
          <w:tcPr>
            <w:tcW w:w="1580" w:type="dxa"/>
            <w:vAlign w:val="bottom"/>
            <w:tcBorders>
              <w:bottom w:val="single" w:sz="8" w:color="0233A1"/>
            </w:tcBorders>
          </w:tcPr>
          <w:p>
            <w:pPr>
              <w:ind w:left="60"/>
              <w:spacing w:after="0"/>
              <w:rPr>
                <w:sz w:val="20"/>
                <w:szCs w:val="20"/>
                <w:color w:val="auto"/>
              </w:rPr>
            </w:pPr>
            <w:r>
              <w:rPr>
                <w:rFonts w:ascii="Arial" w:cs="Arial" w:eastAsia="Arial" w:hAnsi="Arial"/>
                <w:sz w:val="16"/>
                <w:szCs w:val="16"/>
                <w:b w:val="1"/>
                <w:bCs w:val="1"/>
                <w:color w:val="0233A1"/>
              </w:rPr>
              <w:t>Name</w:t>
            </w:r>
          </w:p>
        </w:tc>
        <w:tc>
          <w:tcPr>
            <w:tcW w:w="1820" w:type="dxa"/>
            <w:vAlign w:val="bottom"/>
            <w:tcBorders>
              <w:bottom w:val="single" w:sz="8" w:color="0233A1"/>
            </w:tcBorders>
          </w:tcPr>
          <w:p>
            <w:pPr>
              <w:jc w:val="right"/>
              <w:ind w:right="139"/>
              <w:spacing w:after="0"/>
              <w:rPr>
                <w:sz w:val="20"/>
                <w:szCs w:val="20"/>
                <w:color w:val="auto"/>
              </w:rPr>
            </w:pPr>
            <w:r>
              <w:rPr>
                <w:rFonts w:ascii="Arial" w:cs="Arial" w:eastAsia="Arial" w:hAnsi="Arial"/>
                <w:sz w:val="16"/>
                <w:szCs w:val="16"/>
                <w:b w:val="1"/>
                <w:bCs w:val="1"/>
                <w:color w:val="0233A1"/>
              </w:rPr>
              <w:t>Base Salary</w:t>
            </w:r>
          </w:p>
        </w:tc>
        <w:tc>
          <w:tcPr>
            <w:tcW w:w="680" w:type="dxa"/>
            <w:vAlign w:val="bottom"/>
            <w:tcBorders>
              <w:bottom w:val="single" w:sz="8" w:color="0233A1"/>
            </w:tcBorders>
          </w:tcPr>
          <w:p>
            <w:pPr>
              <w:jc w:val="right"/>
              <w:ind w:right="59"/>
              <w:spacing w:after="0"/>
              <w:rPr>
                <w:sz w:val="20"/>
                <w:szCs w:val="20"/>
                <w:color w:val="auto"/>
              </w:rPr>
            </w:pPr>
            <w:r>
              <w:rPr>
                <w:rFonts w:ascii="Arial" w:cs="Arial" w:eastAsia="Arial" w:hAnsi="Arial"/>
                <w:sz w:val="16"/>
                <w:szCs w:val="16"/>
                <w:b w:val="1"/>
                <w:bCs w:val="1"/>
                <w:color w:val="0233A1"/>
              </w:rPr>
              <w:t>(%)</w:t>
            </w:r>
          </w:p>
        </w:tc>
        <w:tc>
          <w:tcPr>
            <w:tcW w:w="740" w:type="dxa"/>
            <w:vAlign w:val="bottom"/>
            <w:tcBorders>
              <w:bottom w:val="single" w:sz="8" w:color="0233A1"/>
            </w:tcBorders>
          </w:tcPr>
          <w:p>
            <w:pPr>
              <w:jc w:val="right"/>
              <w:spacing w:after="0"/>
              <w:rPr>
                <w:sz w:val="20"/>
                <w:szCs w:val="20"/>
                <w:color w:val="auto"/>
              </w:rPr>
            </w:pPr>
            <w:r>
              <w:rPr>
                <w:rFonts w:ascii="Arial" w:cs="Arial" w:eastAsia="Arial" w:hAnsi="Arial"/>
                <w:sz w:val="16"/>
                <w:szCs w:val="16"/>
                <w:b w:val="1"/>
                <w:bCs w:val="1"/>
                <w:color w:val="0233A1"/>
              </w:rPr>
              <w:t>(%)</w:t>
            </w:r>
          </w:p>
        </w:tc>
        <w:tc>
          <w:tcPr>
            <w:tcW w:w="160" w:type="dxa"/>
            <w:vAlign w:val="bottom"/>
            <w:tcBorders>
              <w:bottom w:val="single" w:sz="8" w:color="0233A1"/>
            </w:tcBorders>
          </w:tcPr>
          <w:p>
            <w:pPr>
              <w:spacing w:after="0"/>
              <w:rPr>
                <w:sz w:val="19"/>
                <w:szCs w:val="19"/>
                <w:color w:val="auto"/>
              </w:rPr>
            </w:pPr>
          </w:p>
        </w:tc>
        <w:tc>
          <w:tcPr>
            <w:tcW w:w="660" w:type="dxa"/>
            <w:vAlign w:val="bottom"/>
            <w:tcBorders>
              <w:bottom w:val="single" w:sz="8" w:color="0233A1"/>
            </w:tcBorders>
          </w:tcPr>
          <w:p>
            <w:pPr>
              <w:jc w:val="right"/>
              <w:ind w:right="39"/>
              <w:spacing w:after="0"/>
              <w:rPr>
                <w:sz w:val="20"/>
                <w:szCs w:val="20"/>
                <w:color w:val="auto"/>
              </w:rPr>
            </w:pPr>
            <w:r>
              <w:rPr>
                <w:rFonts w:ascii="Arial" w:cs="Arial" w:eastAsia="Arial" w:hAnsi="Arial"/>
                <w:sz w:val="16"/>
                <w:szCs w:val="16"/>
                <w:b w:val="1"/>
                <w:bCs w:val="1"/>
                <w:color w:val="0233A1"/>
              </w:rPr>
              <w:t>(%)</w:t>
            </w:r>
          </w:p>
        </w:tc>
        <w:tc>
          <w:tcPr>
            <w:tcW w:w="720" w:type="dxa"/>
            <w:vAlign w:val="bottom"/>
            <w:tcBorders>
              <w:bottom w:val="single" w:sz="8" w:color="0233A1"/>
            </w:tcBorders>
          </w:tcPr>
          <w:p>
            <w:pPr>
              <w:jc w:val="right"/>
              <w:spacing w:after="0"/>
              <w:rPr>
                <w:sz w:val="20"/>
                <w:szCs w:val="20"/>
                <w:color w:val="auto"/>
              </w:rPr>
            </w:pPr>
            <w:r>
              <w:rPr>
                <w:rFonts w:ascii="Arial" w:cs="Arial" w:eastAsia="Arial" w:hAnsi="Arial"/>
                <w:sz w:val="16"/>
                <w:szCs w:val="16"/>
                <w:b w:val="1"/>
                <w:bCs w:val="1"/>
                <w:color w:val="0233A1"/>
              </w:rPr>
              <w:t>(%)</w:t>
            </w:r>
          </w:p>
        </w:tc>
        <w:tc>
          <w:tcPr>
            <w:tcW w:w="880" w:type="dxa"/>
            <w:vAlign w:val="bottom"/>
            <w:tcBorders>
              <w:bottom w:val="single" w:sz="8" w:color="0233A1"/>
            </w:tcBorders>
            <w:gridSpan w:val="2"/>
          </w:tcPr>
          <w:p>
            <w:pPr>
              <w:jc w:val="right"/>
              <w:ind w:right="79"/>
              <w:spacing w:after="0"/>
              <w:rPr>
                <w:sz w:val="20"/>
                <w:szCs w:val="20"/>
                <w:color w:val="auto"/>
              </w:rPr>
            </w:pPr>
            <w:r>
              <w:rPr>
                <w:rFonts w:ascii="Arial" w:cs="Arial" w:eastAsia="Arial" w:hAnsi="Arial"/>
                <w:sz w:val="16"/>
                <w:szCs w:val="16"/>
                <w:b w:val="1"/>
                <w:bCs w:val="1"/>
                <w:color w:val="0233A1"/>
              </w:rPr>
              <w:t>(%)</w:t>
            </w:r>
          </w:p>
        </w:tc>
        <w:tc>
          <w:tcPr>
            <w:tcW w:w="760" w:type="dxa"/>
            <w:vAlign w:val="bottom"/>
            <w:tcBorders>
              <w:bottom w:val="single" w:sz="8" w:color="0233A1"/>
            </w:tcBorders>
          </w:tcPr>
          <w:p>
            <w:pPr>
              <w:jc w:val="right"/>
              <w:spacing w:after="0"/>
              <w:rPr>
                <w:sz w:val="20"/>
                <w:szCs w:val="20"/>
                <w:color w:val="auto"/>
              </w:rPr>
            </w:pPr>
            <w:r>
              <w:rPr>
                <w:rFonts w:ascii="Arial" w:cs="Arial" w:eastAsia="Arial" w:hAnsi="Arial"/>
                <w:sz w:val="16"/>
                <w:szCs w:val="16"/>
                <w:b w:val="1"/>
                <w:bCs w:val="1"/>
                <w:color w:val="0233A1"/>
              </w:rPr>
              <w:t>(%)</w:t>
            </w:r>
          </w:p>
        </w:tc>
        <w:tc>
          <w:tcPr>
            <w:tcW w:w="160" w:type="dxa"/>
            <w:vAlign w:val="bottom"/>
            <w:tcBorders>
              <w:bottom w:val="single" w:sz="8" w:color="0233A1"/>
            </w:tcBorders>
          </w:tcPr>
          <w:p>
            <w:pPr>
              <w:spacing w:after="0"/>
              <w:rPr>
                <w:sz w:val="19"/>
                <w:szCs w:val="19"/>
                <w:color w:val="auto"/>
              </w:rPr>
            </w:pPr>
          </w:p>
        </w:tc>
        <w:tc>
          <w:tcPr>
            <w:tcW w:w="800" w:type="dxa"/>
            <w:vAlign w:val="bottom"/>
            <w:tcBorders>
              <w:bottom w:val="single" w:sz="8" w:color="0233A1"/>
            </w:tcBorders>
          </w:tcPr>
          <w:p>
            <w:pPr>
              <w:jc w:val="right"/>
              <w:ind w:right="119"/>
              <w:spacing w:after="0"/>
              <w:rPr>
                <w:sz w:val="20"/>
                <w:szCs w:val="20"/>
                <w:color w:val="auto"/>
              </w:rPr>
            </w:pPr>
            <w:r>
              <w:rPr>
                <w:rFonts w:ascii="Arial" w:cs="Arial" w:eastAsia="Arial" w:hAnsi="Arial"/>
                <w:sz w:val="16"/>
                <w:szCs w:val="16"/>
                <w:b w:val="1"/>
                <w:bCs w:val="1"/>
                <w:color w:val="0233A1"/>
              </w:rPr>
              <w:t>(%)</w:t>
            </w:r>
          </w:p>
        </w:tc>
        <w:tc>
          <w:tcPr>
            <w:tcW w:w="780" w:type="dxa"/>
            <w:vAlign w:val="bottom"/>
            <w:tcBorders>
              <w:bottom w:val="single" w:sz="8" w:color="0233A1"/>
            </w:tcBorders>
          </w:tcPr>
          <w:p>
            <w:pPr>
              <w:jc w:val="right"/>
              <w:spacing w:after="0"/>
              <w:rPr>
                <w:sz w:val="20"/>
                <w:szCs w:val="20"/>
                <w:color w:val="auto"/>
              </w:rPr>
            </w:pPr>
            <w:r>
              <w:rPr>
                <w:rFonts w:ascii="Arial" w:cs="Arial" w:eastAsia="Arial" w:hAnsi="Arial"/>
                <w:sz w:val="16"/>
                <w:szCs w:val="16"/>
                <w:b w:val="1"/>
                <w:bCs w:val="1"/>
                <w:color w:val="0233A1"/>
              </w:rPr>
              <w:t>(%)</w:t>
            </w:r>
          </w:p>
        </w:tc>
        <w:tc>
          <w:tcPr>
            <w:tcW w:w="240" w:type="dxa"/>
            <w:vAlign w:val="bottom"/>
            <w:tcBorders>
              <w:bottom w:val="single" w:sz="8" w:color="0233A1"/>
            </w:tcBorders>
          </w:tcPr>
          <w:p>
            <w:pPr>
              <w:spacing w:after="0"/>
              <w:rPr>
                <w:sz w:val="19"/>
                <w:szCs w:val="19"/>
                <w:color w:val="auto"/>
              </w:rPr>
            </w:pPr>
          </w:p>
        </w:tc>
        <w:tc>
          <w:tcPr>
            <w:tcW w:w="1260" w:type="dxa"/>
            <w:vAlign w:val="bottom"/>
            <w:tcBorders>
              <w:bottom w:val="single" w:sz="8" w:color="0233A1"/>
            </w:tcBorders>
          </w:tcPr>
          <w:p>
            <w:pPr>
              <w:jc w:val="right"/>
              <w:spacing w:after="0" w:line="230" w:lineRule="exact"/>
              <w:rPr>
                <w:sz w:val="20"/>
                <w:szCs w:val="20"/>
                <w:color w:val="auto"/>
              </w:rPr>
            </w:pPr>
            <w:r>
              <w:rPr>
                <w:rFonts w:ascii="Arial" w:cs="Arial" w:eastAsia="Arial" w:hAnsi="Arial"/>
                <w:sz w:val="16"/>
                <w:szCs w:val="16"/>
                <w:b w:val="1"/>
                <w:bCs w:val="1"/>
                <w:color w:val="0233A1"/>
                <w:w w:val="92"/>
              </w:rPr>
              <w:t>% of Target</w:t>
            </w:r>
            <w:r>
              <w:rPr>
                <w:rFonts w:ascii="Arial" w:cs="Arial" w:eastAsia="Arial" w:hAnsi="Arial"/>
                <w:sz w:val="26"/>
                <w:szCs w:val="26"/>
                <w:color w:val="0233A1"/>
                <w:w w:val="92"/>
                <w:vertAlign w:val="superscript"/>
              </w:rPr>
              <w:t>(1)(2)</w:t>
            </w:r>
          </w:p>
        </w:tc>
        <w:tc>
          <w:tcPr>
            <w:tcW w:w="0" w:type="dxa"/>
            <w:vAlign w:val="bottom"/>
          </w:tcPr>
          <w:p>
            <w:pPr>
              <w:spacing w:after="0"/>
              <w:rPr>
                <w:sz w:val="1"/>
                <w:szCs w:val="1"/>
                <w:color w:val="auto"/>
              </w:rPr>
            </w:pPr>
          </w:p>
        </w:tc>
      </w:tr>
      <w:tr>
        <w:trPr>
          <w:trHeight w:val="183"/>
        </w:trPr>
        <w:tc>
          <w:tcPr>
            <w:tcW w:w="1580" w:type="dxa"/>
            <w:vAlign w:val="bottom"/>
          </w:tcPr>
          <w:p>
            <w:pPr>
              <w:ind w:left="60"/>
              <w:spacing w:after="0" w:line="183" w:lineRule="exact"/>
              <w:rPr>
                <w:sz w:val="20"/>
                <w:szCs w:val="20"/>
                <w:color w:val="auto"/>
              </w:rPr>
            </w:pPr>
            <w:r>
              <w:rPr>
                <w:rFonts w:ascii="Arial" w:cs="Arial" w:eastAsia="Arial" w:hAnsi="Arial"/>
                <w:sz w:val="16"/>
                <w:szCs w:val="16"/>
                <w:color w:val="auto"/>
              </w:rPr>
              <w:t>O. Le Peuch</w:t>
            </w:r>
          </w:p>
        </w:tc>
        <w:tc>
          <w:tcPr>
            <w:tcW w:w="1820" w:type="dxa"/>
            <w:vAlign w:val="bottom"/>
          </w:tcPr>
          <w:p>
            <w:pPr>
              <w:jc w:val="right"/>
              <w:ind w:right="139"/>
              <w:spacing w:after="0" w:line="183" w:lineRule="exact"/>
              <w:rPr>
                <w:sz w:val="20"/>
                <w:szCs w:val="20"/>
                <w:color w:val="auto"/>
              </w:rPr>
            </w:pPr>
            <w:r>
              <w:rPr>
                <w:rFonts w:ascii="Arial" w:cs="Arial" w:eastAsia="Arial" w:hAnsi="Arial"/>
                <w:sz w:val="16"/>
                <w:szCs w:val="16"/>
                <w:color w:val="auto"/>
              </w:rPr>
              <w:t>150%</w:t>
            </w:r>
          </w:p>
        </w:tc>
        <w:tc>
          <w:tcPr>
            <w:tcW w:w="680" w:type="dxa"/>
            <w:vAlign w:val="bottom"/>
          </w:tcPr>
          <w:p>
            <w:pPr>
              <w:jc w:val="right"/>
              <w:ind w:right="59"/>
              <w:spacing w:after="0" w:line="183" w:lineRule="exact"/>
              <w:rPr>
                <w:sz w:val="20"/>
                <w:szCs w:val="20"/>
                <w:color w:val="auto"/>
              </w:rPr>
            </w:pPr>
            <w:r>
              <w:rPr>
                <w:rFonts w:ascii="Arial" w:cs="Arial" w:eastAsia="Arial" w:hAnsi="Arial"/>
                <w:sz w:val="16"/>
                <w:szCs w:val="16"/>
                <w:color w:val="auto"/>
              </w:rPr>
              <w:t>35</w:t>
            </w: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119</w:t>
            </w:r>
          </w:p>
        </w:tc>
        <w:tc>
          <w:tcPr>
            <w:tcW w:w="160" w:type="dxa"/>
            <w:vAlign w:val="bottom"/>
          </w:tcPr>
          <w:p>
            <w:pPr>
              <w:spacing w:after="0"/>
              <w:rPr>
                <w:sz w:val="15"/>
                <w:szCs w:val="15"/>
                <w:color w:val="auto"/>
              </w:rPr>
            </w:pPr>
          </w:p>
        </w:tc>
        <w:tc>
          <w:tcPr>
            <w:tcW w:w="660" w:type="dxa"/>
            <w:vAlign w:val="bottom"/>
          </w:tcPr>
          <w:p>
            <w:pPr>
              <w:jc w:val="right"/>
              <w:ind w:right="39"/>
              <w:spacing w:after="0" w:line="183" w:lineRule="exact"/>
              <w:rPr>
                <w:sz w:val="20"/>
                <w:szCs w:val="20"/>
                <w:color w:val="auto"/>
              </w:rPr>
            </w:pPr>
            <w:r>
              <w:rPr>
                <w:rFonts w:ascii="Arial" w:cs="Arial" w:eastAsia="Arial" w:hAnsi="Arial"/>
                <w:sz w:val="16"/>
                <w:szCs w:val="16"/>
                <w:color w:val="auto"/>
              </w:rPr>
              <w:t>35</w:t>
            </w: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auto"/>
              </w:rPr>
              <w:t>243</w:t>
            </w:r>
          </w:p>
        </w:tc>
        <w:tc>
          <w:tcPr>
            <w:tcW w:w="880" w:type="dxa"/>
            <w:vAlign w:val="bottom"/>
            <w:gridSpan w:val="2"/>
          </w:tcPr>
          <w:p>
            <w:pPr>
              <w:jc w:val="right"/>
              <w:ind w:right="79"/>
              <w:spacing w:after="0" w:line="183" w:lineRule="exact"/>
              <w:rPr>
                <w:sz w:val="20"/>
                <w:szCs w:val="20"/>
                <w:color w:val="auto"/>
              </w:rPr>
            </w:pPr>
            <w:r>
              <w:rPr>
                <w:rFonts w:ascii="Arial" w:cs="Arial" w:eastAsia="Arial" w:hAnsi="Arial"/>
                <w:sz w:val="16"/>
                <w:szCs w:val="16"/>
                <w:color w:val="auto"/>
              </w:rPr>
              <w:t>10</w:t>
            </w: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100</w:t>
            </w:r>
          </w:p>
        </w:tc>
        <w:tc>
          <w:tcPr>
            <w:tcW w:w="160" w:type="dxa"/>
            <w:vAlign w:val="bottom"/>
          </w:tcPr>
          <w:p>
            <w:pPr>
              <w:spacing w:after="0"/>
              <w:rPr>
                <w:sz w:val="15"/>
                <w:szCs w:val="15"/>
                <w:color w:val="auto"/>
              </w:rPr>
            </w:pPr>
          </w:p>
        </w:tc>
        <w:tc>
          <w:tcPr>
            <w:tcW w:w="800" w:type="dxa"/>
            <w:vAlign w:val="bottom"/>
          </w:tcPr>
          <w:p>
            <w:pPr>
              <w:jc w:val="right"/>
              <w:ind w:right="119"/>
              <w:spacing w:after="0" w:line="183" w:lineRule="exact"/>
              <w:rPr>
                <w:sz w:val="20"/>
                <w:szCs w:val="20"/>
                <w:color w:val="auto"/>
              </w:rPr>
            </w:pPr>
            <w:r>
              <w:rPr>
                <w:rFonts w:ascii="Arial" w:cs="Arial" w:eastAsia="Arial" w:hAnsi="Arial"/>
                <w:sz w:val="16"/>
                <w:szCs w:val="16"/>
                <w:color w:val="auto"/>
              </w:rPr>
              <w:t>20</w:t>
            </w: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95</w:t>
            </w:r>
          </w:p>
        </w:tc>
        <w:tc>
          <w:tcPr>
            <w:tcW w:w="240" w:type="dxa"/>
            <w:vAlign w:val="bottom"/>
          </w:tcPr>
          <w:p>
            <w:pPr>
              <w:spacing w:after="0"/>
              <w:rPr>
                <w:sz w:val="15"/>
                <w:szCs w:val="15"/>
                <w:color w:val="auto"/>
              </w:rPr>
            </w:pPr>
          </w:p>
        </w:tc>
        <w:tc>
          <w:tcPr>
            <w:tcW w:w="1260" w:type="dxa"/>
            <w:vAlign w:val="bottom"/>
            <w:shd w:val="clear" w:color="auto" w:fill="EBECEE"/>
          </w:tcPr>
          <w:p>
            <w:pPr>
              <w:jc w:val="right"/>
              <w:ind w:right="159"/>
              <w:spacing w:after="0" w:line="183" w:lineRule="exact"/>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02"/>
        </w:trPr>
        <w:tc>
          <w:tcPr>
            <w:tcW w:w="1580" w:type="dxa"/>
            <w:vAlign w:val="bottom"/>
          </w:tcPr>
          <w:p>
            <w:pPr>
              <w:ind w:left="60"/>
              <w:spacing w:after="0"/>
              <w:rPr>
                <w:sz w:val="20"/>
                <w:szCs w:val="20"/>
                <w:color w:val="auto"/>
              </w:rPr>
            </w:pPr>
            <w:r>
              <w:rPr>
                <w:rFonts w:ascii="Arial" w:cs="Arial" w:eastAsia="Arial" w:hAnsi="Arial"/>
                <w:sz w:val="16"/>
                <w:szCs w:val="16"/>
                <w:color w:val="auto"/>
              </w:rPr>
              <w:t>S. Biguet</w:t>
            </w:r>
          </w:p>
        </w:tc>
        <w:tc>
          <w:tcPr>
            <w:tcW w:w="1820" w:type="dxa"/>
            <w:vAlign w:val="bottom"/>
          </w:tcPr>
          <w:p>
            <w:pPr>
              <w:jc w:val="right"/>
              <w:ind w:right="139"/>
              <w:spacing w:after="0"/>
              <w:rPr>
                <w:sz w:val="20"/>
                <w:szCs w:val="20"/>
                <w:color w:val="auto"/>
              </w:rPr>
            </w:pPr>
            <w:r>
              <w:rPr>
                <w:rFonts w:ascii="Arial" w:cs="Arial" w:eastAsia="Arial" w:hAnsi="Arial"/>
                <w:sz w:val="16"/>
                <w:szCs w:val="16"/>
                <w:color w:val="auto"/>
              </w:rPr>
              <w:t>100%</w:t>
            </w: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35</w:t>
            </w:r>
          </w:p>
        </w:tc>
        <w:tc>
          <w:tcPr>
            <w:tcW w:w="740" w:type="dxa"/>
            <w:vAlign w:val="bottom"/>
          </w:tcPr>
          <w:p>
            <w:pPr>
              <w:jc w:val="right"/>
              <w:spacing w:after="0"/>
              <w:rPr>
                <w:sz w:val="20"/>
                <w:szCs w:val="20"/>
                <w:color w:val="auto"/>
              </w:rPr>
            </w:pPr>
            <w:r>
              <w:rPr>
                <w:rFonts w:ascii="Arial" w:cs="Arial" w:eastAsia="Arial" w:hAnsi="Arial"/>
                <w:sz w:val="16"/>
                <w:szCs w:val="16"/>
                <w:color w:val="auto"/>
              </w:rPr>
              <w:t>119</w:t>
            </w:r>
          </w:p>
        </w:tc>
        <w:tc>
          <w:tcPr>
            <w:tcW w:w="16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720" w:type="dxa"/>
            <w:vAlign w:val="bottom"/>
          </w:tcPr>
          <w:p>
            <w:pPr>
              <w:jc w:val="right"/>
              <w:spacing w:after="0"/>
              <w:rPr>
                <w:sz w:val="20"/>
                <w:szCs w:val="20"/>
                <w:color w:val="auto"/>
              </w:rPr>
            </w:pPr>
            <w:r>
              <w:rPr>
                <w:rFonts w:ascii="Arial" w:cs="Arial" w:eastAsia="Arial" w:hAnsi="Arial"/>
                <w:sz w:val="16"/>
                <w:szCs w:val="16"/>
                <w:color w:val="auto"/>
              </w:rPr>
              <w:t>243</w:t>
            </w:r>
          </w:p>
        </w:tc>
        <w:tc>
          <w:tcPr>
            <w:tcW w:w="880" w:type="dxa"/>
            <w:vAlign w:val="bottom"/>
            <w:gridSpan w:val="2"/>
          </w:tcPr>
          <w:p>
            <w:pPr>
              <w:jc w:val="right"/>
              <w:ind w:right="79"/>
              <w:spacing w:after="0"/>
              <w:rPr>
                <w:sz w:val="20"/>
                <w:szCs w:val="20"/>
                <w:color w:val="auto"/>
              </w:rPr>
            </w:pPr>
            <w:r>
              <w:rPr>
                <w:rFonts w:ascii="Arial" w:cs="Arial" w:eastAsia="Arial" w:hAnsi="Arial"/>
                <w:sz w:val="16"/>
                <w:szCs w:val="16"/>
                <w:color w:val="auto"/>
              </w:rPr>
              <w:t>10</w:t>
            </w:r>
          </w:p>
        </w:tc>
        <w:tc>
          <w:tcPr>
            <w:tcW w:w="760" w:type="dxa"/>
            <w:vAlign w:val="bottom"/>
          </w:tcPr>
          <w:p>
            <w:pPr>
              <w:jc w:val="right"/>
              <w:spacing w:after="0"/>
              <w:rPr>
                <w:sz w:val="20"/>
                <w:szCs w:val="20"/>
                <w:color w:val="auto"/>
              </w:rPr>
            </w:pPr>
            <w:r>
              <w:rPr>
                <w:rFonts w:ascii="Arial" w:cs="Arial" w:eastAsia="Arial" w:hAnsi="Arial"/>
                <w:sz w:val="16"/>
                <w:szCs w:val="16"/>
                <w:color w:val="auto"/>
              </w:rPr>
              <w:t>100</w:t>
            </w:r>
          </w:p>
        </w:tc>
        <w:tc>
          <w:tcPr>
            <w:tcW w:w="160" w:type="dxa"/>
            <w:vAlign w:val="bottom"/>
          </w:tcPr>
          <w:p>
            <w:pPr>
              <w:spacing w:after="0"/>
              <w:rPr>
                <w:sz w:val="17"/>
                <w:szCs w:val="17"/>
                <w:color w:val="auto"/>
              </w:rPr>
            </w:pP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20</w:t>
            </w:r>
          </w:p>
        </w:tc>
        <w:tc>
          <w:tcPr>
            <w:tcW w:w="780" w:type="dxa"/>
            <w:vAlign w:val="bottom"/>
          </w:tcPr>
          <w:p>
            <w:pPr>
              <w:jc w:val="right"/>
              <w:spacing w:after="0"/>
              <w:rPr>
                <w:sz w:val="20"/>
                <w:szCs w:val="20"/>
                <w:color w:val="auto"/>
              </w:rPr>
            </w:pPr>
            <w:r>
              <w:rPr>
                <w:rFonts w:ascii="Arial" w:cs="Arial" w:eastAsia="Arial" w:hAnsi="Arial"/>
                <w:sz w:val="16"/>
                <w:szCs w:val="16"/>
                <w:color w:val="auto"/>
              </w:rPr>
              <w:t>96</w:t>
            </w:r>
          </w:p>
        </w:tc>
        <w:tc>
          <w:tcPr>
            <w:tcW w:w="240" w:type="dxa"/>
            <w:vAlign w:val="bottom"/>
          </w:tcPr>
          <w:p>
            <w:pPr>
              <w:spacing w:after="0"/>
              <w:rPr>
                <w:sz w:val="17"/>
                <w:szCs w:val="17"/>
                <w:color w:val="auto"/>
              </w:rPr>
            </w:pPr>
          </w:p>
        </w:tc>
        <w:tc>
          <w:tcPr>
            <w:tcW w:w="1260" w:type="dxa"/>
            <w:vAlign w:val="bottom"/>
          </w:tcPr>
          <w:p>
            <w:pPr>
              <w:jc w:val="right"/>
              <w:ind w:right="159"/>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03"/>
        </w:trPr>
        <w:tc>
          <w:tcPr>
            <w:tcW w:w="1580" w:type="dxa"/>
            <w:vAlign w:val="bottom"/>
          </w:tcPr>
          <w:p>
            <w:pPr>
              <w:ind w:left="60"/>
              <w:spacing w:after="0"/>
              <w:rPr>
                <w:sz w:val="20"/>
                <w:szCs w:val="20"/>
                <w:color w:val="auto"/>
              </w:rPr>
            </w:pPr>
            <w:r>
              <w:rPr>
                <w:rFonts w:ascii="Arial" w:cs="Arial" w:eastAsia="Arial" w:hAnsi="Arial"/>
                <w:sz w:val="16"/>
                <w:szCs w:val="16"/>
                <w:color w:val="auto"/>
              </w:rPr>
              <w:t>K. Al Mogharbel</w:t>
            </w:r>
          </w:p>
        </w:tc>
        <w:tc>
          <w:tcPr>
            <w:tcW w:w="1820" w:type="dxa"/>
            <w:vAlign w:val="bottom"/>
          </w:tcPr>
          <w:p>
            <w:pPr>
              <w:jc w:val="right"/>
              <w:ind w:right="139"/>
              <w:spacing w:after="0"/>
              <w:rPr>
                <w:sz w:val="20"/>
                <w:szCs w:val="20"/>
                <w:color w:val="auto"/>
              </w:rPr>
            </w:pPr>
            <w:r>
              <w:rPr>
                <w:rFonts w:ascii="Arial" w:cs="Arial" w:eastAsia="Arial" w:hAnsi="Arial"/>
                <w:sz w:val="16"/>
                <w:szCs w:val="16"/>
                <w:color w:val="auto"/>
              </w:rPr>
              <w:t>100%</w:t>
            </w: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35</w:t>
            </w:r>
          </w:p>
        </w:tc>
        <w:tc>
          <w:tcPr>
            <w:tcW w:w="740" w:type="dxa"/>
            <w:vAlign w:val="bottom"/>
          </w:tcPr>
          <w:p>
            <w:pPr>
              <w:jc w:val="right"/>
              <w:spacing w:after="0"/>
              <w:rPr>
                <w:sz w:val="20"/>
                <w:szCs w:val="20"/>
                <w:color w:val="auto"/>
              </w:rPr>
            </w:pPr>
            <w:r>
              <w:rPr>
                <w:rFonts w:ascii="Arial" w:cs="Arial" w:eastAsia="Arial" w:hAnsi="Arial"/>
                <w:sz w:val="16"/>
                <w:szCs w:val="16"/>
                <w:color w:val="auto"/>
              </w:rPr>
              <w:t>119</w:t>
            </w:r>
          </w:p>
        </w:tc>
        <w:tc>
          <w:tcPr>
            <w:tcW w:w="16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720" w:type="dxa"/>
            <w:vAlign w:val="bottom"/>
          </w:tcPr>
          <w:p>
            <w:pPr>
              <w:jc w:val="right"/>
              <w:spacing w:after="0"/>
              <w:rPr>
                <w:sz w:val="20"/>
                <w:szCs w:val="20"/>
                <w:color w:val="auto"/>
              </w:rPr>
            </w:pPr>
            <w:r>
              <w:rPr>
                <w:rFonts w:ascii="Arial" w:cs="Arial" w:eastAsia="Arial" w:hAnsi="Arial"/>
                <w:sz w:val="16"/>
                <w:szCs w:val="16"/>
                <w:color w:val="auto"/>
              </w:rPr>
              <w:t>243</w:t>
            </w:r>
          </w:p>
        </w:tc>
        <w:tc>
          <w:tcPr>
            <w:tcW w:w="880" w:type="dxa"/>
            <w:vAlign w:val="bottom"/>
            <w:gridSpan w:val="2"/>
          </w:tcPr>
          <w:p>
            <w:pPr>
              <w:jc w:val="right"/>
              <w:ind w:right="79"/>
              <w:spacing w:after="0"/>
              <w:rPr>
                <w:sz w:val="20"/>
                <w:szCs w:val="20"/>
                <w:color w:val="auto"/>
              </w:rPr>
            </w:pPr>
            <w:r>
              <w:rPr>
                <w:rFonts w:ascii="Arial" w:cs="Arial" w:eastAsia="Arial" w:hAnsi="Arial"/>
                <w:sz w:val="16"/>
                <w:szCs w:val="16"/>
                <w:color w:val="auto"/>
              </w:rPr>
              <w:t>10</w:t>
            </w:r>
          </w:p>
        </w:tc>
        <w:tc>
          <w:tcPr>
            <w:tcW w:w="760" w:type="dxa"/>
            <w:vAlign w:val="bottom"/>
          </w:tcPr>
          <w:p>
            <w:pPr>
              <w:jc w:val="right"/>
              <w:spacing w:after="0"/>
              <w:rPr>
                <w:sz w:val="20"/>
                <w:szCs w:val="20"/>
                <w:color w:val="auto"/>
              </w:rPr>
            </w:pPr>
            <w:r>
              <w:rPr>
                <w:rFonts w:ascii="Arial" w:cs="Arial" w:eastAsia="Arial" w:hAnsi="Arial"/>
                <w:sz w:val="16"/>
                <w:szCs w:val="16"/>
                <w:color w:val="auto"/>
              </w:rPr>
              <w:t>100</w:t>
            </w:r>
          </w:p>
        </w:tc>
        <w:tc>
          <w:tcPr>
            <w:tcW w:w="160" w:type="dxa"/>
            <w:vAlign w:val="bottom"/>
          </w:tcPr>
          <w:p>
            <w:pPr>
              <w:spacing w:after="0"/>
              <w:rPr>
                <w:sz w:val="17"/>
                <w:szCs w:val="17"/>
                <w:color w:val="auto"/>
              </w:rPr>
            </w:pP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20</w:t>
            </w:r>
          </w:p>
        </w:tc>
        <w:tc>
          <w:tcPr>
            <w:tcW w:w="780" w:type="dxa"/>
            <w:vAlign w:val="bottom"/>
          </w:tcPr>
          <w:p>
            <w:pPr>
              <w:jc w:val="right"/>
              <w:spacing w:after="0"/>
              <w:rPr>
                <w:sz w:val="20"/>
                <w:szCs w:val="20"/>
                <w:color w:val="auto"/>
              </w:rPr>
            </w:pPr>
            <w:r>
              <w:rPr>
                <w:rFonts w:ascii="Arial" w:cs="Arial" w:eastAsia="Arial" w:hAnsi="Arial"/>
                <w:sz w:val="16"/>
                <w:szCs w:val="16"/>
                <w:color w:val="auto"/>
              </w:rPr>
              <w:t>96</w:t>
            </w:r>
          </w:p>
        </w:tc>
        <w:tc>
          <w:tcPr>
            <w:tcW w:w="240" w:type="dxa"/>
            <w:vAlign w:val="bottom"/>
          </w:tcPr>
          <w:p>
            <w:pPr>
              <w:spacing w:after="0"/>
              <w:rPr>
                <w:sz w:val="17"/>
                <w:szCs w:val="17"/>
                <w:color w:val="auto"/>
              </w:rPr>
            </w:pPr>
          </w:p>
        </w:tc>
        <w:tc>
          <w:tcPr>
            <w:tcW w:w="1260" w:type="dxa"/>
            <w:vAlign w:val="bottom"/>
          </w:tcPr>
          <w:p>
            <w:pPr>
              <w:jc w:val="right"/>
              <w:ind w:right="159"/>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03"/>
        </w:trPr>
        <w:tc>
          <w:tcPr>
            <w:tcW w:w="1580" w:type="dxa"/>
            <w:vAlign w:val="bottom"/>
          </w:tcPr>
          <w:p>
            <w:pPr>
              <w:ind w:left="60"/>
              <w:spacing w:after="0"/>
              <w:rPr>
                <w:sz w:val="20"/>
                <w:szCs w:val="20"/>
                <w:color w:val="auto"/>
              </w:rPr>
            </w:pPr>
            <w:r>
              <w:rPr>
                <w:rFonts w:ascii="Arial" w:cs="Arial" w:eastAsia="Arial" w:hAnsi="Arial"/>
                <w:sz w:val="16"/>
                <w:szCs w:val="16"/>
                <w:color w:val="auto"/>
              </w:rPr>
              <w:t>A. Merad</w:t>
            </w:r>
          </w:p>
        </w:tc>
        <w:tc>
          <w:tcPr>
            <w:tcW w:w="1820" w:type="dxa"/>
            <w:vAlign w:val="bottom"/>
          </w:tcPr>
          <w:p>
            <w:pPr>
              <w:jc w:val="right"/>
              <w:ind w:right="139"/>
              <w:spacing w:after="0"/>
              <w:rPr>
                <w:sz w:val="20"/>
                <w:szCs w:val="20"/>
                <w:color w:val="auto"/>
              </w:rPr>
            </w:pPr>
            <w:r>
              <w:rPr>
                <w:rFonts w:ascii="Arial" w:cs="Arial" w:eastAsia="Arial" w:hAnsi="Arial"/>
                <w:sz w:val="16"/>
                <w:szCs w:val="16"/>
                <w:color w:val="auto"/>
              </w:rPr>
              <w:t>100%</w:t>
            </w: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35</w:t>
            </w:r>
          </w:p>
        </w:tc>
        <w:tc>
          <w:tcPr>
            <w:tcW w:w="740" w:type="dxa"/>
            <w:vAlign w:val="bottom"/>
          </w:tcPr>
          <w:p>
            <w:pPr>
              <w:jc w:val="right"/>
              <w:spacing w:after="0"/>
              <w:rPr>
                <w:sz w:val="20"/>
                <w:szCs w:val="20"/>
                <w:color w:val="auto"/>
              </w:rPr>
            </w:pPr>
            <w:r>
              <w:rPr>
                <w:rFonts w:ascii="Arial" w:cs="Arial" w:eastAsia="Arial" w:hAnsi="Arial"/>
                <w:sz w:val="16"/>
                <w:szCs w:val="16"/>
                <w:color w:val="auto"/>
              </w:rPr>
              <w:t>119</w:t>
            </w:r>
          </w:p>
        </w:tc>
        <w:tc>
          <w:tcPr>
            <w:tcW w:w="16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720" w:type="dxa"/>
            <w:vAlign w:val="bottom"/>
          </w:tcPr>
          <w:p>
            <w:pPr>
              <w:jc w:val="right"/>
              <w:spacing w:after="0"/>
              <w:rPr>
                <w:sz w:val="20"/>
                <w:szCs w:val="20"/>
                <w:color w:val="auto"/>
              </w:rPr>
            </w:pPr>
            <w:r>
              <w:rPr>
                <w:rFonts w:ascii="Arial" w:cs="Arial" w:eastAsia="Arial" w:hAnsi="Arial"/>
                <w:sz w:val="16"/>
                <w:szCs w:val="16"/>
                <w:color w:val="auto"/>
              </w:rPr>
              <w:t>243</w:t>
            </w:r>
          </w:p>
        </w:tc>
        <w:tc>
          <w:tcPr>
            <w:tcW w:w="880" w:type="dxa"/>
            <w:vAlign w:val="bottom"/>
            <w:gridSpan w:val="2"/>
          </w:tcPr>
          <w:p>
            <w:pPr>
              <w:jc w:val="right"/>
              <w:ind w:right="79"/>
              <w:spacing w:after="0"/>
              <w:rPr>
                <w:sz w:val="20"/>
                <w:szCs w:val="20"/>
                <w:color w:val="auto"/>
              </w:rPr>
            </w:pPr>
            <w:r>
              <w:rPr>
                <w:rFonts w:ascii="Arial" w:cs="Arial" w:eastAsia="Arial" w:hAnsi="Arial"/>
                <w:sz w:val="16"/>
                <w:szCs w:val="16"/>
                <w:color w:val="auto"/>
              </w:rPr>
              <w:t>10</w:t>
            </w:r>
          </w:p>
        </w:tc>
        <w:tc>
          <w:tcPr>
            <w:tcW w:w="760" w:type="dxa"/>
            <w:vAlign w:val="bottom"/>
          </w:tcPr>
          <w:p>
            <w:pPr>
              <w:jc w:val="right"/>
              <w:spacing w:after="0"/>
              <w:rPr>
                <w:sz w:val="20"/>
                <w:szCs w:val="20"/>
                <w:color w:val="auto"/>
              </w:rPr>
            </w:pPr>
            <w:r>
              <w:rPr>
                <w:rFonts w:ascii="Arial" w:cs="Arial" w:eastAsia="Arial" w:hAnsi="Arial"/>
                <w:sz w:val="16"/>
                <w:szCs w:val="16"/>
                <w:color w:val="auto"/>
              </w:rPr>
              <w:t>100</w:t>
            </w:r>
          </w:p>
        </w:tc>
        <w:tc>
          <w:tcPr>
            <w:tcW w:w="160" w:type="dxa"/>
            <w:vAlign w:val="bottom"/>
          </w:tcPr>
          <w:p>
            <w:pPr>
              <w:spacing w:after="0"/>
              <w:rPr>
                <w:sz w:val="17"/>
                <w:szCs w:val="17"/>
                <w:color w:val="auto"/>
              </w:rPr>
            </w:pP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20</w:t>
            </w:r>
          </w:p>
        </w:tc>
        <w:tc>
          <w:tcPr>
            <w:tcW w:w="78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17"/>
                <w:szCs w:val="17"/>
                <w:color w:val="auto"/>
              </w:rPr>
            </w:pPr>
          </w:p>
        </w:tc>
        <w:tc>
          <w:tcPr>
            <w:tcW w:w="1260" w:type="dxa"/>
            <w:vAlign w:val="bottom"/>
          </w:tcPr>
          <w:p>
            <w:pPr>
              <w:jc w:val="right"/>
              <w:ind w:right="159"/>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10"/>
        </w:trPr>
        <w:tc>
          <w:tcPr>
            <w:tcW w:w="1580" w:type="dxa"/>
            <w:vAlign w:val="bottom"/>
            <w:tcBorders>
              <w:bottom w:val="single" w:sz="8" w:color="0233A1"/>
            </w:tcBorders>
          </w:tcPr>
          <w:p>
            <w:pPr>
              <w:ind w:left="60"/>
              <w:spacing w:after="0"/>
              <w:rPr>
                <w:sz w:val="20"/>
                <w:szCs w:val="20"/>
                <w:color w:val="auto"/>
              </w:rPr>
            </w:pPr>
            <w:r>
              <w:rPr>
                <w:rFonts w:ascii="Arial" w:cs="Arial" w:eastAsia="Arial" w:hAnsi="Arial"/>
                <w:sz w:val="16"/>
                <w:szCs w:val="16"/>
                <w:color w:val="auto"/>
              </w:rPr>
              <w:t>D. Ralston</w:t>
            </w:r>
          </w:p>
        </w:tc>
        <w:tc>
          <w:tcPr>
            <w:tcW w:w="1820" w:type="dxa"/>
            <w:vAlign w:val="bottom"/>
            <w:tcBorders>
              <w:bottom w:val="single" w:sz="8" w:color="0233A1"/>
            </w:tcBorders>
          </w:tcPr>
          <w:p>
            <w:pPr>
              <w:jc w:val="right"/>
              <w:ind w:right="139"/>
              <w:spacing w:after="0"/>
              <w:rPr>
                <w:sz w:val="20"/>
                <w:szCs w:val="20"/>
                <w:color w:val="auto"/>
              </w:rPr>
            </w:pPr>
            <w:r>
              <w:rPr>
                <w:rFonts w:ascii="Arial" w:cs="Arial" w:eastAsia="Arial" w:hAnsi="Arial"/>
                <w:sz w:val="16"/>
                <w:szCs w:val="16"/>
                <w:color w:val="auto"/>
              </w:rPr>
              <w:t>100%</w:t>
            </w:r>
          </w:p>
        </w:tc>
        <w:tc>
          <w:tcPr>
            <w:tcW w:w="680" w:type="dxa"/>
            <w:vAlign w:val="bottom"/>
            <w:tcBorders>
              <w:bottom w:val="single" w:sz="8" w:color="0233A1"/>
            </w:tcBorders>
          </w:tcPr>
          <w:p>
            <w:pPr>
              <w:jc w:val="right"/>
              <w:ind w:right="59"/>
              <w:spacing w:after="0"/>
              <w:rPr>
                <w:sz w:val="20"/>
                <w:szCs w:val="20"/>
                <w:color w:val="auto"/>
              </w:rPr>
            </w:pPr>
            <w:r>
              <w:rPr>
                <w:rFonts w:ascii="Arial" w:cs="Arial" w:eastAsia="Arial" w:hAnsi="Arial"/>
                <w:sz w:val="16"/>
                <w:szCs w:val="16"/>
                <w:color w:val="auto"/>
              </w:rPr>
              <w:t>35</w:t>
            </w:r>
          </w:p>
        </w:tc>
        <w:tc>
          <w:tcPr>
            <w:tcW w:w="740" w:type="dxa"/>
            <w:vAlign w:val="bottom"/>
            <w:tcBorders>
              <w:bottom w:val="single" w:sz="8" w:color="0233A1"/>
            </w:tcBorders>
          </w:tcPr>
          <w:p>
            <w:pPr>
              <w:jc w:val="right"/>
              <w:spacing w:after="0"/>
              <w:rPr>
                <w:sz w:val="20"/>
                <w:szCs w:val="20"/>
                <w:color w:val="auto"/>
              </w:rPr>
            </w:pPr>
            <w:r>
              <w:rPr>
                <w:rFonts w:ascii="Arial" w:cs="Arial" w:eastAsia="Arial" w:hAnsi="Arial"/>
                <w:sz w:val="16"/>
                <w:szCs w:val="16"/>
                <w:color w:val="auto"/>
              </w:rPr>
              <w:t>119</w:t>
            </w:r>
          </w:p>
        </w:tc>
        <w:tc>
          <w:tcPr>
            <w:tcW w:w="160" w:type="dxa"/>
            <w:vAlign w:val="bottom"/>
            <w:tcBorders>
              <w:bottom w:val="single" w:sz="8" w:color="0233A1"/>
            </w:tcBorders>
          </w:tcPr>
          <w:p>
            <w:pPr>
              <w:spacing w:after="0"/>
              <w:rPr>
                <w:sz w:val="18"/>
                <w:szCs w:val="18"/>
                <w:color w:val="auto"/>
              </w:rPr>
            </w:pPr>
          </w:p>
        </w:tc>
        <w:tc>
          <w:tcPr>
            <w:tcW w:w="660" w:type="dxa"/>
            <w:vAlign w:val="bottom"/>
            <w:tcBorders>
              <w:bottom w:val="single" w:sz="8" w:color="0233A1"/>
            </w:tcBorders>
          </w:tcPr>
          <w:p>
            <w:pPr>
              <w:jc w:val="right"/>
              <w:ind w:right="39"/>
              <w:spacing w:after="0"/>
              <w:rPr>
                <w:sz w:val="20"/>
                <w:szCs w:val="20"/>
                <w:color w:val="auto"/>
              </w:rPr>
            </w:pPr>
            <w:r>
              <w:rPr>
                <w:rFonts w:ascii="Arial" w:cs="Arial" w:eastAsia="Arial" w:hAnsi="Arial"/>
                <w:sz w:val="16"/>
                <w:szCs w:val="16"/>
                <w:color w:val="auto"/>
              </w:rPr>
              <w:t>35</w:t>
            </w:r>
          </w:p>
        </w:tc>
        <w:tc>
          <w:tcPr>
            <w:tcW w:w="720" w:type="dxa"/>
            <w:vAlign w:val="bottom"/>
            <w:tcBorders>
              <w:bottom w:val="single" w:sz="8" w:color="0233A1"/>
            </w:tcBorders>
          </w:tcPr>
          <w:p>
            <w:pPr>
              <w:jc w:val="right"/>
              <w:spacing w:after="0"/>
              <w:rPr>
                <w:sz w:val="20"/>
                <w:szCs w:val="20"/>
                <w:color w:val="auto"/>
              </w:rPr>
            </w:pPr>
            <w:r>
              <w:rPr>
                <w:rFonts w:ascii="Arial" w:cs="Arial" w:eastAsia="Arial" w:hAnsi="Arial"/>
                <w:sz w:val="16"/>
                <w:szCs w:val="16"/>
                <w:color w:val="auto"/>
              </w:rPr>
              <w:t>243</w:t>
            </w:r>
          </w:p>
        </w:tc>
        <w:tc>
          <w:tcPr>
            <w:tcW w:w="880" w:type="dxa"/>
            <w:vAlign w:val="bottom"/>
            <w:tcBorders>
              <w:bottom w:val="single" w:sz="8" w:color="0233A1"/>
            </w:tcBorders>
            <w:gridSpan w:val="2"/>
          </w:tcPr>
          <w:p>
            <w:pPr>
              <w:jc w:val="right"/>
              <w:ind w:right="79"/>
              <w:spacing w:after="0"/>
              <w:rPr>
                <w:sz w:val="20"/>
                <w:szCs w:val="20"/>
                <w:color w:val="auto"/>
              </w:rPr>
            </w:pPr>
            <w:r>
              <w:rPr>
                <w:rFonts w:ascii="Arial" w:cs="Arial" w:eastAsia="Arial" w:hAnsi="Arial"/>
                <w:sz w:val="16"/>
                <w:szCs w:val="16"/>
                <w:color w:val="auto"/>
              </w:rPr>
              <w:t>10</w:t>
            </w:r>
          </w:p>
        </w:tc>
        <w:tc>
          <w:tcPr>
            <w:tcW w:w="760" w:type="dxa"/>
            <w:vAlign w:val="bottom"/>
            <w:tcBorders>
              <w:bottom w:val="single" w:sz="8" w:color="0233A1"/>
            </w:tcBorders>
          </w:tcPr>
          <w:p>
            <w:pPr>
              <w:jc w:val="right"/>
              <w:spacing w:after="0"/>
              <w:rPr>
                <w:sz w:val="20"/>
                <w:szCs w:val="20"/>
                <w:color w:val="auto"/>
              </w:rPr>
            </w:pPr>
            <w:r>
              <w:rPr>
                <w:rFonts w:ascii="Arial" w:cs="Arial" w:eastAsia="Arial" w:hAnsi="Arial"/>
                <w:sz w:val="16"/>
                <w:szCs w:val="16"/>
                <w:color w:val="auto"/>
              </w:rPr>
              <w:t>100</w:t>
            </w:r>
          </w:p>
        </w:tc>
        <w:tc>
          <w:tcPr>
            <w:tcW w:w="160" w:type="dxa"/>
            <w:vAlign w:val="bottom"/>
            <w:tcBorders>
              <w:bottom w:val="single" w:sz="8" w:color="0233A1"/>
            </w:tcBorders>
          </w:tcPr>
          <w:p>
            <w:pPr>
              <w:spacing w:after="0"/>
              <w:rPr>
                <w:sz w:val="18"/>
                <w:szCs w:val="18"/>
                <w:color w:val="auto"/>
              </w:rPr>
            </w:pPr>
          </w:p>
        </w:tc>
        <w:tc>
          <w:tcPr>
            <w:tcW w:w="800" w:type="dxa"/>
            <w:vAlign w:val="bottom"/>
            <w:tcBorders>
              <w:bottom w:val="single" w:sz="8" w:color="0233A1"/>
            </w:tcBorders>
          </w:tcPr>
          <w:p>
            <w:pPr>
              <w:jc w:val="right"/>
              <w:ind w:right="119"/>
              <w:spacing w:after="0"/>
              <w:rPr>
                <w:sz w:val="20"/>
                <w:szCs w:val="20"/>
                <w:color w:val="auto"/>
              </w:rPr>
            </w:pPr>
            <w:r>
              <w:rPr>
                <w:rFonts w:ascii="Arial" w:cs="Arial" w:eastAsia="Arial" w:hAnsi="Arial"/>
                <w:sz w:val="16"/>
                <w:szCs w:val="16"/>
                <w:color w:val="auto"/>
              </w:rPr>
              <w:t>20</w:t>
            </w:r>
          </w:p>
        </w:tc>
        <w:tc>
          <w:tcPr>
            <w:tcW w:w="780" w:type="dxa"/>
            <w:vAlign w:val="bottom"/>
            <w:tcBorders>
              <w:bottom w:val="single" w:sz="8" w:color="0233A1"/>
            </w:tcBorders>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Borders>
              <w:bottom w:val="single" w:sz="8" w:color="0233A1"/>
            </w:tcBorders>
          </w:tcPr>
          <w:p>
            <w:pPr>
              <w:spacing w:after="0"/>
              <w:rPr>
                <w:sz w:val="18"/>
                <w:szCs w:val="18"/>
                <w:color w:val="auto"/>
              </w:rPr>
            </w:pPr>
          </w:p>
        </w:tc>
        <w:tc>
          <w:tcPr>
            <w:tcW w:w="1260" w:type="dxa"/>
            <w:vAlign w:val="bottom"/>
            <w:tcBorders>
              <w:bottom w:val="single" w:sz="8" w:color="0233A1"/>
            </w:tcBorders>
          </w:tcPr>
          <w:p>
            <w:pPr>
              <w:jc w:val="right"/>
              <w:ind w:right="159"/>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-659765</wp:posOffset>
            </wp:positionV>
            <wp:extent cx="7132320" cy="65151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32320" cy="651510"/>
                    </a:xfrm>
                    <a:prstGeom prst="rect">
                      <a:avLst/>
                    </a:prstGeom>
                    <a:noFill/>
                  </pic:spPr>
                </pic:pic>
              </a:graphicData>
            </a:graphic>
          </wp:anchor>
        </w:drawing>
      </w:r>
    </w:p>
    <w:p>
      <w:pPr>
        <w:spacing w:after="0" w:line="38"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Equals the sum of the financial, non-financial, and personal portions of the STI achieved, shown as a percentage of base salary.</w:t>
      </w:r>
    </w:p>
    <w:p>
      <w:pPr>
        <w:spacing w:after="0" w:line="55" w:lineRule="exact"/>
        <w:rPr>
          <w:rFonts w:ascii="Arial" w:cs="Arial" w:eastAsia="Arial" w:hAnsi="Arial"/>
          <w:sz w:val="14"/>
          <w:szCs w:val="14"/>
          <w:color w:val="auto"/>
        </w:rPr>
      </w:pPr>
    </w:p>
    <w:p>
      <w:pPr>
        <w:ind w:left="340" w:right="100" w:hanging="332"/>
        <w:spacing w:after="0" w:line="285"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 January 2024, due to factors not contemplated in the 2023 forecast, our Compensation Committee applied a discretionary downward adjustment to reduce all executive payouts by 5% under our 2023 STI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165735</wp:posOffset>
            </wp:positionV>
            <wp:extent cx="471805" cy="28257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2024 Proxy Statement</w:t>
            </w:r>
          </w:p>
        </w:tc>
        <w:tc>
          <w:tcPr>
            <w:tcW w:w="3600" w:type="dxa"/>
            <w:vAlign w:val="bottom"/>
            <w:tcBorders>
              <w:bottom w:val="single" w:sz="8" w:color="auto"/>
            </w:tcBorders>
          </w:tcPr>
          <w:p>
            <w:pPr>
              <w:spacing w:after="0"/>
              <w:rPr>
                <w:sz w:val="12"/>
                <w:szCs w:val="12"/>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37</w:t>
            </w:r>
          </w:p>
        </w:tc>
        <w:tc>
          <w:tcPr>
            <w:tcW w:w="4480" w:type="dxa"/>
            <w:vAlign w:val="bottom"/>
            <w:tcBorders>
              <w:bottom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36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48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Quantitative Company Financial Objectives</w:t>
      </w:r>
    </w:p>
    <w:p>
      <w:pPr>
        <w:spacing w:after="0" w:line="193" w:lineRule="exact"/>
        <w:rPr>
          <w:sz w:val="20"/>
          <w:szCs w:val="20"/>
          <w:color w:val="auto"/>
        </w:rPr>
      </w:pPr>
    </w:p>
    <w:p>
      <w:pPr>
        <w:jc w:val="both"/>
        <w:ind w:firstLine="180"/>
        <w:spacing w:after="0" w:line="266" w:lineRule="auto"/>
        <w:rPr>
          <w:sz w:val="20"/>
          <w:szCs w:val="20"/>
          <w:color w:val="auto"/>
        </w:rPr>
      </w:pPr>
      <w:r>
        <w:rPr>
          <w:rFonts w:ascii="Arial" w:cs="Arial" w:eastAsia="Arial" w:hAnsi="Arial"/>
          <w:sz w:val="16"/>
          <w:szCs w:val="16"/>
          <w:color w:val="auto"/>
        </w:rPr>
        <w:t>In setting quantitative Company financial targets and performance goals, our Compensation Committee believes it is important to establish criteria that are realistically attainable, yet still challenging in an uncertain global economy. In selecting the financial performance measures and setting targets for our 2023 STI plan, the Committee considered the factors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22288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225" w:lineRule="exact"/>
        <w:rPr>
          <w:sz w:val="20"/>
          <w:szCs w:val="20"/>
          <w:color w:val="auto"/>
        </w:rPr>
      </w:pPr>
    </w:p>
    <w:tbl>
      <w:tblPr>
        <w:tblLayout w:type="fixed"/>
        <w:tblInd w:w="60" w:type="dxa"/>
        <w:tblCellMar>
          <w:top w:w="0" w:type="dxa"/>
          <w:left w:w="0" w:type="dxa"/>
          <w:bottom w:w="0" w:type="dxa"/>
          <w:right w:w="0" w:type="dxa"/>
        </w:tblCellMar>
      </w:tblPr>
      <w:tr>
        <w:trPr>
          <w:trHeight w:val="223"/>
        </w:trPr>
        <w:tc>
          <w:tcPr>
            <w:tcW w:w="2120" w:type="dxa"/>
            <w:vAlign w:val="bottom"/>
          </w:tcPr>
          <w:p>
            <w:pPr>
              <w:spacing w:after="0"/>
              <w:rPr>
                <w:sz w:val="19"/>
                <w:szCs w:val="19"/>
                <w:color w:val="auto"/>
              </w:rPr>
            </w:pPr>
          </w:p>
        </w:tc>
        <w:tc>
          <w:tcPr>
            <w:tcW w:w="4580" w:type="dxa"/>
            <w:vAlign w:val="bottom"/>
          </w:tcPr>
          <w:p>
            <w:pPr>
              <w:jc w:val="center"/>
              <w:ind w:left="239"/>
              <w:spacing w:after="0"/>
              <w:rPr>
                <w:sz w:val="20"/>
                <w:szCs w:val="20"/>
                <w:color w:val="auto"/>
              </w:rPr>
            </w:pPr>
            <w:r>
              <w:rPr>
                <w:rFonts w:ascii="Arial" w:cs="Arial" w:eastAsia="Arial" w:hAnsi="Arial"/>
                <w:sz w:val="16"/>
                <w:szCs w:val="16"/>
                <w:b w:val="1"/>
                <w:bCs w:val="1"/>
                <w:color w:val="FFFFFF"/>
              </w:rPr>
              <w:t>Adjusted EBITDA</w:t>
            </w:r>
          </w:p>
        </w:tc>
      </w:tr>
      <w:tr>
        <w:trPr>
          <w:trHeight w:val="317"/>
        </w:trPr>
        <w:tc>
          <w:tcPr>
            <w:tcW w:w="2120" w:type="dxa"/>
            <w:vAlign w:val="bottom"/>
          </w:tcPr>
          <w:p>
            <w:pPr>
              <w:spacing w:after="0"/>
              <w:rPr>
                <w:sz w:val="20"/>
                <w:szCs w:val="20"/>
                <w:color w:val="auto"/>
              </w:rPr>
            </w:pPr>
            <w:r>
              <w:rPr>
                <w:rFonts w:ascii="Arial" w:cs="Arial" w:eastAsia="Arial" w:hAnsi="Arial"/>
                <w:sz w:val="16"/>
                <w:szCs w:val="16"/>
                <w:b w:val="1"/>
                <w:bCs w:val="1"/>
                <w:color w:val="0233A1"/>
              </w:rPr>
              <w:t>Why did the Committee</w:t>
            </w:r>
          </w:p>
        </w:tc>
        <w:tc>
          <w:tcPr>
            <w:tcW w:w="4580" w:type="dxa"/>
            <w:vAlign w:val="bottom"/>
          </w:tcPr>
          <w:p>
            <w:pPr>
              <w:jc w:val="center"/>
              <w:ind w:left="239"/>
              <w:spacing w:after="0"/>
              <w:rPr>
                <w:sz w:val="20"/>
                <w:szCs w:val="20"/>
                <w:color w:val="auto"/>
              </w:rPr>
            </w:pPr>
            <w:r>
              <w:rPr>
                <w:rFonts w:ascii="Arial" w:cs="Arial" w:eastAsia="Arial" w:hAnsi="Arial"/>
                <w:sz w:val="16"/>
                <w:szCs w:val="16"/>
                <w:color w:val="0233A1"/>
              </w:rPr>
              <w:t xml:space="preserve">• </w:t>
            </w:r>
            <w:r>
              <w:rPr>
                <w:rFonts w:ascii="Arial" w:cs="Arial" w:eastAsia="Arial" w:hAnsi="Arial"/>
                <w:sz w:val="16"/>
                <w:szCs w:val="16"/>
                <w:color w:val="000000"/>
              </w:rPr>
              <w:t>The Committee considers adjusted EBITDA to be a good</w:t>
            </w:r>
          </w:p>
        </w:tc>
      </w:tr>
      <w:tr>
        <w:trPr>
          <w:trHeight w:val="228"/>
        </w:trPr>
        <w:tc>
          <w:tcPr>
            <w:tcW w:w="2120" w:type="dxa"/>
            <w:vAlign w:val="bottom"/>
          </w:tcPr>
          <w:p>
            <w:pPr>
              <w:spacing w:after="0"/>
              <w:rPr>
                <w:sz w:val="20"/>
                <w:szCs w:val="20"/>
                <w:color w:val="auto"/>
              </w:rPr>
            </w:pPr>
            <w:r>
              <w:rPr>
                <w:rFonts w:ascii="Arial" w:cs="Arial" w:eastAsia="Arial" w:hAnsi="Arial"/>
                <w:sz w:val="16"/>
                <w:szCs w:val="16"/>
                <w:b w:val="1"/>
                <w:bCs w:val="1"/>
                <w:color w:val="0233A1"/>
              </w:rPr>
              <w:t>select this metric?</w:t>
            </w:r>
          </w:p>
        </w:tc>
        <w:tc>
          <w:tcPr>
            <w:tcW w:w="4580" w:type="dxa"/>
            <w:vAlign w:val="bottom"/>
          </w:tcPr>
          <w:p>
            <w:pPr>
              <w:ind w:left="400"/>
              <w:spacing w:after="0"/>
              <w:rPr>
                <w:sz w:val="20"/>
                <w:szCs w:val="20"/>
                <w:color w:val="auto"/>
              </w:rPr>
            </w:pPr>
            <w:r>
              <w:rPr>
                <w:rFonts w:ascii="Arial" w:cs="Arial" w:eastAsia="Arial" w:hAnsi="Arial"/>
                <w:sz w:val="16"/>
                <w:szCs w:val="16"/>
                <w:color w:val="auto"/>
              </w:rPr>
              <w:t>indicator of the quality of our earnings.</w:t>
            </w:r>
          </w:p>
        </w:tc>
      </w:tr>
      <w:tr>
        <w:trPr>
          <w:trHeight w:val="258"/>
        </w:trPr>
        <w:tc>
          <w:tcPr>
            <w:tcW w:w="2120" w:type="dxa"/>
            <w:vAlign w:val="bottom"/>
          </w:tcPr>
          <w:p>
            <w:pPr>
              <w:spacing w:after="0"/>
              <w:rPr>
                <w:sz w:val="22"/>
                <w:szCs w:val="22"/>
                <w:color w:val="auto"/>
              </w:rPr>
            </w:pPr>
          </w:p>
        </w:tc>
        <w:tc>
          <w:tcPr>
            <w:tcW w:w="4580" w:type="dxa"/>
            <w:vAlign w:val="bottom"/>
          </w:tcPr>
          <w:p>
            <w:pPr>
              <w:jc w:val="center"/>
              <w:ind w:left="219"/>
              <w:spacing w:after="0"/>
              <w:rPr>
                <w:sz w:val="20"/>
                <w:szCs w:val="20"/>
                <w:color w:val="auto"/>
              </w:rPr>
            </w:pPr>
            <w:r>
              <w:rPr>
                <w:rFonts w:ascii="Arial" w:cs="Arial" w:eastAsia="Arial" w:hAnsi="Arial"/>
                <w:sz w:val="16"/>
                <w:szCs w:val="16"/>
                <w:color w:val="0233A1"/>
              </w:rPr>
              <w:t xml:space="preserve">• </w:t>
            </w:r>
            <w:r>
              <w:rPr>
                <w:rFonts w:ascii="Arial" w:cs="Arial" w:eastAsia="Arial" w:hAnsi="Arial"/>
                <w:sz w:val="16"/>
                <w:szCs w:val="16"/>
                <w:color w:val="000000"/>
              </w:rPr>
              <w:t>Investors  and  market  analysts  often  value  SLB  by</w:t>
            </w:r>
          </w:p>
        </w:tc>
      </w:tr>
      <w:tr>
        <w:trPr>
          <w:trHeight w:val="189"/>
        </w:trPr>
        <w:tc>
          <w:tcPr>
            <w:tcW w:w="2120" w:type="dxa"/>
            <w:vAlign w:val="bottom"/>
          </w:tcPr>
          <w:p>
            <w:pPr>
              <w:spacing w:after="0"/>
              <w:rPr>
                <w:sz w:val="16"/>
                <w:szCs w:val="16"/>
                <w:color w:val="auto"/>
              </w:rPr>
            </w:pPr>
          </w:p>
        </w:tc>
        <w:tc>
          <w:tcPr>
            <w:tcW w:w="4580" w:type="dxa"/>
            <w:vAlign w:val="bottom"/>
          </w:tcPr>
          <w:p>
            <w:pPr>
              <w:ind w:left="400"/>
              <w:spacing w:after="0"/>
              <w:rPr>
                <w:sz w:val="20"/>
                <w:szCs w:val="20"/>
                <w:color w:val="auto"/>
              </w:rPr>
            </w:pPr>
            <w:r>
              <w:rPr>
                <w:rFonts w:ascii="Arial" w:cs="Arial" w:eastAsia="Arial" w:hAnsi="Arial"/>
                <w:sz w:val="16"/>
                <w:szCs w:val="16"/>
                <w:color w:val="auto"/>
              </w:rPr>
              <w:t>reference to an EBITDA multiple, so this metric aligns our</w:t>
            </w:r>
          </w:p>
        </w:tc>
      </w:tr>
      <w:tr>
        <w:trPr>
          <w:trHeight w:val="215"/>
        </w:trPr>
        <w:tc>
          <w:tcPr>
            <w:tcW w:w="2120" w:type="dxa"/>
            <w:vAlign w:val="bottom"/>
          </w:tcPr>
          <w:p>
            <w:pPr>
              <w:spacing w:after="0"/>
              <w:rPr>
                <w:sz w:val="18"/>
                <w:szCs w:val="18"/>
                <w:color w:val="auto"/>
              </w:rPr>
            </w:pPr>
          </w:p>
        </w:tc>
        <w:tc>
          <w:tcPr>
            <w:tcW w:w="4580" w:type="dxa"/>
            <w:vAlign w:val="bottom"/>
          </w:tcPr>
          <w:p>
            <w:pPr>
              <w:ind w:left="400"/>
              <w:spacing w:after="0"/>
              <w:rPr>
                <w:sz w:val="20"/>
                <w:szCs w:val="20"/>
                <w:color w:val="auto"/>
              </w:rPr>
            </w:pPr>
            <w:r>
              <w:rPr>
                <w:rFonts w:ascii="Arial" w:cs="Arial" w:eastAsia="Arial" w:hAnsi="Arial"/>
                <w:sz w:val="16"/>
                <w:szCs w:val="16"/>
                <w:color w:val="auto"/>
              </w:rPr>
              <w:t>NEOs’ compensation to a key market valuation method.</w:t>
            </w:r>
          </w:p>
        </w:tc>
      </w:tr>
      <w:tr>
        <w:trPr>
          <w:trHeight w:val="271"/>
        </w:trPr>
        <w:tc>
          <w:tcPr>
            <w:tcW w:w="2120" w:type="dxa"/>
            <w:vAlign w:val="bottom"/>
          </w:tcPr>
          <w:p>
            <w:pPr>
              <w:spacing w:after="0"/>
              <w:rPr>
                <w:sz w:val="23"/>
                <w:szCs w:val="23"/>
                <w:color w:val="auto"/>
              </w:rPr>
            </w:pPr>
          </w:p>
        </w:tc>
        <w:tc>
          <w:tcPr>
            <w:tcW w:w="4580" w:type="dxa"/>
            <w:vAlign w:val="bottom"/>
          </w:tcPr>
          <w:p>
            <w:pPr>
              <w:jc w:val="center"/>
              <w:ind w:left="239"/>
              <w:spacing w:after="0"/>
              <w:rPr>
                <w:sz w:val="20"/>
                <w:szCs w:val="20"/>
                <w:color w:val="auto"/>
              </w:rPr>
            </w:pPr>
            <w:r>
              <w:rPr>
                <w:rFonts w:ascii="Arial" w:cs="Arial" w:eastAsia="Arial" w:hAnsi="Arial"/>
                <w:sz w:val="16"/>
                <w:szCs w:val="16"/>
                <w:color w:val="0233A1"/>
              </w:rPr>
              <w:t xml:space="preserve">• </w:t>
            </w:r>
            <w:r>
              <w:rPr>
                <w:rFonts w:ascii="Arial" w:cs="Arial" w:eastAsia="Arial" w:hAnsi="Arial"/>
                <w:sz w:val="16"/>
                <w:szCs w:val="16"/>
                <w:color w:val="000000"/>
              </w:rPr>
              <w:t>A portion of our line management’s 2023 cash incentive</w:t>
            </w:r>
          </w:p>
        </w:tc>
      </w:tr>
      <w:tr>
        <w:trPr>
          <w:trHeight w:val="189"/>
        </w:trPr>
        <w:tc>
          <w:tcPr>
            <w:tcW w:w="2120" w:type="dxa"/>
            <w:vAlign w:val="bottom"/>
          </w:tcPr>
          <w:p>
            <w:pPr>
              <w:spacing w:after="0"/>
              <w:rPr>
                <w:sz w:val="16"/>
                <w:szCs w:val="16"/>
                <w:color w:val="auto"/>
              </w:rPr>
            </w:pPr>
          </w:p>
        </w:tc>
        <w:tc>
          <w:tcPr>
            <w:tcW w:w="4580" w:type="dxa"/>
            <w:vAlign w:val="bottom"/>
          </w:tcPr>
          <w:p>
            <w:pPr>
              <w:ind w:left="400"/>
              <w:spacing w:after="0"/>
              <w:rPr>
                <w:sz w:val="20"/>
                <w:szCs w:val="20"/>
                <w:color w:val="auto"/>
              </w:rPr>
            </w:pPr>
            <w:r>
              <w:rPr>
                <w:rFonts w:ascii="Arial" w:cs="Arial" w:eastAsia="Arial" w:hAnsi="Arial"/>
                <w:sz w:val="16"/>
                <w:szCs w:val="16"/>
                <w:color w:val="auto"/>
              </w:rPr>
              <w:t>opportunity was based on EBITDA performance goals, so</w:t>
            </w:r>
          </w:p>
        </w:tc>
      </w:tr>
      <w:tr>
        <w:trPr>
          <w:trHeight w:val="215"/>
        </w:trPr>
        <w:tc>
          <w:tcPr>
            <w:tcW w:w="2120" w:type="dxa"/>
            <w:vAlign w:val="bottom"/>
          </w:tcPr>
          <w:p>
            <w:pPr>
              <w:spacing w:after="0"/>
              <w:rPr>
                <w:sz w:val="18"/>
                <w:szCs w:val="18"/>
                <w:color w:val="auto"/>
              </w:rPr>
            </w:pPr>
          </w:p>
        </w:tc>
        <w:tc>
          <w:tcPr>
            <w:tcW w:w="4580" w:type="dxa"/>
            <w:vAlign w:val="bottom"/>
          </w:tcPr>
          <w:p>
            <w:pPr>
              <w:ind w:left="400"/>
              <w:spacing w:after="0"/>
              <w:rPr>
                <w:sz w:val="20"/>
                <w:szCs w:val="20"/>
                <w:color w:val="auto"/>
              </w:rPr>
            </w:pPr>
            <w:r>
              <w:rPr>
                <w:rFonts w:ascii="Arial" w:cs="Arial" w:eastAsia="Arial" w:hAnsi="Arial"/>
                <w:sz w:val="16"/>
                <w:szCs w:val="16"/>
                <w:color w:val="auto"/>
              </w:rPr>
              <w:t>this metric aligns executive pay with line management’s.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435483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43548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54"/>
        <w:spacing w:after="0"/>
        <w:rPr>
          <w:sz w:val="20"/>
          <w:szCs w:val="20"/>
          <w:color w:val="auto"/>
        </w:rPr>
      </w:pPr>
      <w:r>
        <w:rPr>
          <w:rFonts w:ascii="Arial" w:cs="Arial" w:eastAsia="Arial" w:hAnsi="Arial"/>
          <w:sz w:val="16"/>
          <w:szCs w:val="16"/>
          <w:b w:val="1"/>
          <w:bCs w:val="1"/>
          <w:color w:val="FFFFFF"/>
        </w:rPr>
        <w:t>Free Cash Flow</w:t>
      </w:r>
    </w:p>
    <w:p>
      <w:pPr>
        <w:spacing w:after="0" w:line="181" w:lineRule="exact"/>
        <w:rPr>
          <w:sz w:val="20"/>
          <w:szCs w:val="20"/>
          <w:color w:val="auto"/>
        </w:rPr>
      </w:pPr>
    </w:p>
    <w:p>
      <w:pPr>
        <w:jc w:val="both"/>
        <w:ind w:left="86" w:right="60" w:hanging="86"/>
        <w:spacing w:after="0" w:line="256" w:lineRule="auto"/>
        <w:tabs>
          <w:tab w:leader="none" w:pos="86" w:val="left"/>
        </w:tabs>
        <w:numPr>
          <w:ilvl w:val="0"/>
          <w:numId w:val="33"/>
        </w:numPr>
        <w:rPr>
          <w:rFonts w:ascii="Arial" w:cs="Arial" w:eastAsia="Arial" w:hAnsi="Arial"/>
          <w:sz w:val="16"/>
          <w:szCs w:val="16"/>
          <w:color w:val="0233A1"/>
        </w:rPr>
      </w:pPr>
      <w:r>
        <w:rPr>
          <w:rFonts w:ascii="Arial" w:cs="Arial" w:eastAsia="Arial" w:hAnsi="Arial"/>
          <w:sz w:val="16"/>
          <w:szCs w:val="16"/>
          <w:color w:val="auto"/>
        </w:rPr>
        <w:t>Free cash flow is a critical element of a strong balance sheet, and it allows us to sustainably return value to shareholders through dividends and stock repurchases, while making focused investments in future growth opportunities, such as SLB New Energy and digital.</w:t>
      </w:r>
    </w:p>
    <w:p>
      <w:pPr>
        <w:spacing w:after="0" w:line="58" w:lineRule="exact"/>
        <w:rPr>
          <w:rFonts w:ascii="Arial" w:cs="Arial" w:eastAsia="Arial" w:hAnsi="Arial"/>
          <w:sz w:val="16"/>
          <w:szCs w:val="16"/>
          <w:color w:val="0233A1"/>
        </w:rPr>
      </w:pPr>
    </w:p>
    <w:p>
      <w:pPr>
        <w:ind w:left="86" w:right="60" w:hanging="86"/>
        <w:spacing w:after="0" w:line="286" w:lineRule="auto"/>
        <w:tabs>
          <w:tab w:leader="none" w:pos="86" w:val="left"/>
        </w:tabs>
        <w:numPr>
          <w:ilvl w:val="0"/>
          <w:numId w:val="33"/>
        </w:numPr>
        <w:rPr>
          <w:rFonts w:ascii="Arial" w:cs="Arial" w:eastAsia="Arial" w:hAnsi="Arial"/>
          <w:sz w:val="16"/>
          <w:szCs w:val="16"/>
          <w:color w:val="0233A1"/>
        </w:rPr>
      </w:pPr>
      <w:r>
        <w:rPr>
          <w:rFonts w:ascii="Arial" w:cs="Arial" w:eastAsia="Arial" w:hAnsi="Arial"/>
          <w:sz w:val="16"/>
          <w:szCs w:val="16"/>
          <w:color w:val="auto"/>
        </w:rPr>
        <w:t>Free cash flow has also allowed us to achieve our net debt reduction goals in recent years.</w:t>
      </w:r>
    </w:p>
    <w:p>
      <w:pPr>
        <w:spacing w:after="0" w:line="47" w:lineRule="exact"/>
        <w:rPr>
          <w:rFonts w:ascii="Arial" w:cs="Arial" w:eastAsia="Arial" w:hAnsi="Arial"/>
          <w:sz w:val="16"/>
          <w:szCs w:val="16"/>
          <w:color w:val="0233A1"/>
        </w:rPr>
      </w:pPr>
    </w:p>
    <w:p>
      <w:pPr>
        <w:ind w:left="86" w:right="60" w:hanging="86"/>
        <w:spacing w:after="0" w:line="286" w:lineRule="auto"/>
        <w:tabs>
          <w:tab w:leader="none" w:pos="86" w:val="left"/>
        </w:tabs>
        <w:numPr>
          <w:ilvl w:val="0"/>
          <w:numId w:val="33"/>
        </w:numPr>
        <w:rPr>
          <w:rFonts w:ascii="Arial" w:cs="Arial" w:eastAsia="Arial" w:hAnsi="Arial"/>
          <w:sz w:val="16"/>
          <w:szCs w:val="16"/>
          <w:color w:val="0233A1"/>
        </w:rPr>
      </w:pPr>
      <w:r>
        <w:rPr>
          <w:rFonts w:ascii="Arial" w:cs="Arial" w:eastAsia="Arial" w:hAnsi="Arial"/>
          <w:sz w:val="16"/>
          <w:szCs w:val="16"/>
          <w:color w:val="auto"/>
        </w:rPr>
        <w:t>The Committee also considers free cash flow to be a good indicator of the efficiency of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13335</wp:posOffset>
            </wp:positionV>
            <wp:extent cx="276860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02" w:lineRule="exact"/>
        <w:rPr>
          <w:sz w:val="20"/>
          <w:szCs w:val="20"/>
          <w:color w:val="auto"/>
        </w:rPr>
      </w:pPr>
    </w:p>
    <w:p>
      <w:pPr>
        <w:sectPr>
          <w:pgSz w:w="11900" w:h="16838" w:orient="portrait"/>
          <w:cols w:equalWidth="0" w:num="2">
            <w:col w:w="6760" w:space="214"/>
            <w:col w:w="4266"/>
          </w:cols>
          <w:pgMar w:left="320" w:top="238" w:right="339" w:bottom="1440" w:gutter="0" w:footer="0" w:header="0"/>
          <w:type w:val="continuous"/>
        </w:sectPr>
      </w:pPr>
    </w:p>
    <w:p>
      <w:pPr>
        <w:ind w:left="60"/>
        <w:spacing w:after="0" w:line="271" w:lineRule="auto"/>
        <w:rPr>
          <w:sz w:val="20"/>
          <w:szCs w:val="20"/>
          <w:color w:val="auto"/>
        </w:rPr>
      </w:pPr>
      <w:r>
        <w:rPr>
          <w:rFonts w:ascii="Arial" w:cs="Arial" w:eastAsia="Arial" w:hAnsi="Arial"/>
          <w:sz w:val="16"/>
          <w:szCs w:val="16"/>
          <w:b w:val="1"/>
          <w:bCs w:val="1"/>
          <w:color w:val="0233A1"/>
        </w:rPr>
        <w:t>What is the Committee’s process for setting performance goals?</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6"/>
          <w:szCs w:val="16"/>
          <w:color w:val="auto"/>
        </w:rPr>
        <w:t>The Committee begins with a review of management’s plans and projections following bottom-up planning from the field. Adjusted EBITDA and free cash flow targets may increase or decrease year-on-year, taking into account, among other things, industry cycles, anticipated customer spending, activity growth potential, pricing, the introduction of new technology, strategic M&amp;A activity, and commodity prices.</w:t>
      </w:r>
    </w:p>
    <w:p>
      <w:pPr>
        <w:spacing w:after="0" w:line="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the Compensation Committee has discretion at the completion of the year to make adjustments to payouts based on conditions not anticipated in management’s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-1581785</wp:posOffset>
            </wp:positionH>
            <wp:positionV relativeFrom="paragraph">
              <wp:posOffset>-28575</wp:posOffset>
            </wp:positionV>
            <wp:extent cx="7132320" cy="171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40" w:space="560"/>
            <w:col w:w="8740"/>
          </w:cols>
          <w:pgMar w:left="320" w:top="238" w:right="339" w:bottom="1440" w:gutter="0" w:footer="0" w:header="0"/>
          <w:type w:val="continuous"/>
        </w:sectPr>
      </w:pPr>
    </w:p>
    <w:p>
      <w:pPr>
        <w:spacing w:after="0" w:line="65" w:lineRule="exact"/>
        <w:rPr>
          <w:sz w:val="20"/>
          <w:szCs w:val="20"/>
          <w:color w:val="auto"/>
        </w:rPr>
      </w:pPr>
    </w:p>
    <w:p>
      <w:pPr>
        <w:spacing w:after="0"/>
        <w:rPr>
          <w:sz w:val="20"/>
          <w:szCs w:val="20"/>
          <w:color w:val="auto"/>
        </w:rPr>
      </w:pPr>
      <w:r>
        <w:rPr>
          <w:rFonts w:ascii="Arial" w:cs="Arial" w:eastAsia="Arial" w:hAnsi="Arial"/>
          <w:sz w:val="22"/>
          <w:szCs w:val="22"/>
          <w:color w:val="auto"/>
        </w:rPr>
        <w:t>Adjusted EBITDA Targets and Results</w:t>
      </w:r>
    </w:p>
    <w:p>
      <w:pPr>
        <w:spacing w:after="0" w:line="191" w:lineRule="exact"/>
        <w:rPr>
          <w:sz w:val="20"/>
          <w:szCs w:val="20"/>
          <w:color w:val="auto"/>
        </w:rPr>
      </w:pPr>
    </w:p>
    <w:p>
      <w:pPr>
        <w:jc w:val="both"/>
        <w:ind w:firstLine="180"/>
        <w:spacing w:after="0" w:line="266" w:lineRule="auto"/>
        <w:rPr>
          <w:sz w:val="20"/>
          <w:szCs w:val="20"/>
          <w:color w:val="auto"/>
        </w:rPr>
      </w:pPr>
      <w:r>
        <w:rPr>
          <w:rFonts w:ascii="Arial" w:cs="Arial" w:eastAsia="Arial" w:hAnsi="Arial"/>
          <w:sz w:val="16"/>
          <w:szCs w:val="16"/>
          <w:color w:val="auto"/>
        </w:rPr>
        <w:t xml:space="preserve">In January 2023, our Compensation Committee </w:t>
      </w:r>
      <w:r>
        <w:rPr>
          <w:rFonts w:ascii="Arial" w:cs="Arial" w:eastAsia="Arial" w:hAnsi="Arial"/>
          <w:sz w:val="16"/>
          <w:szCs w:val="16"/>
          <w:b w:val="1"/>
          <w:bCs w:val="1"/>
          <w:color w:val="0233A1"/>
        </w:rPr>
        <w:t>increased the minimum, target and maximum performance goals</w:t>
      </w:r>
      <w:r>
        <w:rPr>
          <w:rFonts w:ascii="Arial" w:cs="Arial" w:eastAsia="Arial" w:hAnsi="Arial"/>
          <w:sz w:val="16"/>
          <w:szCs w:val="16"/>
          <w:color w:val="auto"/>
        </w:rPr>
        <w:t xml:space="preserve"> under the adjusted EBITDA portion of our NEOs’ 2023 STI opportunity, and set target at $8.00 billion based on SLB’s full-year forecast. This target performance goal was 31% higher than our 2022 target and 24% higher than SLB’s actual 2022 adjusted EBITDA.</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reflects our NEOs’ full-year adjusted EBITDA targets and corresponding potential payouts for 2023.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560" w:type="dxa"/>
            <w:vAlign w:val="bottom"/>
            <w:shd w:val="clear" w:color="auto" w:fill="0233A1"/>
          </w:tcPr>
          <w:p>
            <w:pPr>
              <w:spacing w:after="0"/>
              <w:rPr>
                <w:sz w:val="22"/>
                <w:szCs w:val="22"/>
                <w:color w:val="auto"/>
              </w:rPr>
            </w:pPr>
          </w:p>
        </w:tc>
        <w:tc>
          <w:tcPr>
            <w:tcW w:w="2580" w:type="dxa"/>
            <w:vAlign w:val="bottom"/>
            <w:shd w:val="clear" w:color="auto" w:fill="0233A1"/>
          </w:tcPr>
          <w:p>
            <w:pPr>
              <w:spacing w:after="0"/>
              <w:rPr>
                <w:sz w:val="22"/>
                <w:szCs w:val="22"/>
                <w:color w:val="auto"/>
              </w:rPr>
            </w:pPr>
          </w:p>
        </w:tc>
        <w:tc>
          <w:tcPr>
            <w:tcW w:w="6100" w:type="dxa"/>
            <w:vAlign w:val="bottom"/>
            <w:shd w:val="clear" w:color="auto" w:fill="0233A1"/>
          </w:tcPr>
          <w:p>
            <w:pPr>
              <w:ind w:left="1540"/>
              <w:spacing w:after="0"/>
              <w:rPr>
                <w:sz w:val="20"/>
                <w:szCs w:val="20"/>
                <w:color w:val="auto"/>
              </w:rPr>
            </w:pPr>
            <w:r>
              <w:rPr>
                <w:rFonts w:ascii="Arial" w:cs="Arial" w:eastAsia="Arial" w:hAnsi="Arial"/>
                <w:sz w:val="16"/>
                <w:szCs w:val="16"/>
                <w:b w:val="1"/>
                <w:bCs w:val="1"/>
                <w:color w:val="FFFFFF"/>
              </w:rPr>
              <w:t>Potential Payout as a %</w:t>
            </w:r>
          </w:p>
        </w:tc>
      </w:tr>
      <w:tr>
        <w:trPr>
          <w:trHeight w:val="325"/>
        </w:trPr>
        <w:tc>
          <w:tcPr>
            <w:tcW w:w="2560" w:type="dxa"/>
            <w:vAlign w:val="bottom"/>
            <w:shd w:val="clear" w:color="auto" w:fill="0233A1"/>
          </w:tcPr>
          <w:p>
            <w:pPr>
              <w:jc w:val="center"/>
              <w:ind w:left="199"/>
              <w:spacing w:after="0"/>
              <w:rPr>
                <w:sz w:val="20"/>
                <w:szCs w:val="20"/>
                <w:color w:val="auto"/>
              </w:rPr>
            </w:pPr>
            <w:r>
              <w:rPr>
                <w:rFonts w:ascii="Arial" w:cs="Arial" w:eastAsia="Arial" w:hAnsi="Arial"/>
                <w:sz w:val="16"/>
                <w:szCs w:val="16"/>
                <w:b w:val="1"/>
                <w:bCs w:val="1"/>
                <w:color w:val="FFFFFF"/>
                <w:w w:val="97"/>
              </w:rPr>
              <w:t>Performance Targets</w:t>
            </w:r>
            <w:r>
              <w:rPr>
                <w:rFonts w:ascii="Arial" w:cs="Arial" w:eastAsia="Arial" w:hAnsi="Arial"/>
                <w:sz w:val="26"/>
                <w:szCs w:val="26"/>
                <w:b w:val="1"/>
                <w:bCs w:val="1"/>
                <w:color w:val="FFFFFF"/>
                <w:w w:val="97"/>
                <w:vertAlign w:val="superscript"/>
              </w:rPr>
              <w:t>(1)</w:t>
            </w:r>
          </w:p>
        </w:tc>
        <w:tc>
          <w:tcPr>
            <w:tcW w:w="2580" w:type="dxa"/>
            <w:vAlign w:val="bottom"/>
            <w:shd w:val="clear" w:color="auto" w:fill="0233A1"/>
          </w:tcPr>
          <w:p>
            <w:pPr>
              <w:spacing w:after="0"/>
              <w:rPr>
                <w:sz w:val="24"/>
                <w:szCs w:val="24"/>
                <w:color w:val="auto"/>
              </w:rPr>
            </w:pPr>
          </w:p>
        </w:tc>
        <w:tc>
          <w:tcPr>
            <w:tcW w:w="6100" w:type="dxa"/>
            <w:vAlign w:val="bottom"/>
            <w:shd w:val="clear" w:color="auto" w:fill="0233A1"/>
          </w:tcPr>
          <w:p>
            <w:pPr>
              <w:ind w:left="1540"/>
              <w:spacing w:after="0"/>
              <w:rPr>
                <w:sz w:val="20"/>
                <w:szCs w:val="20"/>
                <w:color w:val="auto"/>
              </w:rPr>
            </w:pPr>
            <w:r>
              <w:rPr>
                <w:rFonts w:ascii="Arial" w:cs="Arial" w:eastAsia="Arial" w:hAnsi="Arial"/>
                <w:sz w:val="16"/>
                <w:szCs w:val="16"/>
                <w:b w:val="1"/>
                <w:bCs w:val="1"/>
                <w:color w:val="FFFFFF"/>
              </w:rPr>
              <w:t>of Target Opportunity</w:t>
            </w:r>
            <w:r>
              <w:rPr>
                <w:rFonts w:ascii="Arial" w:cs="Arial" w:eastAsia="Arial" w:hAnsi="Arial"/>
                <w:sz w:val="26"/>
                <w:szCs w:val="26"/>
                <w:b w:val="1"/>
                <w:bCs w:val="1"/>
                <w:color w:val="FFFFFF"/>
                <w:vertAlign w:val="superscript"/>
              </w:rPr>
              <w:t>(1)</w:t>
            </w:r>
          </w:p>
        </w:tc>
      </w:tr>
      <w:tr>
        <w:trPr>
          <w:trHeight w:val="235"/>
        </w:trPr>
        <w:tc>
          <w:tcPr>
            <w:tcW w:w="2560" w:type="dxa"/>
            <w:vAlign w:val="bottom"/>
          </w:tcPr>
          <w:p>
            <w:pPr>
              <w:jc w:val="center"/>
              <w:ind w:left="199"/>
              <w:spacing w:after="0"/>
              <w:rPr>
                <w:sz w:val="20"/>
                <w:szCs w:val="20"/>
                <w:color w:val="auto"/>
              </w:rPr>
            </w:pPr>
            <w:r>
              <w:rPr>
                <w:rFonts w:ascii="Arial" w:cs="Arial" w:eastAsia="Arial" w:hAnsi="Arial"/>
                <w:sz w:val="16"/>
                <w:szCs w:val="16"/>
                <w:color w:val="auto"/>
              </w:rPr>
              <w:t>&lt; $7.40 billion</w:t>
            </w:r>
          </w:p>
        </w:tc>
        <w:tc>
          <w:tcPr>
            <w:tcW w:w="2580" w:type="dxa"/>
            <w:vAlign w:val="bottom"/>
          </w:tcPr>
          <w:p>
            <w:pPr>
              <w:spacing w:after="0"/>
              <w:rPr>
                <w:sz w:val="20"/>
                <w:szCs w:val="20"/>
                <w:color w:val="auto"/>
              </w:rPr>
            </w:pPr>
          </w:p>
        </w:tc>
        <w:tc>
          <w:tcPr>
            <w:tcW w:w="6100" w:type="dxa"/>
            <w:vAlign w:val="bottom"/>
          </w:tcPr>
          <w:p>
            <w:pPr>
              <w:jc w:val="center"/>
              <w:ind w:right="1099"/>
              <w:spacing w:after="0"/>
              <w:rPr>
                <w:sz w:val="20"/>
                <w:szCs w:val="20"/>
                <w:color w:val="auto"/>
              </w:rPr>
            </w:pPr>
            <w:r>
              <w:rPr>
                <w:rFonts w:ascii="Arial" w:cs="Arial" w:eastAsia="Arial" w:hAnsi="Arial"/>
                <w:sz w:val="16"/>
                <w:szCs w:val="16"/>
                <w:b w:val="1"/>
                <w:bCs w:val="1"/>
                <w:color w:val="auto"/>
              </w:rPr>
              <w:t>0%</w:t>
            </w:r>
          </w:p>
        </w:tc>
      </w:tr>
      <w:tr>
        <w:trPr>
          <w:trHeight w:val="257"/>
        </w:trPr>
        <w:tc>
          <w:tcPr>
            <w:tcW w:w="2560" w:type="dxa"/>
            <w:vAlign w:val="bottom"/>
          </w:tcPr>
          <w:p>
            <w:pPr>
              <w:jc w:val="center"/>
              <w:ind w:left="199"/>
              <w:spacing w:after="0"/>
              <w:rPr>
                <w:sz w:val="20"/>
                <w:szCs w:val="20"/>
                <w:color w:val="auto"/>
              </w:rPr>
            </w:pPr>
            <w:r>
              <w:rPr>
                <w:rFonts w:ascii="Arial" w:cs="Arial" w:eastAsia="Arial" w:hAnsi="Arial"/>
                <w:sz w:val="16"/>
                <w:szCs w:val="16"/>
                <w:color w:val="auto"/>
              </w:rPr>
              <w:t>$7.40 billion</w:t>
            </w:r>
          </w:p>
        </w:tc>
        <w:tc>
          <w:tcPr>
            <w:tcW w:w="2580" w:type="dxa"/>
            <w:vAlign w:val="bottom"/>
          </w:tcPr>
          <w:p>
            <w:pPr>
              <w:ind w:left="260"/>
              <w:spacing w:after="0"/>
              <w:rPr>
                <w:sz w:val="20"/>
                <w:szCs w:val="20"/>
                <w:color w:val="auto"/>
              </w:rPr>
            </w:pPr>
            <w:r>
              <w:rPr>
                <w:rFonts w:ascii="Arial" w:cs="Arial" w:eastAsia="Arial" w:hAnsi="Arial"/>
                <w:sz w:val="16"/>
                <w:szCs w:val="16"/>
                <w:b w:val="1"/>
                <w:bCs w:val="1"/>
                <w:color w:val="auto"/>
              </w:rPr>
              <w:t>Minimum</w:t>
            </w:r>
          </w:p>
        </w:tc>
        <w:tc>
          <w:tcPr>
            <w:tcW w:w="6100" w:type="dxa"/>
            <w:vAlign w:val="bottom"/>
          </w:tcPr>
          <w:p>
            <w:pPr>
              <w:jc w:val="center"/>
              <w:ind w:right="1099"/>
              <w:spacing w:after="0"/>
              <w:rPr>
                <w:sz w:val="20"/>
                <w:szCs w:val="20"/>
                <w:color w:val="auto"/>
              </w:rPr>
            </w:pPr>
            <w:r>
              <w:rPr>
                <w:rFonts w:ascii="Arial" w:cs="Arial" w:eastAsia="Arial" w:hAnsi="Arial"/>
                <w:sz w:val="16"/>
                <w:szCs w:val="16"/>
                <w:b w:val="1"/>
                <w:bCs w:val="1"/>
                <w:color w:val="auto"/>
                <w:w w:val="99"/>
              </w:rPr>
              <w:t>50%</w:t>
            </w:r>
          </w:p>
        </w:tc>
      </w:tr>
      <w:tr>
        <w:trPr>
          <w:trHeight w:val="256"/>
        </w:trPr>
        <w:tc>
          <w:tcPr>
            <w:tcW w:w="2560" w:type="dxa"/>
            <w:vAlign w:val="bottom"/>
          </w:tcPr>
          <w:p>
            <w:pPr>
              <w:jc w:val="center"/>
              <w:ind w:left="199"/>
              <w:spacing w:after="0"/>
              <w:rPr>
                <w:sz w:val="20"/>
                <w:szCs w:val="20"/>
                <w:color w:val="auto"/>
              </w:rPr>
            </w:pPr>
            <w:r>
              <w:rPr>
                <w:rFonts w:ascii="Arial" w:cs="Arial" w:eastAsia="Arial" w:hAnsi="Arial"/>
                <w:sz w:val="16"/>
                <w:szCs w:val="16"/>
                <w:color w:val="auto"/>
              </w:rPr>
              <w:t>$8.00 billion</w:t>
            </w:r>
          </w:p>
        </w:tc>
        <w:tc>
          <w:tcPr>
            <w:tcW w:w="2580" w:type="dxa"/>
            <w:vAlign w:val="bottom"/>
          </w:tcPr>
          <w:p>
            <w:pPr>
              <w:ind w:left="260"/>
              <w:spacing w:after="0"/>
              <w:rPr>
                <w:sz w:val="20"/>
                <w:szCs w:val="20"/>
                <w:color w:val="auto"/>
              </w:rPr>
            </w:pPr>
            <w:r>
              <w:rPr>
                <w:rFonts w:ascii="Arial" w:cs="Arial" w:eastAsia="Arial" w:hAnsi="Arial"/>
                <w:sz w:val="16"/>
                <w:szCs w:val="16"/>
                <w:b w:val="1"/>
                <w:bCs w:val="1"/>
                <w:color w:val="auto"/>
              </w:rPr>
              <w:t>Target</w:t>
            </w:r>
          </w:p>
        </w:tc>
        <w:tc>
          <w:tcPr>
            <w:tcW w:w="6100" w:type="dxa"/>
            <w:vAlign w:val="bottom"/>
          </w:tcPr>
          <w:p>
            <w:pPr>
              <w:jc w:val="center"/>
              <w:ind w:right="1119"/>
              <w:spacing w:after="0"/>
              <w:rPr>
                <w:sz w:val="20"/>
                <w:szCs w:val="20"/>
                <w:color w:val="auto"/>
              </w:rPr>
            </w:pPr>
            <w:r>
              <w:rPr>
                <w:rFonts w:ascii="Arial" w:cs="Arial" w:eastAsia="Arial" w:hAnsi="Arial"/>
                <w:sz w:val="16"/>
                <w:szCs w:val="16"/>
                <w:b w:val="1"/>
                <w:bCs w:val="1"/>
                <w:color w:val="auto"/>
              </w:rPr>
              <w:t>100%</w:t>
            </w:r>
          </w:p>
        </w:tc>
      </w:tr>
      <w:tr>
        <w:trPr>
          <w:trHeight w:val="271"/>
        </w:trPr>
        <w:tc>
          <w:tcPr>
            <w:tcW w:w="2560" w:type="dxa"/>
            <w:vAlign w:val="bottom"/>
            <w:tcBorders>
              <w:bottom w:val="single" w:sz="8" w:color="0233A1"/>
            </w:tcBorders>
          </w:tcPr>
          <w:p>
            <w:pPr>
              <w:jc w:val="center"/>
              <w:ind w:left="199"/>
              <w:spacing w:after="0"/>
              <w:rPr>
                <w:sz w:val="20"/>
                <w:szCs w:val="20"/>
                <w:color w:val="auto"/>
              </w:rPr>
            </w:pPr>
            <w:r>
              <w:rPr>
                <w:rFonts w:ascii="Arial" w:cs="Arial" w:eastAsia="Arial" w:hAnsi="Arial"/>
                <w:sz w:val="16"/>
                <w:szCs w:val="16"/>
                <w:color w:val="auto"/>
              </w:rPr>
              <w:t>$8.80 billion</w:t>
            </w:r>
          </w:p>
        </w:tc>
        <w:tc>
          <w:tcPr>
            <w:tcW w:w="2580" w:type="dxa"/>
            <w:vAlign w:val="bottom"/>
            <w:tcBorders>
              <w:bottom w:val="single" w:sz="8" w:color="0233A1"/>
            </w:tcBorders>
          </w:tcPr>
          <w:p>
            <w:pPr>
              <w:ind w:left="260"/>
              <w:spacing w:after="0"/>
              <w:rPr>
                <w:sz w:val="20"/>
                <w:szCs w:val="20"/>
                <w:color w:val="auto"/>
              </w:rPr>
            </w:pPr>
            <w:r>
              <w:rPr>
                <w:rFonts w:ascii="Arial" w:cs="Arial" w:eastAsia="Arial" w:hAnsi="Arial"/>
                <w:sz w:val="16"/>
                <w:szCs w:val="16"/>
                <w:b w:val="1"/>
                <w:bCs w:val="1"/>
                <w:color w:val="auto"/>
              </w:rPr>
              <w:t>Maximum</w:t>
            </w:r>
          </w:p>
        </w:tc>
        <w:tc>
          <w:tcPr>
            <w:tcW w:w="6100" w:type="dxa"/>
            <w:vAlign w:val="bottom"/>
            <w:tcBorders>
              <w:bottom w:val="single" w:sz="8" w:color="0233A1"/>
            </w:tcBorders>
          </w:tcPr>
          <w:p>
            <w:pPr>
              <w:jc w:val="center"/>
              <w:ind w:right="1119"/>
              <w:spacing w:after="0"/>
              <w:rPr>
                <w:sz w:val="20"/>
                <w:szCs w:val="20"/>
                <w:color w:val="auto"/>
              </w:rPr>
            </w:pPr>
            <w:r>
              <w:rPr>
                <w:rFonts w:ascii="Arial" w:cs="Arial" w:eastAsia="Arial" w:hAnsi="Arial"/>
                <w:sz w:val="16"/>
                <w:szCs w:val="16"/>
                <w:b w:val="1"/>
                <w:bCs w:val="1"/>
                <w:color w:val="auto"/>
              </w:rPr>
              <w:t>243%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-505460</wp:posOffset>
            </wp:positionV>
            <wp:extent cx="889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-505460</wp:posOffset>
            </wp:positionV>
            <wp:extent cx="889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-505460</wp:posOffset>
            </wp:positionV>
            <wp:extent cx="825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-505460</wp:posOffset>
            </wp:positionV>
            <wp:extent cx="825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-505460</wp:posOffset>
            </wp:positionV>
            <wp:extent cx="889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-505460</wp:posOffset>
            </wp:positionV>
            <wp:extent cx="825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-505460</wp:posOffset>
            </wp:positionV>
            <wp:extent cx="825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-505460</wp:posOffset>
            </wp:positionV>
            <wp:extent cx="825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-505460</wp:posOffset>
            </wp:positionV>
            <wp:extent cx="825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-505460</wp:posOffset>
            </wp:positionV>
            <wp:extent cx="889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-505460</wp:posOffset>
            </wp:positionV>
            <wp:extent cx="825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-505460</wp:posOffset>
            </wp:positionV>
            <wp:extent cx="825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-505460</wp:posOffset>
            </wp:positionV>
            <wp:extent cx="825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-505460</wp:posOffset>
            </wp:positionV>
            <wp:extent cx="825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-505460</wp:posOffset>
            </wp:positionV>
            <wp:extent cx="825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-505460</wp:posOffset>
            </wp:positionV>
            <wp:extent cx="825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-505460</wp:posOffset>
            </wp:positionV>
            <wp:extent cx="825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-505460</wp:posOffset>
            </wp:positionV>
            <wp:extent cx="825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-505460</wp:posOffset>
            </wp:positionV>
            <wp:extent cx="825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-505460</wp:posOffset>
            </wp:positionV>
            <wp:extent cx="889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-505460</wp:posOffset>
            </wp:positionV>
            <wp:extent cx="825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-505460</wp:posOffset>
            </wp:positionV>
            <wp:extent cx="825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-505460</wp:posOffset>
            </wp:positionV>
            <wp:extent cx="889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-505460</wp:posOffset>
            </wp:positionV>
            <wp:extent cx="825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-505460</wp:posOffset>
            </wp:positionV>
            <wp:extent cx="825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-505460</wp:posOffset>
            </wp:positionV>
            <wp:extent cx="825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-505460</wp:posOffset>
            </wp:positionV>
            <wp:extent cx="825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-505460</wp:posOffset>
            </wp:positionV>
            <wp:extent cx="825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-505460</wp:posOffset>
            </wp:positionV>
            <wp:extent cx="825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-505460</wp:posOffset>
            </wp:positionV>
            <wp:extent cx="825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-505460</wp:posOffset>
            </wp:positionV>
            <wp:extent cx="825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-505460</wp:posOffset>
            </wp:positionV>
            <wp:extent cx="889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-505460</wp:posOffset>
            </wp:positionV>
            <wp:extent cx="889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-505460</wp:posOffset>
            </wp:positionV>
            <wp:extent cx="825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-505460</wp:posOffset>
            </wp:positionV>
            <wp:extent cx="825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-505460</wp:posOffset>
            </wp:positionV>
            <wp:extent cx="889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-505460</wp:posOffset>
            </wp:positionV>
            <wp:extent cx="889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-505460</wp:posOffset>
            </wp:positionV>
            <wp:extent cx="825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-505460</wp:posOffset>
            </wp:positionV>
            <wp:extent cx="825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-505460</wp:posOffset>
            </wp:positionV>
            <wp:extent cx="889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-505460</wp:posOffset>
            </wp:positionV>
            <wp:extent cx="889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-505460</wp:posOffset>
            </wp:positionV>
            <wp:extent cx="889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-505460</wp:posOffset>
            </wp:positionV>
            <wp:extent cx="889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-505460</wp:posOffset>
            </wp:positionV>
            <wp:extent cx="825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-505460</wp:posOffset>
            </wp:positionV>
            <wp:extent cx="825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-505460</wp:posOffset>
            </wp:positionV>
            <wp:extent cx="889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-505460</wp:posOffset>
            </wp:positionV>
            <wp:extent cx="889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-505460</wp:posOffset>
            </wp:positionV>
            <wp:extent cx="889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-505460</wp:posOffset>
            </wp:positionV>
            <wp:extent cx="825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-505460</wp:posOffset>
            </wp:positionV>
            <wp:extent cx="825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-505460</wp:posOffset>
            </wp:positionV>
            <wp:extent cx="889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-505460</wp:posOffset>
            </wp:positionV>
            <wp:extent cx="889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-505460</wp:posOffset>
            </wp:positionV>
            <wp:extent cx="889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-505460</wp:posOffset>
            </wp:positionV>
            <wp:extent cx="889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-505460</wp:posOffset>
            </wp:positionV>
            <wp:extent cx="825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-505460</wp:posOffset>
            </wp:positionV>
            <wp:extent cx="825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-505460</wp:posOffset>
            </wp:positionV>
            <wp:extent cx="889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-505460</wp:posOffset>
            </wp:positionV>
            <wp:extent cx="889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-505460</wp:posOffset>
            </wp:positionV>
            <wp:extent cx="889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-505460</wp:posOffset>
            </wp:positionV>
            <wp:extent cx="825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-505460</wp:posOffset>
            </wp:positionV>
            <wp:extent cx="889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-505460</wp:posOffset>
            </wp:positionV>
            <wp:extent cx="825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-505460</wp:posOffset>
            </wp:positionV>
            <wp:extent cx="825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-505460</wp:posOffset>
            </wp:positionV>
            <wp:extent cx="889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-505460</wp:posOffset>
            </wp:positionV>
            <wp:extent cx="825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-505460</wp:posOffset>
            </wp:positionV>
            <wp:extent cx="889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-505460</wp:posOffset>
            </wp:positionV>
            <wp:extent cx="889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-505460</wp:posOffset>
            </wp:positionV>
            <wp:extent cx="889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-505460</wp:posOffset>
            </wp:positionV>
            <wp:extent cx="825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-505460</wp:posOffset>
            </wp:positionV>
            <wp:extent cx="825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-505460</wp:posOffset>
            </wp:positionV>
            <wp:extent cx="825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-505460</wp:posOffset>
            </wp:positionV>
            <wp:extent cx="889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-505460</wp:posOffset>
            </wp:positionV>
            <wp:extent cx="889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-505460</wp:posOffset>
            </wp:positionV>
            <wp:extent cx="889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-505460</wp:posOffset>
            </wp:positionV>
            <wp:extent cx="825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-505460</wp:posOffset>
            </wp:positionV>
            <wp:extent cx="825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-505460</wp:posOffset>
            </wp:positionV>
            <wp:extent cx="889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-505460</wp:posOffset>
            </wp:positionV>
            <wp:extent cx="889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-505460</wp:posOffset>
            </wp:positionV>
            <wp:extent cx="889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-505460</wp:posOffset>
            </wp:positionV>
            <wp:extent cx="825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-505460</wp:posOffset>
            </wp:positionV>
            <wp:extent cx="889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-505460</wp:posOffset>
            </wp:positionV>
            <wp:extent cx="889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-505460</wp:posOffset>
            </wp:positionV>
            <wp:extent cx="825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-505460</wp:posOffset>
            </wp:positionV>
            <wp:extent cx="889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-505460</wp:posOffset>
            </wp:positionV>
            <wp:extent cx="889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-505460</wp:posOffset>
            </wp:positionV>
            <wp:extent cx="825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-505460</wp:posOffset>
            </wp:positionV>
            <wp:extent cx="889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-505460</wp:posOffset>
            </wp:positionV>
            <wp:extent cx="889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-505460</wp:posOffset>
            </wp:positionV>
            <wp:extent cx="889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-505460</wp:posOffset>
            </wp:positionV>
            <wp:extent cx="889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-505460</wp:posOffset>
            </wp:positionV>
            <wp:extent cx="8255"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-505460</wp:posOffset>
            </wp:positionV>
            <wp:extent cx="889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-505460</wp:posOffset>
            </wp:positionV>
            <wp:extent cx="889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-505460</wp:posOffset>
            </wp:positionV>
            <wp:extent cx="889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-505460</wp:posOffset>
            </wp:positionV>
            <wp:extent cx="889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-505460</wp:posOffset>
            </wp:positionV>
            <wp:extent cx="889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-505460</wp:posOffset>
            </wp:positionV>
            <wp:extent cx="889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-505460</wp:posOffset>
            </wp:positionV>
            <wp:extent cx="825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-505460</wp:posOffset>
            </wp:positionV>
            <wp:extent cx="889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-505460</wp:posOffset>
            </wp:positionV>
            <wp:extent cx="889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-505460</wp:posOffset>
            </wp:positionV>
            <wp:extent cx="889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-505460</wp:posOffset>
            </wp:positionV>
            <wp:extent cx="889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-505460</wp:posOffset>
            </wp:positionV>
            <wp:extent cx="825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-505460</wp:posOffset>
            </wp:positionV>
            <wp:extent cx="889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-505460</wp:posOffset>
            </wp:positionV>
            <wp:extent cx="889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1813560</wp:posOffset>
            </wp:positionH>
            <wp:positionV relativeFrom="paragraph">
              <wp:posOffset>-505460</wp:posOffset>
            </wp:positionV>
            <wp:extent cx="889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-505460</wp:posOffset>
            </wp:positionV>
            <wp:extent cx="8255"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-505460</wp:posOffset>
            </wp:positionV>
            <wp:extent cx="889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1864995</wp:posOffset>
            </wp:positionH>
            <wp:positionV relativeFrom="paragraph">
              <wp:posOffset>-505460</wp:posOffset>
            </wp:positionV>
            <wp:extent cx="889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-505460</wp:posOffset>
            </wp:positionV>
            <wp:extent cx="889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-505460</wp:posOffset>
            </wp:positionV>
            <wp:extent cx="889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1916430</wp:posOffset>
            </wp:positionH>
            <wp:positionV relativeFrom="paragraph">
              <wp:posOffset>-505460</wp:posOffset>
            </wp:positionV>
            <wp:extent cx="825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-505460</wp:posOffset>
            </wp:positionV>
            <wp:extent cx="889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1950720</wp:posOffset>
            </wp:positionH>
            <wp:positionV relativeFrom="paragraph">
              <wp:posOffset>-505460</wp:posOffset>
            </wp:positionV>
            <wp:extent cx="889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-505460</wp:posOffset>
            </wp:positionV>
            <wp:extent cx="889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1985010</wp:posOffset>
            </wp:positionH>
            <wp:positionV relativeFrom="paragraph">
              <wp:posOffset>-505460</wp:posOffset>
            </wp:positionV>
            <wp:extent cx="889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-505460</wp:posOffset>
            </wp:positionV>
            <wp:extent cx="8255"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2019300</wp:posOffset>
            </wp:positionH>
            <wp:positionV relativeFrom="paragraph">
              <wp:posOffset>-505460</wp:posOffset>
            </wp:positionV>
            <wp:extent cx="889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2036445</wp:posOffset>
            </wp:positionH>
            <wp:positionV relativeFrom="paragraph">
              <wp:posOffset>-505460</wp:posOffset>
            </wp:positionV>
            <wp:extent cx="889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-505460</wp:posOffset>
            </wp:positionV>
            <wp:extent cx="889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-505460</wp:posOffset>
            </wp:positionV>
            <wp:extent cx="889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-505460</wp:posOffset>
            </wp:positionV>
            <wp:extent cx="889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-505460</wp:posOffset>
            </wp:positionV>
            <wp:extent cx="889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-505460</wp:posOffset>
            </wp:positionV>
            <wp:extent cx="825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-505460</wp:posOffset>
            </wp:positionV>
            <wp:extent cx="889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-505460</wp:posOffset>
            </wp:positionV>
            <wp:extent cx="889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2173605</wp:posOffset>
            </wp:positionH>
            <wp:positionV relativeFrom="paragraph">
              <wp:posOffset>-505460</wp:posOffset>
            </wp:positionV>
            <wp:extent cx="889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-505460</wp:posOffset>
            </wp:positionV>
            <wp:extent cx="889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-505460</wp:posOffset>
            </wp:positionV>
            <wp:extent cx="825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-505460</wp:posOffset>
            </wp:positionV>
            <wp:extent cx="889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-505460</wp:posOffset>
            </wp:positionV>
            <wp:extent cx="889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-505460</wp:posOffset>
            </wp:positionV>
            <wp:extent cx="889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-505460</wp:posOffset>
            </wp:positionV>
            <wp:extent cx="889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2293620</wp:posOffset>
            </wp:positionH>
            <wp:positionV relativeFrom="paragraph">
              <wp:posOffset>-505460</wp:posOffset>
            </wp:positionV>
            <wp:extent cx="8255"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-505460</wp:posOffset>
            </wp:positionV>
            <wp:extent cx="889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-505460</wp:posOffset>
            </wp:positionV>
            <wp:extent cx="889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-505460</wp:posOffset>
            </wp:positionV>
            <wp:extent cx="889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-505460</wp:posOffset>
            </wp:positionV>
            <wp:extent cx="889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-505460</wp:posOffset>
            </wp:positionV>
            <wp:extent cx="8255"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-505460</wp:posOffset>
            </wp:positionV>
            <wp:extent cx="889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-505460</wp:posOffset>
            </wp:positionV>
            <wp:extent cx="889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-505460</wp:posOffset>
            </wp:positionV>
            <wp:extent cx="889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-505460</wp:posOffset>
            </wp:positionV>
            <wp:extent cx="889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-505460</wp:posOffset>
            </wp:positionV>
            <wp:extent cx="889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-505460</wp:posOffset>
            </wp:positionV>
            <wp:extent cx="889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-505460</wp:posOffset>
            </wp:positionV>
            <wp:extent cx="462915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889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-342265</wp:posOffset>
            </wp:positionV>
            <wp:extent cx="889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-342265</wp:posOffset>
            </wp:positionV>
            <wp:extent cx="8255"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-342265</wp:posOffset>
            </wp:positionV>
            <wp:extent cx="8255"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-342265</wp:posOffset>
            </wp:positionV>
            <wp:extent cx="889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-342265</wp:posOffset>
            </wp:positionV>
            <wp:extent cx="8255"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-342265</wp:posOffset>
            </wp:positionV>
            <wp:extent cx="8255"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-342265</wp:posOffset>
            </wp:positionV>
            <wp:extent cx="8255"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-342265</wp:posOffset>
            </wp:positionV>
            <wp:extent cx="8255"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-342265</wp:posOffset>
            </wp:positionV>
            <wp:extent cx="889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-342265</wp:posOffset>
            </wp:positionV>
            <wp:extent cx="8255"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-342265</wp:posOffset>
            </wp:positionV>
            <wp:extent cx="8255"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-342265</wp:posOffset>
            </wp:positionV>
            <wp:extent cx="8255"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-342265</wp:posOffset>
            </wp:positionV>
            <wp:extent cx="8255"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-342265</wp:posOffset>
            </wp:positionV>
            <wp:extent cx="8255"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-342265</wp:posOffset>
            </wp:positionV>
            <wp:extent cx="8255"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-342265</wp:posOffset>
            </wp:positionV>
            <wp:extent cx="8255"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-342265</wp:posOffset>
            </wp:positionV>
            <wp:extent cx="8255"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-342265</wp:posOffset>
            </wp:positionV>
            <wp:extent cx="8255"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-342265</wp:posOffset>
            </wp:positionV>
            <wp:extent cx="889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-342265</wp:posOffset>
            </wp:positionV>
            <wp:extent cx="8255"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-342265</wp:posOffset>
            </wp:positionV>
            <wp:extent cx="8255"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-342265</wp:posOffset>
            </wp:positionV>
            <wp:extent cx="889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-342265</wp:posOffset>
            </wp:positionV>
            <wp:extent cx="8255"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-342265</wp:posOffset>
            </wp:positionV>
            <wp:extent cx="8255"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-342265</wp:posOffset>
            </wp:positionV>
            <wp:extent cx="8255"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-342265</wp:posOffset>
            </wp:positionV>
            <wp:extent cx="8255"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-342265</wp:posOffset>
            </wp:positionV>
            <wp:extent cx="8255"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-342265</wp:posOffset>
            </wp:positionV>
            <wp:extent cx="8255"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-342265</wp:posOffset>
            </wp:positionV>
            <wp:extent cx="8255"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-342265</wp:posOffset>
            </wp:positionV>
            <wp:extent cx="8255"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-342265</wp:posOffset>
            </wp:positionV>
            <wp:extent cx="889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-342265</wp:posOffset>
            </wp:positionV>
            <wp:extent cx="8890"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-342265</wp:posOffset>
            </wp:positionV>
            <wp:extent cx="8255"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-342265</wp:posOffset>
            </wp:positionV>
            <wp:extent cx="8255"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-342265</wp:posOffset>
            </wp:positionV>
            <wp:extent cx="889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-342265</wp:posOffset>
            </wp:positionV>
            <wp:extent cx="889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-342265</wp:posOffset>
            </wp:positionV>
            <wp:extent cx="8255"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-342265</wp:posOffset>
            </wp:positionV>
            <wp:extent cx="8255"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-342265</wp:posOffset>
            </wp:positionV>
            <wp:extent cx="889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-342265</wp:posOffset>
            </wp:positionV>
            <wp:extent cx="889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-342265</wp:posOffset>
            </wp:positionV>
            <wp:extent cx="889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-342265</wp:posOffset>
            </wp:positionV>
            <wp:extent cx="8890"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-342265</wp:posOffset>
            </wp:positionV>
            <wp:extent cx="8255"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-342265</wp:posOffset>
            </wp:positionV>
            <wp:extent cx="8255"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-342265</wp:posOffset>
            </wp:positionV>
            <wp:extent cx="889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-342265</wp:posOffset>
            </wp:positionV>
            <wp:extent cx="8890"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-342265</wp:posOffset>
            </wp:positionV>
            <wp:extent cx="8890"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-342265</wp:posOffset>
            </wp:positionV>
            <wp:extent cx="8255"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-342265</wp:posOffset>
            </wp:positionV>
            <wp:extent cx="8255"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-342265</wp:posOffset>
            </wp:positionV>
            <wp:extent cx="8890"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-342265</wp:posOffset>
            </wp:positionV>
            <wp:extent cx="889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-342265</wp:posOffset>
            </wp:positionV>
            <wp:extent cx="8890"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-342265</wp:posOffset>
            </wp:positionV>
            <wp:extent cx="8890"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-342265</wp:posOffset>
            </wp:positionV>
            <wp:extent cx="8255"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-342265</wp:posOffset>
            </wp:positionV>
            <wp:extent cx="8255"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-342265</wp:posOffset>
            </wp:positionV>
            <wp:extent cx="8890"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-342265</wp:posOffset>
            </wp:positionV>
            <wp:extent cx="889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-342265</wp:posOffset>
            </wp:positionV>
            <wp:extent cx="889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-342265</wp:posOffset>
            </wp:positionV>
            <wp:extent cx="8255"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-342265</wp:posOffset>
            </wp:positionV>
            <wp:extent cx="889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-342265</wp:posOffset>
            </wp:positionV>
            <wp:extent cx="8255"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-342265</wp:posOffset>
            </wp:positionV>
            <wp:extent cx="8255"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-342265</wp:posOffset>
            </wp:positionV>
            <wp:extent cx="889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-342265</wp:posOffset>
            </wp:positionV>
            <wp:extent cx="8255"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-342265</wp:posOffset>
            </wp:positionV>
            <wp:extent cx="889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-342265</wp:posOffset>
            </wp:positionV>
            <wp:extent cx="889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-342265</wp:posOffset>
            </wp:positionV>
            <wp:extent cx="889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-342265</wp:posOffset>
            </wp:positionV>
            <wp:extent cx="8255"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-342265</wp:posOffset>
            </wp:positionV>
            <wp:extent cx="8255"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-342265</wp:posOffset>
            </wp:positionV>
            <wp:extent cx="8255"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-342265</wp:posOffset>
            </wp:positionV>
            <wp:extent cx="8890"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-342265</wp:posOffset>
            </wp:positionV>
            <wp:extent cx="889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-342265</wp:posOffset>
            </wp:positionV>
            <wp:extent cx="8890"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-342265</wp:posOffset>
            </wp:positionV>
            <wp:extent cx="8255"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-342265</wp:posOffset>
            </wp:positionV>
            <wp:extent cx="8255"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-342265</wp:posOffset>
            </wp:positionV>
            <wp:extent cx="889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-342265</wp:posOffset>
            </wp:positionV>
            <wp:extent cx="8890"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-342265</wp:posOffset>
            </wp:positionV>
            <wp:extent cx="8890"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-342265</wp:posOffset>
            </wp:positionV>
            <wp:extent cx="8255"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-342265</wp:posOffset>
            </wp:positionV>
            <wp:extent cx="889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-342265</wp:posOffset>
            </wp:positionV>
            <wp:extent cx="8890"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-342265</wp:posOffset>
            </wp:positionV>
            <wp:extent cx="8255"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-342265</wp:posOffset>
            </wp:positionV>
            <wp:extent cx="8890"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-342265</wp:posOffset>
            </wp:positionV>
            <wp:extent cx="8890"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-342265</wp:posOffset>
            </wp:positionV>
            <wp:extent cx="8255"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-342265</wp:posOffset>
            </wp:positionV>
            <wp:extent cx="889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-342265</wp:posOffset>
            </wp:positionV>
            <wp:extent cx="8890"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-342265</wp:posOffset>
            </wp:positionV>
            <wp:extent cx="8890"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-342265</wp:posOffset>
            </wp:positionV>
            <wp:extent cx="8890"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-342265</wp:posOffset>
            </wp:positionV>
            <wp:extent cx="8255"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-342265</wp:posOffset>
            </wp:positionV>
            <wp:extent cx="8890"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-342265</wp:posOffset>
            </wp:positionV>
            <wp:extent cx="8890"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-342265</wp:posOffset>
            </wp:positionV>
            <wp:extent cx="8890"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-342265</wp:posOffset>
            </wp:positionV>
            <wp:extent cx="8890"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-342265</wp:posOffset>
            </wp:positionV>
            <wp:extent cx="8890"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-342265</wp:posOffset>
            </wp:positionV>
            <wp:extent cx="8890"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-342265</wp:posOffset>
            </wp:positionV>
            <wp:extent cx="8255"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-342265</wp:posOffset>
            </wp:positionV>
            <wp:extent cx="8890"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-342265</wp:posOffset>
            </wp:positionV>
            <wp:extent cx="8890"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-342265</wp:posOffset>
            </wp:positionV>
            <wp:extent cx="8890"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-342265</wp:posOffset>
            </wp:positionV>
            <wp:extent cx="8890"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-342265</wp:posOffset>
            </wp:positionV>
            <wp:extent cx="8255"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-342265</wp:posOffset>
            </wp:positionV>
            <wp:extent cx="8890"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-342265</wp:posOffset>
            </wp:positionV>
            <wp:extent cx="8890"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1813560</wp:posOffset>
            </wp:positionH>
            <wp:positionV relativeFrom="paragraph">
              <wp:posOffset>-342265</wp:posOffset>
            </wp:positionV>
            <wp:extent cx="8890"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-342265</wp:posOffset>
            </wp:positionV>
            <wp:extent cx="8255"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-342265</wp:posOffset>
            </wp:positionV>
            <wp:extent cx="8890"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1864995</wp:posOffset>
            </wp:positionH>
            <wp:positionV relativeFrom="paragraph">
              <wp:posOffset>-342265</wp:posOffset>
            </wp:positionV>
            <wp:extent cx="8890"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-342265</wp:posOffset>
            </wp:positionV>
            <wp:extent cx="8890"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-342265</wp:posOffset>
            </wp:positionV>
            <wp:extent cx="8890"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1916430</wp:posOffset>
            </wp:positionH>
            <wp:positionV relativeFrom="paragraph">
              <wp:posOffset>-342265</wp:posOffset>
            </wp:positionV>
            <wp:extent cx="8255"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-342265</wp:posOffset>
            </wp:positionV>
            <wp:extent cx="8890"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1950720</wp:posOffset>
            </wp:positionH>
            <wp:positionV relativeFrom="paragraph">
              <wp:posOffset>-342265</wp:posOffset>
            </wp:positionV>
            <wp:extent cx="8890"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-342265</wp:posOffset>
            </wp:positionV>
            <wp:extent cx="8890"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1985010</wp:posOffset>
            </wp:positionH>
            <wp:positionV relativeFrom="paragraph">
              <wp:posOffset>-342265</wp:posOffset>
            </wp:positionV>
            <wp:extent cx="8890"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-342265</wp:posOffset>
            </wp:positionV>
            <wp:extent cx="8255"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2019300</wp:posOffset>
            </wp:positionH>
            <wp:positionV relativeFrom="paragraph">
              <wp:posOffset>-342265</wp:posOffset>
            </wp:positionV>
            <wp:extent cx="8890"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2036445</wp:posOffset>
            </wp:positionH>
            <wp:positionV relativeFrom="paragraph">
              <wp:posOffset>-342265</wp:posOffset>
            </wp:positionV>
            <wp:extent cx="8890"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-342265</wp:posOffset>
            </wp:positionV>
            <wp:extent cx="8890"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-342265</wp:posOffset>
            </wp:positionV>
            <wp:extent cx="8890"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-342265</wp:posOffset>
            </wp:positionV>
            <wp:extent cx="8890"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-342265</wp:posOffset>
            </wp:positionV>
            <wp:extent cx="8890"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-342265</wp:posOffset>
            </wp:positionV>
            <wp:extent cx="8255"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-342265</wp:posOffset>
            </wp:positionV>
            <wp:extent cx="8890"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-342265</wp:posOffset>
            </wp:positionV>
            <wp:extent cx="8890"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2173605</wp:posOffset>
            </wp:positionH>
            <wp:positionV relativeFrom="paragraph">
              <wp:posOffset>-342265</wp:posOffset>
            </wp:positionV>
            <wp:extent cx="8890"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-342265</wp:posOffset>
            </wp:positionV>
            <wp:extent cx="8890"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-342265</wp:posOffset>
            </wp:positionV>
            <wp:extent cx="8255"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-342265</wp:posOffset>
            </wp:positionV>
            <wp:extent cx="8890"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-342265</wp:posOffset>
            </wp:positionV>
            <wp:extent cx="8890"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-342265</wp:posOffset>
            </wp:positionV>
            <wp:extent cx="8890"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-342265</wp:posOffset>
            </wp:positionV>
            <wp:extent cx="8890"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2293620</wp:posOffset>
            </wp:positionH>
            <wp:positionV relativeFrom="paragraph">
              <wp:posOffset>-342265</wp:posOffset>
            </wp:positionV>
            <wp:extent cx="8255"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-342265</wp:posOffset>
            </wp:positionV>
            <wp:extent cx="8890"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-342265</wp:posOffset>
            </wp:positionV>
            <wp:extent cx="8890"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-342265</wp:posOffset>
            </wp:positionV>
            <wp:extent cx="8890"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-342265</wp:posOffset>
            </wp:positionV>
            <wp:extent cx="8890"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-342265</wp:posOffset>
            </wp:positionV>
            <wp:extent cx="8255"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-342265</wp:posOffset>
            </wp:positionV>
            <wp:extent cx="8890"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-342265</wp:posOffset>
            </wp:positionV>
            <wp:extent cx="8890"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-342265</wp:posOffset>
            </wp:positionV>
            <wp:extent cx="8890"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-342265</wp:posOffset>
            </wp:positionV>
            <wp:extent cx="8890"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-342265</wp:posOffset>
            </wp:positionV>
            <wp:extent cx="8890"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-342265</wp:posOffset>
            </wp:positionV>
            <wp:extent cx="8890"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-342265</wp:posOffset>
            </wp:positionV>
            <wp:extent cx="4629150"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8890"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-179705</wp:posOffset>
            </wp:positionV>
            <wp:extent cx="8890"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-179705</wp:posOffset>
            </wp:positionV>
            <wp:extent cx="8255"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-179705</wp:posOffset>
            </wp:positionV>
            <wp:extent cx="8255"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-179705</wp:posOffset>
            </wp:positionV>
            <wp:extent cx="8890"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-179705</wp:posOffset>
            </wp:positionV>
            <wp:extent cx="8255"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-179705</wp:posOffset>
            </wp:positionV>
            <wp:extent cx="8255"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-179705</wp:posOffset>
            </wp:positionV>
            <wp:extent cx="8255"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-179705</wp:posOffset>
            </wp:positionV>
            <wp:extent cx="8255"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-179705</wp:posOffset>
            </wp:positionV>
            <wp:extent cx="8890"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-179705</wp:posOffset>
            </wp:positionV>
            <wp:extent cx="8255"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-179705</wp:posOffset>
            </wp:positionV>
            <wp:extent cx="8255"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-179705</wp:posOffset>
            </wp:positionV>
            <wp:extent cx="8255"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-179705</wp:posOffset>
            </wp:positionV>
            <wp:extent cx="8255"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-179705</wp:posOffset>
            </wp:positionV>
            <wp:extent cx="8255"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-179705</wp:posOffset>
            </wp:positionV>
            <wp:extent cx="8255"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-179705</wp:posOffset>
            </wp:positionV>
            <wp:extent cx="8255"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-179705</wp:posOffset>
            </wp:positionV>
            <wp:extent cx="8255"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-179705</wp:posOffset>
            </wp:positionV>
            <wp:extent cx="8255"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-179705</wp:posOffset>
            </wp:positionV>
            <wp:extent cx="8890"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-179705</wp:posOffset>
            </wp:positionV>
            <wp:extent cx="8255"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-179705</wp:posOffset>
            </wp:positionV>
            <wp:extent cx="8255"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-179705</wp:posOffset>
            </wp:positionV>
            <wp:extent cx="8890"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-179705</wp:posOffset>
            </wp:positionV>
            <wp:extent cx="8255"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-179705</wp:posOffset>
            </wp:positionV>
            <wp:extent cx="8255"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-179705</wp:posOffset>
            </wp:positionV>
            <wp:extent cx="8255"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-179705</wp:posOffset>
            </wp:positionV>
            <wp:extent cx="8255"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-179705</wp:posOffset>
            </wp:positionV>
            <wp:extent cx="8255"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-179705</wp:posOffset>
            </wp:positionV>
            <wp:extent cx="8255"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-179705</wp:posOffset>
            </wp:positionV>
            <wp:extent cx="8255"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-179705</wp:posOffset>
            </wp:positionV>
            <wp:extent cx="8255"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-179705</wp:posOffset>
            </wp:positionV>
            <wp:extent cx="8890"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-179705</wp:posOffset>
            </wp:positionV>
            <wp:extent cx="8890"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-179705</wp:posOffset>
            </wp:positionV>
            <wp:extent cx="8255"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-179705</wp:posOffset>
            </wp:positionV>
            <wp:extent cx="8255"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-179705</wp:posOffset>
            </wp:positionV>
            <wp:extent cx="8890"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-179705</wp:posOffset>
            </wp:positionV>
            <wp:extent cx="8890"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-179705</wp:posOffset>
            </wp:positionV>
            <wp:extent cx="8255"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-179705</wp:posOffset>
            </wp:positionV>
            <wp:extent cx="8255"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-179705</wp:posOffset>
            </wp:positionV>
            <wp:extent cx="8890"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-179705</wp:posOffset>
            </wp:positionV>
            <wp:extent cx="8890"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-179705</wp:posOffset>
            </wp:positionV>
            <wp:extent cx="8890"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-179705</wp:posOffset>
            </wp:positionV>
            <wp:extent cx="8890"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-179705</wp:posOffset>
            </wp:positionV>
            <wp:extent cx="8255"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-179705</wp:posOffset>
            </wp:positionV>
            <wp:extent cx="8255"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-179705</wp:posOffset>
            </wp:positionV>
            <wp:extent cx="8890"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-179705</wp:posOffset>
            </wp:positionV>
            <wp:extent cx="8890"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-179705</wp:posOffset>
            </wp:positionV>
            <wp:extent cx="8890"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-179705</wp:posOffset>
            </wp:positionV>
            <wp:extent cx="8255"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-179705</wp:posOffset>
            </wp:positionV>
            <wp:extent cx="8255"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-179705</wp:posOffset>
            </wp:positionV>
            <wp:extent cx="8890"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-179705</wp:posOffset>
            </wp:positionV>
            <wp:extent cx="8890"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-179705</wp:posOffset>
            </wp:positionV>
            <wp:extent cx="8890"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-179705</wp:posOffset>
            </wp:positionV>
            <wp:extent cx="8890"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-179705</wp:posOffset>
            </wp:positionV>
            <wp:extent cx="8255"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-179705</wp:posOffset>
            </wp:positionV>
            <wp:extent cx="8255"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-179705</wp:posOffset>
            </wp:positionV>
            <wp:extent cx="8890"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-179705</wp:posOffset>
            </wp:positionV>
            <wp:extent cx="8890"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-179705</wp:posOffset>
            </wp:positionV>
            <wp:extent cx="8890"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-179705</wp:posOffset>
            </wp:positionV>
            <wp:extent cx="8255"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-179705</wp:posOffset>
            </wp:positionV>
            <wp:extent cx="8890"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-179705</wp:posOffset>
            </wp:positionV>
            <wp:extent cx="8255"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-179705</wp:posOffset>
            </wp:positionV>
            <wp:extent cx="8255"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-179705</wp:posOffset>
            </wp:positionV>
            <wp:extent cx="8890"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-179705</wp:posOffset>
            </wp:positionV>
            <wp:extent cx="8255"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-179705</wp:posOffset>
            </wp:positionV>
            <wp:extent cx="8890"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-179705</wp:posOffset>
            </wp:positionV>
            <wp:extent cx="8890" cy="82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-179705</wp:posOffset>
            </wp:positionV>
            <wp:extent cx="8890"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-179705</wp:posOffset>
            </wp:positionV>
            <wp:extent cx="8255"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-179705</wp:posOffset>
            </wp:positionV>
            <wp:extent cx="8255"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-179705</wp:posOffset>
            </wp:positionV>
            <wp:extent cx="8255" cy="82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-179705</wp:posOffset>
            </wp:positionV>
            <wp:extent cx="8890"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-179705</wp:posOffset>
            </wp:positionV>
            <wp:extent cx="8890"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-179705</wp:posOffset>
            </wp:positionV>
            <wp:extent cx="8890" cy="82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-179705</wp:posOffset>
            </wp:positionV>
            <wp:extent cx="8255" cy="8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-179705</wp:posOffset>
            </wp:positionV>
            <wp:extent cx="8255" cy="82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-179705</wp:posOffset>
            </wp:positionV>
            <wp:extent cx="8890"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-179705</wp:posOffset>
            </wp:positionV>
            <wp:extent cx="8890"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-179705</wp:posOffset>
            </wp:positionV>
            <wp:extent cx="8890"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-179705</wp:posOffset>
            </wp:positionV>
            <wp:extent cx="8255" cy="82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-179705</wp:posOffset>
            </wp:positionV>
            <wp:extent cx="8890"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-179705</wp:posOffset>
            </wp:positionV>
            <wp:extent cx="8890" cy="825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-179705</wp:posOffset>
            </wp:positionV>
            <wp:extent cx="8255"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-179705</wp:posOffset>
            </wp:positionV>
            <wp:extent cx="8890"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-179705</wp:posOffset>
            </wp:positionV>
            <wp:extent cx="8890" cy="82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-179705</wp:posOffset>
            </wp:positionV>
            <wp:extent cx="8255"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-179705</wp:posOffset>
            </wp:positionV>
            <wp:extent cx="8890"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-179705</wp:posOffset>
            </wp:positionV>
            <wp:extent cx="8890"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-179705</wp:posOffset>
            </wp:positionV>
            <wp:extent cx="8890"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-179705</wp:posOffset>
            </wp:positionV>
            <wp:extent cx="8890" cy="82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-179705</wp:posOffset>
            </wp:positionV>
            <wp:extent cx="8255" cy="825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-179705</wp:posOffset>
            </wp:positionV>
            <wp:extent cx="8890" cy="82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-179705</wp:posOffset>
            </wp:positionV>
            <wp:extent cx="8890" cy="825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-179705</wp:posOffset>
            </wp:positionV>
            <wp:extent cx="8890"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-179705</wp:posOffset>
            </wp:positionV>
            <wp:extent cx="8890" cy="82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-179705</wp:posOffset>
            </wp:positionV>
            <wp:extent cx="8890" cy="825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-179705</wp:posOffset>
            </wp:positionV>
            <wp:extent cx="8890"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-179705</wp:posOffset>
            </wp:positionV>
            <wp:extent cx="8255" cy="82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-179705</wp:posOffset>
            </wp:positionV>
            <wp:extent cx="8890" cy="825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-179705</wp:posOffset>
            </wp:positionV>
            <wp:extent cx="8890"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-179705</wp:posOffset>
            </wp:positionV>
            <wp:extent cx="8890" cy="82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-179705</wp:posOffset>
            </wp:positionV>
            <wp:extent cx="8890"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-179705</wp:posOffset>
            </wp:positionV>
            <wp:extent cx="8255" cy="82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-179705</wp:posOffset>
            </wp:positionV>
            <wp:extent cx="8890" cy="82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-179705</wp:posOffset>
            </wp:positionV>
            <wp:extent cx="8890" cy="825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1813560</wp:posOffset>
            </wp:positionH>
            <wp:positionV relativeFrom="paragraph">
              <wp:posOffset>-179705</wp:posOffset>
            </wp:positionV>
            <wp:extent cx="8890" cy="825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-179705</wp:posOffset>
            </wp:positionV>
            <wp:extent cx="8255"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-179705</wp:posOffset>
            </wp:positionV>
            <wp:extent cx="8890" cy="82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1864995</wp:posOffset>
            </wp:positionH>
            <wp:positionV relativeFrom="paragraph">
              <wp:posOffset>-179705</wp:posOffset>
            </wp:positionV>
            <wp:extent cx="8890" cy="82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-179705</wp:posOffset>
            </wp:positionV>
            <wp:extent cx="8890" cy="82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-179705</wp:posOffset>
            </wp:positionV>
            <wp:extent cx="8890"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1916430</wp:posOffset>
            </wp:positionH>
            <wp:positionV relativeFrom="paragraph">
              <wp:posOffset>-179705</wp:posOffset>
            </wp:positionV>
            <wp:extent cx="8255" cy="825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-179705</wp:posOffset>
            </wp:positionV>
            <wp:extent cx="8890" cy="82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1950720</wp:posOffset>
            </wp:positionH>
            <wp:positionV relativeFrom="paragraph">
              <wp:posOffset>-179705</wp:posOffset>
            </wp:positionV>
            <wp:extent cx="8890" cy="825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-179705</wp:posOffset>
            </wp:positionV>
            <wp:extent cx="8890" cy="82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1985010</wp:posOffset>
            </wp:positionH>
            <wp:positionV relativeFrom="paragraph">
              <wp:posOffset>-179705</wp:posOffset>
            </wp:positionV>
            <wp:extent cx="8890" cy="825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-179705</wp:posOffset>
            </wp:positionV>
            <wp:extent cx="8255" cy="82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2019300</wp:posOffset>
            </wp:positionH>
            <wp:positionV relativeFrom="paragraph">
              <wp:posOffset>-179705</wp:posOffset>
            </wp:positionV>
            <wp:extent cx="8890" cy="825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2036445</wp:posOffset>
            </wp:positionH>
            <wp:positionV relativeFrom="paragraph">
              <wp:posOffset>-179705</wp:posOffset>
            </wp:positionV>
            <wp:extent cx="8890" cy="825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-179705</wp:posOffset>
            </wp:positionV>
            <wp:extent cx="8890" cy="82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-179705</wp:posOffset>
            </wp:positionV>
            <wp:extent cx="8890" cy="825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-179705</wp:posOffset>
            </wp:positionV>
            <wp:extent cx="8890" cy="82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-179705</wp:posOffset>
            </wp:positionV>
            <wp:extent cx="8890" cy="825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-179705</wp:posOffset>
            </wp:positionV>
            <wp:extent cx="8255"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-179705</wp:posOffset>
            </wp:positionV>
            <wp:extent cx="8890" cy="825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-179705</wp:posOffset>
            </wp:positionV>
            <wp:extent cx="8890" cy="825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2173605</wp:posOffset>
            </wp:positionH>
            <wp:positionV relativeFrom="paragraph">
              <wp:posOffset>-179705</wp:posOffset>
            </wp:positionV>
            <wp:extent cx="8890" cy="825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-179705</wp:posOffset>
            </wp:positionV>
            <wp:extent cx="8890" cy="825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-179705</wp:posOffset>
            </wp:positionV>
            <wp:extent cx="8255" cy="82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-179705</wp:posOffset>
            </wp:positionV>
            <wp:extent cx="8890" cy="82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-179705</wp:posOffset>
            </wp:positionV>
            <wp:extent cx="8890" cy="825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-179705</wp:posOffset>
            </wp:positionV>
            <wp:extent cx="8890" cy="825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-179705</wp:posOffset>
            </wp:positionV>
            <wp:extent cx="8890" cy="825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2293620</wp:posOffset>
            </wp:positionH>
            <wp:positionV relativeFrom="paragraph">
              <wp:posOffset>-179705</wp:posOffset>
            </wp:positionV>
            <wp:extent cx="8255" cy="825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-179705</wp:posOffset>
            </wp:positionV>
            <wp:extent cx="8890" cy="825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-179705</wp:posOffset>
            </wp:positionV>
            <wp:extent cx="8890" cy="825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-179705</wp:posOffset>
            </wp:positionV>
            <wp:extent cx="8890" cy="825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-179705</wp:posOffset>
            </wp:positionV>
            <wp:extent cx="8890" cy="825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-179705</wp:posOffset>
            </wp:positionV>
            <wp:extent cx="8255" cy="825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-179705</wp:posOffset>
            </wp:positionV>
            <wp:extent cx="8890" cy="825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-179705</wp:posOffset>
            </wp:positionV>
            <wp:extent cx="8890" cy="825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-179705</wp:posOffset>
            </wp:positionV>
            <wp:extent cx="8890" cy="825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-179705</wp:posOffset>
            </wp:positionV>
            <wp:extent cx="8890" cy="825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-179705</wp:posOffset>
            </wp:positionV>
            <wp:extent cx="8890" cy="825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-179705</wp:posOffset>
            </wp:positionV>
            <wp:extent cx="8890" cy="825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-179705</wp:posOffset>
            </wp:positionV>
            <wp:extent cx="4629150" cy="825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4629150" cy="8255"/>
                    </a:xfrm>
                    <a:prstGeom prst="rect">
                      <a:avLst/>
                    </a:prstGeom>
                    <a:noFill/>
                  </pic:spPr>
                </pic:pic>
              </a:graphicData>
            </a:graphic>
          </wp:anchor>
        </w:drawing>
      </w:r>
    </w:p>
    <w:p>
      <w:pPr>
        <w:spacing w:after="0" w:line="38" w:lineRule="exact"/>
        <w:rPr>
          <w:sz w:val="20"/>
          <w:szCs w:val="20"/>
          <w:color w:val="auto"/>
        </w:rPr>
      </w:pPr>
    </w:p>
    <w:p>
      <w:pPr>
        <w:ind w:left="340" w:right="240" w:hanging="332"/>
        <w:spacing w:after="0" w:line="285"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For adjusted EBITDA results between any two performance targets, payout is prorated. No cash incentive is earned if we do not achieve the minimum adjusted EBITDA target.</w:t>
      </w:r>
    </w:p>
    <w:p>
      <w:pPr>
        <w:spacing w:after="0" w:line="126" w:lineRule="exact"/>
        <w:rPr>
          <w:sz w:val="20"/>
          <w:szCs w:val="20"/>
          <w:color w:val="auto"/>
        </w:rPr>
      </w:pPr>
    </w:p>
    <w:p>
      <w:pPr>
        <w:ind w:firstLine="180"/>
        <w:spacing w:after="0" w:line="286" w:lineRule="auto"/>
        <w:rPr>
          <w:sz w:val="20"/>
          <w:szCs w:val="20"/>
          <w:color w:val="auto"/>
        </w:rPr>
      </w:pPr>
      <w:r>
        <w:rPr>
          <w:rFonts w:ascii="Arial" w:cs="Arial" w:eastAsia="Arial" w:hAnsi="Arial"/>
          <w:sz w:val="16"/>
          <w:szCs w:val="16"/>
          <w:color w:val="auto"/>
        </w:rPr>
        <w:t xml:space="preserve">Our 2023 adjusted EBITDA was </w:t>
      </w:r>
      <w:r>
        <w:rPr>
          <w:rFonts w:ascii="Arial" w:cs="Arial" w:eastAsia="Arial" w:hAnsi="Arial"/>
          <w:sz w:val="16"/>
          <w:szCs w:val="16"/>
          <w:b w:val="1"/>
          <w:bCs w:val="1"/>
          <w:color w:val="0233A1"/>
        </w:rPr>
        <w:t>$8.107 billion</w:t>
      </w:r>
      <w:r>
        <w:rPr>
          <w:rFonts w:ascii="Arial" w:cs="Arial" w:eastAsia="Arial" w:hAnsi="Arial"/>
          <w:sz w:val="16"/>
          <w:szCs w:val="16"/>
          <w:color w:val="auto"/>
        </w:rPr>
        <w:t>, representing a 25% increase over 2022. As a result, and applying the payout matrix above, our Compensation Committee approved a payout of 119% of target for the adjusted EBITDA component of our 2023 STI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471170" cy="28257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471170" cy="282575"/>
                    </a:xfrm>
                    <a:prstGeom prst="rect">
                      <a:avLst/>
                    </a:prstGeom>
                    <a:noFill/>
                  </pic:spPr>
                </pic:pic>
              </a:graphicData>
            </a:graphic>
          </wp:anchor>
        </w:drawing>
      </w:r>
    </w:p>
    <w:p>
      <w:pPr>
        <w:spacing w:after="0" w:line="325" w:lineRule="exact"/>
        <w:rPr>
          <w:sz w:val="20"/>
          <w:szCs w:val="20"/>
          <w:color w:val="auto"/>
        </w:rPr>
      </w:pPr>
    </w:p>
    <w:p>
      <w:pPr>
        <w:jc w:val="both"/>
        <w:ind w:left="5540"/>
        <w:spacing w:after="0"/>
        <w:tabs>
          <w:tab w:leader="none" w:pos="9540" w:val="left"/>
        </w:tabs>
        <w:rPr>
          <w:sz w:val="20"/>
          <w:szCs w:val="20"/>
          <w:color w:val="auto"/>
        </w:rPr>
      </w:pPr>
      <w:r>
        <w:rPr>
          <w:rFonts w:ascii="Arial" w:cs="Arial" w:eastAsia="Arial" w:hAnsi="Arial"/>
          <w:sz w:val="16"/>
          <w:szCs w:val="16"/>
          <w:b w:val="1"/>
          <w:bCs w:val="1"/>
          <w:color w:val="auto"/>
        </w:rPr>
        <w:t>38</w:t>
      </w:r>
      <w:r>
        <w:rPr>
          <w:sz w:val="20"/>
          <w:szCs w:val="20"/>
          <w:color w:val="auto"/>
        </w:rPr>
        <w:tab/>
      </w:r>
      <w:r>
        <w:rPr>
          <w:rFonts w:ascii="Arial" w:cs="Arial" w:eastAsia="Arial" w:hAnsi="Arial"/>
          <w:sz w:val="16"/>
          <w:szCs w:val="16"/>
          <w:b w:val="1"/>
          <w:bCs w:val="1"/>
          <w:color w:val="636466"/>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-29845</wp:posOffset>
            </wp:positionV>
            <wp:extent cx="5417820" cy="1714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342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Free Cash Flow Targets and Results</w:t>
      </w:r>
    </w:p>
    <w:p>
      <w:pPr>
        <w:spacing w:after="0" w:line="191" w:lineRule="exact"/>
        <w:rPr>
          <w:sz w:val="20"/>
          <w:szCs w:val="20"/>
          <w:color w:val="auto"/>
        </w:rPr>
      </w:pPr>
    </w:p>
    <w:p>
      <w:pPr>
        <w:jc w:val="both"/>
        <w:ind w:right="20" w:firstLine="180"/>
        <w:spacing w:after="0" w:line="286" w:lineRule="auto"/>
        <w:rPr>
          <w:sz w:val="20"/>
          <w:szCs w:val="20"/>
          <w:color w:val="auto"/>
        </w:rPr>
      </w:pPr>
      <w:r>
        <w:rPr>
          <w:rFonts w:ascii="Arial" w:cs="Arial" w:eastAsia="Arial" w:hAnsi="Arial"/>
          <w:sz w:val="16"/>
          <w:szCs w:val="16"/>
          <w:color w:val="auto"/>
        </w:rPr>
        <w:t>In January 2023, our Compensation Committee considered SLB’s 2022 free cash flow of $1.418 billion, together with its full-year 2023 cash flow forecast, and the Company’s public commitments to return at least 50% of its free cash flow to shareholders in the form of dividends and share repurchases.</w:t>
      </w:r>
    </w:p>
    <w:p>
      <w:pPr>
        <w:spacing w:after="0" w:line="129" w:lineRule="exact"/>
        <w:rPr>
          <w:sz w:val="20"/>
          <w:szCs w:val="20"/>
          <w:color w:val="auto"/>
        </w:rPr>
      </w:pPr>
    </w:p>
    <w:p>
      <w:pPr>
        <w:jc w:val="both"/>
        <w:ind w:firstLine="180"/>
        <w:spacing w:after="0" w:line="254" w:lineRule="auto"/>
        <w:rPr>
          <w:sz w:val="20"/>
          <w:szCs w:val="20"/>
          <w:color w:val="auto"/>
        </w:rPr>
      </w:pPr>
      <w:r>
        <w:rPr>
          <w:rFonts w:ascii="Arial" w:cs="Arial" w:eastAsia="Arial" w:hAnsi="Arial"/>
          <w:sz w:val="16"/>
          <w:szCs w:val="16"/>
          <w:color w:val="auto"/>
        </w:rPr>
        <w:t xml:space="preserve">In light of these considerations, and in order to show a clear commitment to the Company’s promise to return value to shareholders, the Committee </w:t>
      </w:r>
      <w:r>
        <w:rPr>
          <w:rFonts w:ascii="Arial" w:cs="Arial" w:eastAsia="Arial" w:hAnsi="Arial"/>
          <w:sz w:val="16"/>
          <w:szCs w:val="16"/>
          <w:b w:val="1"/>
          <w:bCs w:val="1"/>
          <w:color w:val="0233A1"/>
        </w:rPr>
        <w:t xml:space="preserve">increased the minimum, target and maximum performance goals </w:t>
      </w:r>
      <w:r>
        <w:rPr>
          <w:rFonts w:ascii="Arial" w:cs="Arial" w:eastAsia="Arial" w:hAnsi="Arial"/>
          <w:sz w:val="16"/>
          <w:szCs w:val="16"/>
          <w:color w:val="000000"/>
        </w:rPr>
        <w:t>under the free cash flow portion of our NEOs’ 2023 STI opportunity—even though our</w:t>
      </w:r>
      <w:r>
        <w:rPr>
          <w:rFonts w:ascii="Arial" w:cs="Arial" w:eastAsia="Arial" w:hAnsi="Arial"/>
          <w:sz w:val="16"/>
          <w:szCs w:val="16"/>
          <w:b w:val="1"/>
          <w:bCs w:val="1"/>
          <w:color w:val="0233A1"/>
        </w:rPr>
        <w:t xml:space="preserve"> </w:t>
      </w:r>
      <w:r>
        <w:rPr>
          <w:rFonts w:ascii="Arial" w:cs="Arial" w:eastAsia="Arial" w:hAnsi="Arial"/>
          <w:sz w:val="16"/>
          <w:szCs w:val="16"/>
          <w:color w:val="000000"/>
        </w:rPr>
        <w:t>NEOs had received no payout under this component of the 2022 STI plan. The Committee set target at $3.00 billion based on SLB’s full-year forecast. This target performance goal was 13% higher than our 2022 target and more than double SLB’s actual 2022 free cash flow. The Committee set the maximum performance goal 17% higher than target, in order to incentivize management to generate additional cash that would allow us to accelerate returns to shareholders.</w:t>
      </w:r>
    </w:p>
    <w:p>
      <w:pPr>
        <w:spacing w:after="0" w:line="15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reflects our NEOs’ full-year free cash flow targets and corresponding potential payouts for 2023.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2620" w:type="dxa"/>
            <w:vAlign w:val="bottom"/>
            <w:shd w:val="clear" w:color="auto" w:fill="0233A1"/>
          </w:tcPr>
          <w:p>
            <w:pPr>
              <w:spacing w:after="0"/>
              <w:rPr>
                <w:sz w:val="23"/>
                <w:szCs w:val="23"/>
                <w:color w:val="auto"/>
              </w:rPr>
            </w:pPr>
          </w:p>
        </w:tc>
        <w:tc>
          <w:tcPr>
            <w:tcW w:w="2460" w:type="dxa"/>
            <w:vAlign w:val="bottom"/>
            <w:shd w:val="clear" w:color="auto" w:fill="0233A1"/>
          </w:tcPr>
          <w:p>
            <w:pPr>
              <w:spacing w:after="0"/>
              <w:rPr>
                <w:sz w:val="23"/>
                <w:szCs w:val="23"/>
                <w:color w:val="auto"/>
              </w:rPr>
            </w:pPr>
          </w:p>
        </w:tc>
        <w:tc>
          <w:tcPr>
            <w:tcW w:w="6160" w:type="dxa"/>
            <w:vAlign w:val="bottom"/>
            <w:shd w:val="clear" w:color="auto" w:fill="0233A1"/>
          </w:tcPr>
          <w:p>
            <w:pPr>
              <w:ind w:left="1500"/>
              <w:spacing w:after="0"/>
              <w:rPr>
                <w:sz w:val="20"/>
                <w:szCs w:val="20"/>
                <w:color w:val="auto"/>
              </w:rPr>
            </w:pPr>
            <w:r>
              <w:rPr>
                <w:rFonts w:ascii="Arial" w:cs="Arial" w:eastAsia="Arial" w:hAnsi="Arial"/>
                <w:sz w:val="18"/>
                <w:szCs w:val="18"/>
                <w:b w:val="1"/>
                <w:bCs w:val="1"/>
                <w:color w:val="FFFFFF"/>
              </w:rPr>
              <w:t>Potential Payout as a %</w:t>
            </w:r>
          </w:p>
        </w:tc>
      </w:tr>
      <w:tr>
        <w:trPr>
          <w:trHeight w:val="339"/>
        </w:trPr>
        <w:tc>
          <w:tcPr>
            <w:tcW w:w="2620" w:type="dxa"/>
            <w:vAlign w:val="bottom"/>
            <w:shd w:val="clear" w:color="auto" w:fill="0233A1"/>
          </w:tcPr>
          <w:p>
            <w:pPr>
              <w:jc w:val="center"/>
              <w:ind w:left="137"/>
              <w:spacing w:after="0"/>
              <w:rPr>
                <w:sz w:val="20"/>
                <w:szCs w:val="20"/>
                <w:color w:val="auto"/>
              </w:rPr>
            </w:pPr>
            <w:r>
              <w:rPr>
                <w:rFonts w:ascii="Arial" w:cs="Arial" w:eastAsia="Arial" w:hAnsi="Arial"/>
                <w:sz w:val="18"/>
                <w:szCs w:val="18"/>
                <w:b w:val="1"/>
                <w:bCs w:val="1"/>
                <w:color w:val="FFFFFF"/>
                <w:w w:val="96"/>
              </w:rPr>
              <w:t>Performance Targets</w:t>
            </w:r>
            <w:r>
              <w:rPr>
                <w:rFonts w:ascii="Arial" w:cs="Arial" w:eastAsia="Arial" w:hAnsi="Arial"/>
                <w:sz w:val="29"/>
                <w:szCs w:val="29"/>
                <w:b w:val="1"/>
                <w:bCs w:val="1"/>
                <w:color w:val="FFFFFF"/>
                <w:w w:val="96"/>
                <w:vertAlign w:val="superscript"/>
              </w:rPr>
              <w:t>(1)</w:t>
            </w:r>
          </w:p>
        </w:tc>
        <w:tc>
          <w:tcPr>
            <w:tcW w:w="2460" w:type="dxa"/>
            <w:vAlign w:val="bottom"/>
            <w:shd w:val="clear" w:color="auto" w:fill="0233A1"/>
          </w:tcPr>
          <w:p>
            <w:pPr>
              <w:spacing w:after="0"/>
              <w:rPr>
                <w:sz w:val="24"/>
                <w:szCs w:val="24"/>
                <w:color w:val="auto"/>
              </w:rPr>
            </w:pPr>
          </w:p>
        </w:tc>
        <w:tc>
          <w:tcPr>
            <w:tcW w:w="6160" w:type="dxa"/>
            <w:vAlign w:val="bottom"/>
            <w:shd w:val="clear" w:color="auto" w:fill="0233A1"/>
          </w:tcPr>
          <w:p>
            <w:pPr>
              <w:ind w:left="1500"/>
              <w:spacing w:after="0"/>
              <w:rPr>
                <w:sz w:val="20"/>
                <w:szCs w:val="20"/>
                <w:color w:val="auto"/>
              </w:rPr>
            </w:pPr>
            <w:r>
              <w:rPr>
                <w:rFonts w:ascii="Arial" w:cs="Arial" w:eastAsia="Arial" w:hAnsi="Arial"/>
                <w:sz w:val="18"/>
                <w:szCs w:val="18"/>
                <w:b w:val="1"/>
                <w:bCs w:val="1"/>
                <w:color w:val="FFFFFF"/>
              </w:rPr>
              <w:t>of Target Opportunity</w:t>
            </w:r>
            <w:r>
              <w:rPr>
                <w:rFonts w:ascii="Arial" w:cs="Arial" w:eastAsia="Arial" w:hAnsi="Arial"/>
                <w:sz w:val="29"/>
                <w:szCs w:val="29"/>
                <w:b w:val="1"/>
                <w:bCs w:val="1"/>
                <w:color w:val="FFFFFF"/>
                <w:vertAlign w:val="superscript"/>
              </w:rPr>
              <w:t>(1)</w:t>
            </w:r>
          </w:p>
        </w:tc>
      </w:tr>
      <w:tr>
        <w:trPr>
          <w:trHeight w:val="255"/>
        </w:trPr>
        <w:tc>
          <w:tcPr>
            <w:tcW w:w="2620" w:type="dxa"/>
            <w:vAlign w:val="bottom"/>
          </w:tcPr>
          <w:p>
            <w:pPr>
              <w:jc w:val="center"/>
              <w:ind w:left="137"/>
              <w:spacing w:after="0"/>
              <w:rPr>
                <w:sz w:val="20"/>
                <w:szCs w:val="20"/>
                <w:color w:val="auto"/>
              </w:rPr>
            </w:pPr>
            <w:r>
              <w:rPr>
                <w:rFonts w:ascii="Arial" w:cs="Arial" w:eastAsia="Arial" w:hAnsi="Arial"/>
                <w:sz w:val="16"/>
                <w:szCs w:val="16"/>
                <w:color w:val="auto"/>
              </w:rPr>
              <w:t>&lt; $2.50 billion</w:t>
            </w:r>
          </w:p>
        </w:tc>
        <w:tc>
          <w:tcPr>
            <w:tcW w:w="2460" w:type="dxa"/>
            <w:vAlign w:val="bottom"/>
          </w:tcPr>
          <w:p>
            <w:pPr>
              <w:spacing w:after="0"/>
              <w:rPr>
                <w:sz w:val="22"/>
                <w:szCs w:val="22"/>
                <w:color w:val="auto"/>
              </w:rPr>
            </w:pPr>
          </w:p>
        </w:tc>
        <w:tc>
          <w:tcPr>
            <w:tcW w:w="6160" w:type="dxa"/>
            <w:vAlign w:val="bottom"/>
          </w:tcPr>
          <w:p>
            <w:pPr>
              <w:jc w:val="center"/>
              <w:ind w:right="1055"/>
              <w:spacing w:after="0"/>
              <w:rPr>
                <w:sz w:val="20"/>
                <w:szCs w:val="20"/>
                <w:color w:val="auto"/>
              </w:rPr>
            </w:pPr>
            <w:r>
              <w:rPr>
                <w:rFonts w:ascii="Arial" w:cs="Arial" w:eastAsia="Arial" w:hAnsi="Arial"/>
                <w:sz w:val="18"/>
                <w:szCs w:val="18"/>
                <w:b w:val="1"/>
                <w:bCs w:val="1"/>
                <w:color w:val="auto"/>
                <w:w w:val="99"/>
              </w:rPr>
              <w:t>0%</w:t>
            </w:r>
          </w:p>
        </w:tc>
      </w:tr>
      <w:tr>
        <w:trPr>
          <w:trHeight w:val="250"/>
        </w:trPr>
        <w:tc>
          <w:tcPr>
            <w:tcW w:w="2620" w:type="dxa"/>
            <w:vAlign w:val="bottom"/>
          </w:tcPr>
          <w:p>
            <w:pPr>
              <w:jc w:val="center"/>
              <w:ind w:left="137"/>
              <w:spacing w:after="0"/>
              <w:rPr>
                <w:sz w:val="20"/>
                <w:szCs w:val="20"/>
                <w:color w:val="auto"/>
              </w:rPr>
            </w:pPr>
            <w:r>
              <w:rPr>
                <w:rFonts w:ascii="Arial" w:cs="Arial" w:eastAsia="Arial" w:hAnsi="Arial"/>
                <w:sz w:val="16"/>
                <w:szCs w:val="16"/>
                <w:color w:val="auto"/>
              </w:rPr>
              <w:t>$2.50 billion</w:t>
            </w:r>
          </w:p>
        </w:tc>
        <w:tc>
          <w:tcPr>
            <w:tcW w:w="2460" w:type="dxa"/>
            <w:vAlign w:val="bottom"/>
          </w:tcPr>
          <w:p>
            <w:pPr>
              <w:ind w:left="200"/>
              <w:spacing w:after="0"/>
              <w:rPr>
                <w:sz w:val="20"/>
                <w:szCs w:val="20"/>
                <w:color w:val="auto"/>
              </w:rPr>
            </w:pPr>
            <w:r>
              <w:rPr>
                <w:rFonts w:ascii="Arial" w:cs="Arial" w:eastAsia="Arial" w:hAnsi="Arial"/>
                <w:sz w:val="16"/>
                <w:szCs w:val="16"/>
                <w:b w:val="1"/>
                <w:bCs w:val="1"/>
                <w:color w:val="auto"/>
              </w:rPr>
              <w:t>Minimum</w:t>
            </w:r>
          </w:p>
        </w:tc>
        <w:tc>
          <w:tcPr>
            <w:tcW w:w="6160" w:type="dxa"/>
            <w:vAlign w:val="bottom"/>
          </w:tcPr>
          <w:p>
            <w:pPr>
              <w:jc w:val="center"/>
              <w:ind w:right="1035"/>
              <w:spacing w:after="0"/>
              <w:rPr>
                <w:sz w:val="20"/>
                <w:szCs w:val="20"/>
                <w:color w:val="auto"/>
              </w:rPr>
            </w:pPr>
            <w:r>
              <w:rPr>
                <w:rFonts w:ascii="Arial" w:cs="Arial" w:eastAsia="Arial" w:hAnsi="Arial"/>
                <w:sz w:val="16"/>
                <w:szCs w:val="16"/>
                <w:b w:val="1"/>
                <w:bCs w:val="1"/>
                <w:color w:val="auto"/>
                <w:w w:val="99"/>
              </w:rPr>
              <w:t>50%</w:t>
            </w:r>
          </w:p>
        </w:tc>
      </w:tr>
      <w:tr>
        <w:trPr>
          <w:trHeight w:val="257"/>
        </w:trPr>
        <w:tc>
          <w:tcPr>
            <w:tcW w:w="2620" w:type="dxa"/>
            <w:vAlign w:val="bottom"/>
          </w:tcPr>
          <w:p>
            <w:pPr>
              <w:jc w:val="center"/>
              <w:ind w:left="137"/>
              <w:spacing w:after="0"/>
              <w:rPr>
                <w:sz w:val="20"/>
                <w:szCs w:val="20"/>
                <w:color w:val="auto"/>
              </w:rPr>
            </w:pPr>
            <w:r>
              <w:rPr>
                <w:rFonts w:ascii="Arial" w:cs="Arial" w:eastAsia="Arial" w:hAnsi="Arial"/>
                <w:sz w:val="16"/>
                <w:szCs w:val="16"/>
                <w:color w:val="auto"/>
              </w:rPr>
              <w:t>$3.00 billion</w:t>
            </w:r>
          </w:p>
        </w:tc>
        <w:tc>
          <w:tcPr>
            <w:tcW w:w="2460" w:type="dxa"/>
            <w:vAlign w:val="bottom"/>
          </w:tcPr>
          <w:p>
            <w:pPr>
              <w:ind w:left="200"/>
              <w:spacing w:after="0"/>
              <w:rPr>
                <w:sz w:val="20"/>
                <w:szCs w:val="20"/>
                <w:color w:val="auto"/>
              </w:rPr>
            </w:pPr>
            <w:r>
              <w:rPr>
                <w:rFonts w:ascii="Arial" w:cs="Arial" w:eastAsia="Arial" w:hAnsi="Arial"/>
                <w:sz w:val="16"/>
                <w:szCs w:val="16"/>
                <w:b w:val="1"/>
                <w:bCs w:val="1"/>
                <w:color w:val="auto"/>
              </w:rPr>
              <w:t>Target</w:t>
            </w:r>
          </w:p>
        </w:tc>
        <w:tc>
          <w:tcPr>
            <w:tcW w:w="6160" w:type="dxa"/>
            <w:vAlign w:val="bottom"/>
          </w:tcPr>
          <w:p>
            <w:pPr>
              <w:jc w:val="center"/>
              <w:ind w:right="1055"/>
              <w:spacing w:after="0"/>
              <w:rPr>
                <w:sz w:val="20"/>
                <w:szCs w:val="20"/>
                <w:color w:val="auto"/>
              </w:rPr>
            </w:pPr>
            <w:r>
              <w:rPr>
                <w:rFonts w:ascii="Arial" w:cs="Arial" w:eastAsia="Arial" w:hAnsi="Arial"/>
                <w:sz w:val="16"/>
                <w:szCs w:val="16"/>
                <w:b w:val="1"/>
                <w:bCs w:val="1"/>
                <w:color w:val="auto"/>
              </w:rPr>
              <w:t>100%</w:t>
            </w:r>
          </w:p>
        </w:tc>
      </w:tr>
      <w:tr>
        <w:trPr>
          <w:trHeight w:val="271"/>
        </w:trPr>
        <w:tc>
          <w:tcPr>
            <w:tcW w:w="2620" w:type="dxa"/>
            <w:vAlign w:val="bottom"/>
            <w:tcBorders>
              <w:bottom w:val="single" w:sz="8" w:color="0233A1"/>
            </w:tcBorders>
          </w:tcPr>
          <w:p>
            <w:pPr>
              <w:jc w:val="center"/>
              <w:ind w:left="137"/>
              <w:spacing w:after="0"/>
              <w:rPr>
                <w:sz w:val="20"/>
                <w:szCs w:val="20"/>
                <w:color w:val="auto"/>
              </w:rPr>
            </w:pPr>
            <w:r>
              <w:rPr>
                <w:rFonts w:ascii="Arial" w:cs="Arial" w:eastAsia="Arial" w:hAnsi="Arial"/>
                <w:sz w:val="16"/>
                <w:szCs w:val="16"/>
                <w:color w:val="auto"/>
              </w:rPr>
              <w:t>$3.50 billion</w:t>
            </w:r>
          </w:p>
        </w:tc>
        <w:tc>
          <w:tcPr>
            <w:tcW w:w="2460" w:type="dxa"/>
            <w:vAlign w:val="bottom"/>
            <w:tcBorders>
              <w:bottom w:val="single" w:sz="8" w:color="0233A1"/>
            </w:tcBorders>
          </w:tcPr>
          <w:p>
            <w:pPr>
              <w:ind w:left="200"/>
              <w:spacing w:after="0"/>
              <w:rPr>
                <w:sz w:val="20"/>
                <w:szCs w:val="20"/>
                <w:color w:val="auto"/>
              </w:rPr>
            </w:pPr>
            <w:r>
              <w:rPr>
                <w:rFonts w:ascii="Arial" w:cs="Arial" w:eastAsia="Arial" w:hAnsi="Arial"/>
                <w:sz w:val="16"/>
                <w:szCs w:val="16"/>
                <w:b w:val="1"/>
                <w:bCs w:val="1"/>
                <w:color w:val="auto"/>
              </w:rPr>
              <w:t>Maximum</w:t>
            </w:r>
          </w:p>
        </w:tc>
        <w:tc>
          <w:tcPr>
            <w:tcW w:w="6160" w:type="dxa"/>
            <w:vAlign w:val="bottom"/>
            <w:tcBorders>
              <w:bottom w:val="single" w:sz="8" w:color="0233A1"/>
            </w:tcBorders>
          </w:tcPr>
          <w:p>
            <w:pPr>
              <w:jc w:val="center"/>
              <w:ind w:right="1055"/>
              <w:spacing w:after="0"/>
              <w:rPr>
                <w:sz w:val="20"/>
                <w:szCs w:val="20"/>
                <w:color w:val="auto"/>
              </w:rPr>
            </w:pPr>
            <w:r>
              <w:rPr>
                <w:rFonts w:ascii="Arial" w:cs="Arial" w:eastAsia="Arial" w:hAnsi="Arial"/>
                <w:sz w:val="16"/>
                <w:szCs w:val="16"/>
                <w:b w:val="1"/>
                <w:bCs w:val="1"/>
                <w:color w:val="auto"/>
              </w:rPr>
              <w:t>243%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-505460</wp:posOffset>
            </wp:positionV>
            <wp:extent cx="8890" cy="825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-505460</wp:posOffset>
            </wp:positionV>
            <wp:extent cx="8890" cy="825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-505460</wp:posOffset>
            </wp:positionV>
            <wp:extent cx="8255" cy="825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-505460</wp:posOffset>
            </wp:positionV>
            <wp:extent cx="8255" cy="825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-505460</wp:posOffset>
            </wp:positionV>
            <wp:extent cx="8890" cy="825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-505460</wp:posOffset>
            </wp:positionV>
            <wp:extent cx="8255" cy="825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-505460</wp:posOffset>
            </wp:positionV>
            <wp:extent cx="8255" cy="825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-505460</wp:posOffset>
            </wp:positionV>
            <wp:extent cx="8255" cy="825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-505460</wp:posOffset>
            </wp:positionV>
            <wp:extent cx="8255" cy="825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-505460</wp:posOffset>
            </wp:positionV>
            <wp:extent cx="8890" cy="825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-505460</wp:posOffset>
            </wp:positionV>
            <wp:extent cx="8255" cy="825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-505460</wp:posOffset>
            </wp:positionV>
            <wp:extent cx="8255" cy="825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-505460</wp:posOffset>
            </wp:positionV>
            <wp:extent cx="8255" cy="825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-505460</wp:posOffset>
            </wp:positionV>
            <wp:extent cx="8255" cy="825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-505460</wp:posOffset>
            </wp:positionV>
            <wp:extent cx="8255" cy="825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-505460</wp:posOffset>
            </wp:positionV>
            <wp:extent cx="8255" cy="825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-505460</wp:posOffset>
            </wp:positionV>
            <wp:extent cx="8255" cy="825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-505460</wp:posOffset>
            </wp:positionV>
            <wp:extent cx="8255" cy="825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-505460</wp:posOffset>
            </wp:positionV>
            <wp:extent cx="8255" cy="825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-505460</wp:posOffset>
            </wp:positionV>
            <wp:extent cx="8890" cy="825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-505460</wp:posOffset>
            </wp:positionV>
            <wp:extent cx="8255" cy="825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-505460</wp:posOffset>
            </wp:positionV>
            <wp:extent cx="8255" cy="825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-505460</wp:posOffset>
            </wp:positionV>
            <wp:extent cx="8890" cy="825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-505460</wp:posOffset>
            </wp:positionV>
            <wp:extent cx="8255" cy="825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-505460</wp:posOffset>
            </wp:positionV>
            <wp:extent cx="8255" cy="825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-505460</wp:posOffset>
            </wp:positionV>
            <wp:extent cx="8255" cy="825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-505460</wp:posOffset>
            </wp:positionV>
            <wp:extent cx="8255" cy="825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-505460</wp:posOffset>
            </wp:positionV>
            <wp:extent cx="8255" cy="825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-505460</wp:posOffset>
            </wp:positionV>
            <wp:extent cx="8255" cy="825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-505460</wp:posOffset>
            </wp:positionV>
            <wp:extent cx="8255" cy="825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-505460</wp:posOffset>
            </wp:positionV>
            <wp:extent cx="8255" cy="825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-505460</wp:posOffset>
            </wp:positionV>
            <wp:extent cx="8890" cy="825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-505460</wp:posOffset>
            </wp:positionV>
            <wp:extent cx="8890" cy="825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-505460</wp:posOffset>
            </wp:positionV>
            <wp:extent cx="8255" cy="825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-505460</wp:posOffset>
            </wp:positionV>
            <wp:extent cx="8255" cy="825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-505460</wp:posOffset>
            </wp:positionV>
            <wp:extent cx="8890" cy="825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-505460</wp:posOffset>
            </wp:positionV>
            <wp:extent cx="8890" cy="825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-505460</wp:posOffset>
            </wp:positionV>
            <wp:extent cx="8255" cy="825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-505460</wp:posOffset>
            </wp:positionV>
            <wp:extent cx="8255" cy="825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-505460</wp:posOffset>
            </wp:positionV>
            <wp:extent cx="8890" cy="825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-505460</wp:posOffset>
            </wp:positionV>
            <wp:extent cx="8890" cy="825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-505460</wp:posOffset>
            </wp:positionV>
            <wp:extent cx="8890" cy="825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-505460</wp:posOffset>
            </wp:positionV>
            <wp:extent cx="8890" cy="825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-505460</wp:posOffset>
            </wp:positionV>
            <wp:extent cx="8255" cy="825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-505460</wp:posOffset>
            </wp:positionV>
            <wp:extent cx="8255" cy="825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-505460</wp:posOffset>
            </wp:positionV>
            <wp:extent cx="8890" cy="825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-505460</wp:posOffset>
            </wp:positionV>
            <wp:extent cx="8890" cy="825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-505460</wp:posOffset>
            </wp:positionV>
            <wp:extent cx="8890" cy="825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-505460</wp:posOffset>
            </wp:positionV>
            <wp:extent cx="8255" cy="825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-505460</wp:posOffset>
            </wp:positionV>
            <wp:extent cx="8255" cy="825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-505460</wp:posOffset>
            </wp:positionV>
            <wp:extent cx="8890" cy="825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-505460</wp:posOffset>
            </wp:positionV>
            <wp:extent cx="8890" cy="825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-505460</wp:posOffset>
            </wp:positionV>
            <wp:extent cx="8890" cy="825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-505460</wp:posOffset>
            </wp:positionV>
            <wp:extent cx="8890" cy="825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-505460</wp:posOffset>
            </wp:positionV>
            <wp:extent cx="8255" cy="825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-505460</wp:posOffset>
            </wp:positionV>
            <wp:extent cx="8255" cy="825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-505460</wp:posOffset>
            </wp:positionV>
            <wp:extent cx="8890" cy="825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-505460</wp:posOffset>
            </wp:positionV>
            <wp:extent cx="8890" cy="825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-505460</wp:posOffset>
            </wp:positionV>
            <wp:extent cx="8890" cy="825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-505460</wp:posOffset>
            </wp:positionV>
            <wp:extent cx="8255" cy="825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-505460</wp:posOffset>
            </wp:positionV>
            <wp:extent cx="8890" cy="825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-505460</wp:posOffset>
            </wp:positionV>
            <wp:extent cx="8255" cy="825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-505460</wp:posOffset>
            </wp:positionV>
            <wp:extent cx="8255" cy="825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-505460</wp:posOffset>
            </wp:positionV>
            <wp:extent cx="8890" cy="825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-505460</wp:posOffset>
            </wp:positionV>
            <wp:extent cx="8255" cy="825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-505460</wp:posOffset>
            </wp:positionV>
            <wp:extent cx="8890" cy="825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-505460</wp:posOffset>
            </wp:positionV>
            <wp:extent cx="8890" cy="825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-505460</wp:posOffset>
            </wp:positionV>
            <wp:extent cx="8890" cy="825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-505460</wp:posOffset>
            </wp:positionV>
            <wp:extent cx="8255" cy="825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-505460</wp:posOffset>
            </wp:positionV>
            <wp:extent cx="8255" cy="825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-505460</wp:posOffset>
            </wp:positionV>
            <wp:extent cx="8255" cy="825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-505460</wp:posOffset>
            </wp:positionV>
            <wp:extent cx="8890" cy="825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-505460</wp:posOffset>
            </wp:positionV>
            <wp:extent cx="8890" cy="825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-505460</wp:posOffset>
            </wp:positionV>
            <wp:extent cx="8890" cy="825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-505460</wp:posOffset>
            </wp:positionV>
            <wp:extent cx="8255" cy="825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-505460</wp:posOffset>
            </wp:positionV>
            <wp:extent cx="8255" cy="825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-505460</wp:posOffset>
            </wp:positionV>
            <wp:extent cx="8890" cy="825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-505460</wp:posOffset>
            </wp:positionV>
            <wp:extent cx="8890" cy="825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-505460</wp:posOffset>
            </wp:positionV>
            <wp:extent cx="8890" cy="825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-505460</wp:posOffset>
            </wp:positionV>
            <wp:extent cx="8255" cy="825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-505460</wp:posOffset>
            </wp:positionV>
            <wp:extent cx="8890" cy="825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-505460</wp:posOffset>
            </wp:positionV>
            <wp:extent cx="8890" cy="825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-505460</wp:posOffset>
            </wp:positionV>
            <wp:extent cx="8255" cy="825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-505460</wp:posOffset>
            </wp:positionV>
            <wp:extent cx="8890" cy="825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-505460</wp:posOffset>
            </wp:positionV>
            <wp:extent cx="8890" cy="825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-505460</wp:posOffset>
            </wp:positionV>
            <wp:extent cx="8255" cy="825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-505460</wp:posOffset>
            </wp:positionV>
            <wp:extent cx="8890" cy="825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-505460</wp:posOffset>
            </wp:positionV>
            <wp:extent cx="8890" cy="825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-505460</wp:posOffset>
            </wp:positionV>
            <wp:extent cx="8890" cy="825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-505460</wp:posOffset>
            </wp:positionV>
            <wp:extent cx="8890" cy="825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-505460</wp:posOffset>
            </wp:positionV>
            <wp:extent cx="8255" cy="825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-505460</wp:posOffset>
            </wp:positionV>
            <wp:extent cx="8890" cy="825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-505460</wp:posOffset>
            </wp:positionV>
            <wp:extent cx="8890" cy="825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-505460</wp:posOffset>
            </wp:positionV>
            <wp:extent cx="8890" cy="825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-505460</wp:posOffset>
            </wp:positionV>
            <wp:extent cx="8890" cy="825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-505460</wp:posOffset>
            </wp:positionV>
            <wp:extent cx="8890" cy="825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-505460</wp:posOffset>
            </wp:positionV>
            <wp:extent cx="8890" cy="825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-505460</wp:posOffset>
            </wp:positionV>
            <wp:extent cx="8255" cy="825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-505460</wp:posOffset>
            </wp:positionV>
            <wp:extent cx="8890" cy="825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-505460</wp:posOffset>
            </wp:positionV>
            <wp:extent cx="8890" cy="825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-505460</wp:posOffset>
            </wp:positionV>
            <wp:extent cx="8890" cy="825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-505460</wp:posOffset>
            </wp:positionV>
            <wp:extent cx="8890" cy="825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-505460</wp:posOffset>
            </wp:positionV>
            <wp:extent cx="8255" cy="825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-505460</wp:posOffset>
            </wp:positionV>
            <wp:extent cx="8890" cy="825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-505460</wp:posOffset>
            </wp:positionV>
            <wp:extent cx="8890" cy="825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1813560</wp:posOffset>
            </wp:positionH>
            <wp:positionV relativeFrom="paragraph">
              <wp:posOffset>-505460</wp:posOffset>
            </wp:positionV>
            <wp:extent cx="8890" cy="825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-505460</wp:posOffset>
            </wp:positionV>
            <wp:extent cx="8255" cy="825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-505460</wp:posOffset>
            </wp:positionV>
            <wp:extent cx="8890" cy="825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1864995</wp:posOffset>
            </wp:positionH>
            <wp:positionV relativeFrom="paragraph">
              <wp:posOffset>-505460</wp:posOffset>
            </wp:positionV>
            <wp:extent cx="8890" cy="825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-505460</wp:posOffset>
            </wp:positionV>
            <wp:extent cx="8890" cy="825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-505460</wp:posOffset>
            </wp:positionV>
            <wp:extent cx="8890" cy="825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1916430</wp:posOffset>
            </wp:positionH>
            <wp:positionV relativeFrom="paragraph">
              <wp:posOffset>-505460</wp:posOffset>
            </wp:positionV>
            <wp:extent cx="8255" cy="825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-505460</wp:posOffset>
            </wp:positionV>
            <wp:extent cx="8890" cy="825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1950720</wp:posOffset>
            </wp:positionH>
            <wp:positionV relativeFrom="paragraph">
              <wp:posOffset>-505460</wp:posOffset>
            </wp:positionV>
            <wp:extent cx="8890" cy="825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-505460</wp:posOffset>
            </wp:positionV>
            <wp:extent cx="8890" cy="825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1985010</wp:posOffset>
            </wp:positionH>
            <wp:positionV relativeFrom="paragraph">
              <wp:posOffset>-505460</wp:posOffset>
            </wp:positionV>
            <wp:extent cx="8890" cy="825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-505460</wp:posOffset>
            </wp:positionV>
            <wp:extent cx="8255" cy="825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2019300</wp:posOffset>
            </wp:positionH>
            <wp:positionV relativeFrom="paragraph">
              <wp:posOffset>-505460</wp:posOffset>
            </wp:positionV>
            <wp:extent cx="8890" cy="825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2036445</wp:posOffset>
            </wp:positionH>
            <wp:positionV relativeFrom="paragraph">
              <wp:posOffset>-505460</wp:posOffset>
            </wp:positionV>
            <wp:extent cx="8890" cy="825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-505460</wp:posOffset>
            </wp:positionV>
            <wp:extent cx="8890" cy="825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-505460</wp:posOffset>
            </wp:positionV>
            <wp:extent cx="8890" cy="825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-505460</wp:posOffset>
            </wp:positionV>
            <wp:extent cx="8890" cy="8255"/>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-505460</wp:posOffset>
            </wp:positionV>
            <wp:extent cx="8890" cy="8255"/>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-505460</wp:posOffset>
            </wp:positionV>
            <wp:extent cx="8255" cy="8255"/>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-505460</wp:posOffset>
            </wp:positionV>
            <wp:extent cx="8890" cy="825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-505460</wp:posOffset>
            </wp:positionV>
            <wp:extent cx="8890" cy="825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2173605</wp:posOffset>
            </wp:positionH>
            <wp:positionV relativeFrom="paragraph">
              <wp:posOffset>-505460</wp:posOffset>
            </wp:positionV>
            <wp:extent cx="8890" cy="825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-505460</wp:posOffset>
            </wp:positionV>
            <wp:extent cx="8890" cy="825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-505460</wp:posOffset>
            </wp:positionV>
            <wp:extent cx="8255" cy="825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-505460</wp:posOffset>
            </wp:positionV>
            <wp:extent cx="8890" cy="8255"/>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-505460</wp:posOffset>
            </wp:positionV>
            <wp:extent cx="8890" cy="8255"/>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-505460</wp:posOffset>
            </wp:positionV>
            <wp:extent cx="8890" cy="8255"/>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-505460</wp:posOffset>
            </wp:positionV>
            <wp:extent cx="8890" cy="825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2293620</wp:posOffset>
            </wp:positionH>
            <wp:positionV relativeFrom="paragraph">
              <wp:posOffset>-505460</wp:posOffset>
            </wp:positionV>
            <wp:extent cx="8255" cy="825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-505460</wp:posOffset>
            </wp:positionV>
            <wp:extent cx="8890" cy="825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-505460</wp:posOffset>
            </wp:positionV>
            <wp:extent cx="8890" cy="825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-505460</wp:posOffset>
            </wp:positionV>
            <wp:extent cx="8890" cy="8255"/>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-505460</wp:posOffset>
            </wp:positionV>
            <wp:extent cx="8890" cy="8255"/>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-505460</wp:posOffset>
            </wp:positionV>
            <wp:extent cx="8255" cy="825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-505460</wp:posOffset>
            </wp:positionV>
            <wp:extent cx="8890" cy="8255"/>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-505460</wp:posOffset>
            </wp:positionV>
            <wp:extent cx="8890" cy="8255"/>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-505460</wp:posOffset>
            </wp:positionV>
            <wp:extent cx="8890" cy="8255"/>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-505460</wp:posOffset>
            </wp:positionV>
            <wp:extent cx="8890" cy="8255"/>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-505460</wp:posOffset>
            </wp:positionV>
            <wp:extent cx="8890" cy="825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-505460</wp:posOffset>
            </wp:positionV>
            <wp:extent cx="8890" cy="8255"/>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-505460</wp:posOffset>
            </wp:positionV>
            <wp:extent cx="4629150" cy="8255"/>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8890" cy="8255"/>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-342265</wp:posOffset>
            </wp:positionV>
            <wp:extent cx="8890" cy="8255"/>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-342265</wp:posOffset>
            </wp:positionV>
            <wp:extent cx="8255" cy="825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-342265</wp:posOffset>
            </wp:positionV>
            <wp:extent cx="8255" cy="8255"/>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-342265</wp:posOffset>
            </wp:positionV>
            <wp:extent cx="8890" cy="8255"/>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-342265</wp:posOffset>
            </wp:positionV>
            <wp:extent cx="8255" cy="8255"/>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-342265</wp:posOffset>
            </wp:positionV>
            <wp:extent cx="8255" cy="8255"/>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-342265</wp:posOffset>
            </wp:positionV>
            <wp:extent cx="8255" cy="825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-342265</wp:posOffset>
            </wp:positionV>
            <wp:extent cx="8255" cy="8255"/>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-342265</wp:posOffset>
            </wp:positionV>
            <wp:extent cx="8890" cy="8255"/>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-342265</wp:posOffset>
            </wp:positionV>
            <wp:extent cx="8255" cy="825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-342265</wp:posOffset>
            </wp:positionV>
            <wp:extent cx="8255" cy="825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-342265</wp:posOffset>
            </wp:positionV>
            <wp:extent cx="8255" cy="825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-342265</wp:posOffset>
            </wp:positionV>
            <wp:extent cx="8255" cy="8255"/>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-342265</wp:posOffset>
            </wp:positionV>
            <wp:extent cx="8255" cy="8255"/>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-342265</wp:posOffset>
            </wp:positionV>
            <wp:extent cx="8255" cy="8255"/>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-342265</wp:posOffset>
            </wp:positionV>
            <wp:extent cx="8255" cy="8255"/>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-342265</wp:posOffset>
            </wp:positionV>
            <wp:extent cx="8255" cy="8255"/>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-342265</wp:posOffset>
            </wp:positionV>
            <wp:extent cx="8255" cy="8255"/>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-342265</wp:posOffset>
            </wp:positionV>
            <wp:extent cx="8890" cy="8255"/>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-342265</wp:posOffset>
            </wp:positionV>
            <wp:extent cx="8255" cy="8255"/>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-342265</wp:posOffset>
            </wp:positionV>
            <wp:extent cx="8255" cy="8255"/>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-342265</wp:posOffset>
            </wp:positionV>
            <wp:extent cx="8890" cy="825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-342265</wp:posOffset>
            </wp:positionV>
            <wp:extent cx="8255" cy="8255"/>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-342265</wp:posOffset>
            </wp:positionV>
            <wp:extent cx="8255" cy="8255"/>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-342265</wp:posOffset>
            </wp:positionV>
            <wp:extent cx="8255" cy="8255"/>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-342265</wp:posOffset>
            </wp:positionV>
            <wp:extent cx="8255" cy="825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-342265</wp:posOffset>
            </wp:positionV>
            <wp:extent cx="8255" cy="8255"/>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-342265</wp:posOffset>
            </wp:positionV>
            <wp:extent cx="8255" cy="825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-342265</wp:posOffset>
            </wp:positionV>
            <wp:extent cx="8255" cy="8255"/>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-342265</wp:posOffset>
            </wp:positionV>
            <wp:extent cx="8255" cy="8255"/>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-342265</wp:posOffset>
            </wp:positionV>
            <wp:extent cx="8890" cy="8255"/>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-342265</wp:posOffset>
            </wp:positionV>
            <wp:extent cx="8890" cy="825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-342265</wp:posOffset>
            </wp:positionV>
            <wp:extent cx="8255" cy="8255"/>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-342265</wp:posOffset>
            </wp:positionV>
            <wp:extent cx="8255" cy="825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-342265</wp:posOffset>
            </wp:positionV>
            <wp:extent cx="8890" cy="8255"/>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-342265</wp:posOffset>
            </wp:positionV>
            <wp:extent cx="8890" cy="8255"/>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-342265</wp:posOffset>
            </wp:positionV>
            <wp:extent cx="8255" cy="8255"/>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-342265</wp:posOffset>
            </wp:positionV>
            <wp:extent cx="8255" cy="8255"/>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-342265</wp:posOffset>
            </wp:positionV>
            <wp:extent cx="8890" cy="8255"/>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-342265</wp:posOffset>
            </wp:positionV>
            <wp:extent cx="8890" cy="825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-342265</wp:posOffset>
            </wp:positionV>
            <wp:extent cx="8890" cy="8255"/>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-342265</wp:posOffset>
            </wp:positionV>
            <wp:extent cx="8890" cy="8255"/>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-342265</wp:posOffset>
            </wp:positionV>
            <wp:extent cx="8255" cy="8255"/>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-342265</wp:posOffset>
            </wp:positionV>
            <wp:extent cx="8255" cy="8255"/>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-342265</wp:posOffset>
            </wp:positionV>
            <wp:extent cx="8890" cy="8255"/>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-342265</wp:posOffset>
            </wp:positionV>
            <wp:extent cx="8890" cy="825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-342265</wp:posOffset>
            </wp:positionV>
            <wp:extent cx="8890" cy="8255"/>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-342265</wp:posOffset>
            </wp:positionV>
            <wp:extent cx="8255" cy="825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-342265</wp:posOffset>
            </wp:positionV>
            <wp:extent cx="8255" cy="8255"/>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-342265</wp:posOffset>
            </wp:positionV>
            <wp:extent cx="8890" cy="8255"/>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-342265</wp:posOffset>
            </wp:positionV>
            <wp:extent cx="8890" cy="8255"/>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-342265</wp:posOffset>
            </wp:positionV>
            <wp:extent cx="8890" cy="8255"/>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-342265</wp:posOffset>
            </wp:positionV>
            <wp:extent cx="8890" cy="8255"/>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-342265</wp:posOffset>
            </wp:positionV>
            <wp:extent cx="8255" cy="8255"/>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-342265</wp:posOffset>
            </wp:positionV>
            <wp:extent cx="8255" cy="8255"/>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-342265</wp:posOffset>
            </wp:positionV>
            <wp:extent cx="8890" cy="8255"/>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-342265</wp:posOffset>
            </wp:positionV>
            <wp:extent cx="8890" cy="8255"/>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-342265</wp:posOffset>
            </wp:positionV>
            <wp:extent cx="8890" cy="8255"/>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-342265</wp:posOffset>
            </wp:positionV>
            <wp:extent cx="8255" cy="8255"/>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-342265</wp:posOffset>
            </wp:positionV>
            <wp:extent cx="8890" cy="8255"/>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-342265</wp:posOffset>
            </wp:positionV>
            <wp:extent cx="8255" cy="8255"/>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-342265</wp:posOffset>
            </wp:positionV>
            <wp:extent cx="8255" cy="8255"/>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-342265</wp:posOffset>
            </wp:positionV>
            <wp:extent cx="8890" cy="8255"/>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-342265</wp:posOffset>
            </wp:positionV>
            <wp:extent cx="8255" cy="8255"/>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-342265</wp:posOffset>
            </wp:positionV>
            <wp:extent cx="8890" cy="8255"/>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-342265</wp:posOffset>
            </wp:positionV>
            <wp:extent cx="8890" cy="8255"/>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-342265</wp:posOffset>
            </wp:positionV>
            <wp:extent cx="8890" cy="8255"/>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-342265</wp:posOffset>
            </wp:positionV>
            <wp:extent cx="8255" cy="8255"/>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-342265</wp:posOffset>
            </wp:positionV>
            <wp:extent cx="8255" cy="8255"/>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-342265</wp:posOffset>
            </wp:positionV>
            <wp:extent cx="8255" cy="8255"/>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-342265</wp:posOffset>
            </wp:positionV>
            <wp:extent cx="8890" cy="8255"/>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-342265</wp:posOffset>
            </wp:positionV>
            <wp:extent cx="8890" cy="8255"/>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-342265</wp:posOffset>
            </wp:positionV>
            <wp:extent cx="8890" cy="8255"/>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-342265</wp:posOffset>
            </wp:positionV>
            <wp:extent cx="8255" cy="8255"/>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-342265</wp:posOffset>
            </wp:positionV>
            <wp:extent cx="8255" cy="8255"/>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-342265</wp:posOffset>
            </wp:positionV>
            <wp:extent cx="8890" cy="8255"/>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-342265</wp:posOffset>
            </wp:positionV>
            <wp:extent cx="8890" cy="8255"/>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-342265</wp:posOffset>
            </wp:positionV>
            <wp:extent cx="8890" cy="8255"/>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-342265</wp:posOffset>
            </wp:positionV>
            <wp:extent cx="8255" cy="8255"/>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-342265</wp:posOffset>
            </wp:positionV>
            <wp:extent cx="8890" cy="8255"/>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-342265</wp:posOffset>
            </wp:positionV>
            <wp:extent cx="8890" cy="8255"/>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-342265</wp:posOffset>
            </wp:positionV>
            <wp:extent cx="8255" cy="8255"/>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-342265</wp:posOffset>
            </wp:positionV>
            <wp:extent cx="8890" cy="8255"/>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-342265</wp:posOffset>
            </wp:positionV>
            <wp:extent cx="8890" cy="8255"/>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-342265</wp:posOffset>
            </wp:positionV>
            <wp:extent cx="8255" cy="8255"/>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-342265</wp:posOffset>
            </wp:positionV>
            <wp:extent cx="8890" cy="8255"/>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-342265</wp:posOffset>
            </wp:positionV>
            <wp:extent cx="8890" cy="8255"/>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-342265</wp:posOffset>
            </wp:positionV>
            <wp:extent cx="8890" cy="8255"/>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-342265</wp:posOffset>
            </wp:positionV>
            <wp:extent cx="8890" cy="8255"/>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-342265</wp:posOffset>
            </wp:positionV>
            <wp:extent cx="8255" cy="8255"/>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-342265</wp:posOffset>
            </wp:positionV>
            <wp:extent cx="8890" cy="8255"/>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-342265</wp:posOffset>
            </wp:positionV>
            <wp:extent cx="8890" cy="8255"/>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-342265</wp:posOffset>
            </wp:positionV>
            <wp:extent cx="8890" cy="8255"/>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-342265</wp:posOffset>
            </wp:positionV>
            <wp:extent cx="8890" cy="8255"/>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-342265</wp:posOffset>
            </wp:positionV>
            <wp:extent cx="8890" cy="8255"/>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-342265</wp:posOffset>
            </wp:positionV>
            <wp:extent cx="8890" cy="8255"/>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-342265</wp:posOffset>
            </wp:positionV>
            <wp:extent cx="8255" cy="8255"/>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-342265</wp:posOffset>
            </wp:positionV>
            <wp:extent cx="8890" cy="8255"/>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-342265</wp:posOffset>
            </wp:positionV>
            <wp:extent cx="8890" cy="8255"/>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-342265</wp:posOffset>
            </wp:positionV>
            <wp:extent cx="8890" cy="8255"/>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-342265</wp:posOffset>
            </wp:positionV>
            <wp:extent cx="8890" cy="8255"/>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-342265</wp:posOffset>
            </wp:positionV>
            <wp:extent cx="8255" cy="8255"/>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-342265</wp:posOffset>
            </wp:positionV>
            <wp:extent cx="8890" cy="8255"/>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-342265</wp:posOffset>
            </wp:positionV>
            <wp:extent cx="8890" cy="8255"/>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1813560</wp:posOffset>
            </wp:positionH>
            <wp:positionV relativeFrom="paragraph">
              <wp:posOffset>-342265</wp:posOffset>
            </wp:positionV>
            <wp:extent cx="8890" cy="8255"/>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-342265</wp:posOffset>
            </wp:positionV>
            <wp:extent cx="8255" cy="8255"/>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-342265</wp:posOffset>
            </wp:positionV>
            <wp:extent cx="8890" cy="8255"/>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1864995</wp:posOffset>
            </wp:positionH>
            <wp:positionV relativeFrom="paragraph">
              <wp:posOffset>-342265</wp:posOffset>
            </wp:positionV>
            <wp:extent cx="8890" cy="8255"/>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-342265</wp:posOffset>
            </wp:positionV>
            <wp:extent cx="8890" cy="8255"/>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-342265</wp:posOffset>
            </wp:positionV>
            <wp:extent cx="8890" cy="8255"/>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1916430</wp:posOffset>
            </wp:positionH>
            <wp:positionV relativeFrom="paragraph">
              <wp:posOffset>-342265</wp:posOffset>
            </wp:positionV>
            <wp:extent cx="8255" cy="8255"/>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-342265</wp:posOffset>
            </wp:positionV>
            <wp:extent cx="8890" cy="8255"/>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1950720</wp:posOffset>
            </wp:positionH>
            <wp:positionV relativeFrom="paragraph">
              <wp:posOffset>-342265</wp:posOffset>
            </wp:positionV>
            <wp:extent cx="8890" cy="8255"/>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-342265</wp:posOffset>
            </wp:positionV>
            <wp:extent cx="8890" cy="8255"/>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1985010</wp:posOffset>
            </wp:positionH>
            <wp:positionV relativeFrom="paragraph">
              <wp:posOffset>-342265</wp:posOffset>
            </wp:positionV>
            <wp:extent cx="8890" cy="8255"/>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-342265</wp:posOffset>
            </wp:positionV>
            <wp:extent cx="8255" cy="8255"/>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2019300</wp:posOffset>
            </wp:positionH>
            <wp:positionV relativeFrom="paragraph">
              <wp:posOffset>-342265</wp:posOffset>
            </wp:positionV>
            <wp:extent cx="8890" cy="8255"/>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2036445</wp:posOffset>
            </wp:positionH>
            <wp:positionV relativeFrom="paragraph">
              <wp:posOffset>-342265</wp:posOffset>
            </wp:positionV>
            <wp:extent cx="8890" cy="8255"/>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-342265</wp:posOffset>
            </wp:positionV>
            <wp:extent cx="8890" cy="8255"/>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-342265</wp:posOffset>
            </wp:positionV>
            <wp:extent cx="8890" cy="8255"/>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-342265</wp:posOffset>
            </wp:positionV>
            <wp:extent cx="8890" cy="8255"/>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-342265</wp:posOffset>
            </wp:positionV>
            <wp:extent cx="8890" cy="8255"/>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-342265</wp:posOffset>
            </wp:positionV>
            <wp:extent cx="8255" cy="8255"/>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-342265</wp:posOffset>
            </wp:positionV>
            <wp:extent cx="8890" cy="8255"/>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-342265</wp:posOffset>
            </wp:positionV>
            <wp:extent cx="8890" cy="8255"/>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2173605</wp:posOffset>
            </wp:positionH>
            <wp:positionV relativeFrom="paragraph">
              <wp:posOffset>-342265</wp:posOffset>
            </wp:positionV>
            <wp:extent cx="8890" cy="8255"/>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-342265</wp:posOffset>
            </wp:positionV>
            <wp:extent cx="8890" cy="8255"/>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-342265</wp:posOffset>
            </wp:positionV>
            <wp:extent cx="8255" cy="8255"/>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-342265</wp:posOffset>
            </wp:positionV>
            <wp:extent cx="8890" cy="8255"/>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-342265</wp:posOffset>
            </wp:positionV>
            <wp:extent cx="8890" cy="8255"/>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-342265</wp:posOffset>
            </wp:positionV>
            <wp:extent cx="8890" cy="8255"/>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-342265</wp:posOffset>
            </wp:positionV>
            <wp:extent cx="8890" cy="8255"/>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2293620</wp:posOffset>
            </wp:positionH>
            <wp:positionV relativeFrom="paragraph">
              <wp:posOffset>-342265</wp:posOffset>
            </wp:positionV>
            <wp:extent cx="8255" cy="8255"/>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-342265</wp:posOffset>
            </wp:positionV>
            <wp:extent cx="8890" cy="8255"/>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-342265</wp:posOffset>
            </wp:positionV>
            <wp:extent cx="8890" cy="8255"/>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-342265</wp:posOffset>
            </wp:positionV>
            <wp:extent cx="8890" cy="8255"/>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-342265</wp:posOffset>
            </wp:positionV>
            <wp:extent cx="8890" cy="8255"/>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-342265</wp:posOffset>
            </wp:positionV>
            <wp:extent cx="8255" cy="8255"/>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-342265</wp:posOffset>
            </wp:positionV>
            <wp:extent cx="8890" cy="8255"/>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-342265</wp:posOffset>
            </wp:positionV>
            <wp:extent cx="8890" cy="8255"/>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-342265</wp:posOffset>
            </wp:positionV>
            <wp:extent cx="8890" cy="8255"/>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-342265</wp:posOffset>
            </wp:positionV>
            <wp:extent cx="8890" cy="8255"/>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-342265</wp:posOffset>
            </wp:positionV>
            <wp:extent cx="8890" cy="8255"/>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-342265</wp:posOffset>
            </wp:positionV>
            <wp:extent cx="8890" cy="8255"/>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-342265</wp:posOffset>
            </wp:positionV>
            <wp:extent cx="4629150" cy="8255"/>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8890" cy="8255"/>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-179070</wp:posOffset>
            </wp:positionV>
            <wp:extent cx="8890" cy="8255"/>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-179070</wp:posOffset>
            </wp:positionV>
            <wp:extent cx="8255" cy="8255"/>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-179070</wp:posOffset>
            </wp:positionV>
            <wp:extent cx="8255" cy="8255"/>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-179070</wp:posOffset>
            </wp:positionV>
            <wp:extent cx="8890" cy="8255"/>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-179070</wp:posOffset>
            </wp:positionV>
            <wp:extent cx="8255" cy="8255"/>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-179070</wp:posOffset>
            </wp:positionV>
            <wp:extent cx="8255" cy="8255"/>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-179070</wp:posOffset>
            </wp:positionV>
            <wp:extent cx="8255" cy="8255"/>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-179070</wp:posOffset>
            </wp:positionV>
            <wp:extent cx="8255" cy="8255"/>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-179070</wp:posOffset>
            </wp:positionV>
            <wp:extent cx="8890" cy="8255"/>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-179070</wp:posOffset>
            </wp:positionV>
            <wp:extent cx="8255" cy="8255"/>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-179070</wp:posOffset>
            </wp:positionV>
            <wp:extent cx="8255" cy="8255"/>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-179070</wp:posOffset>
            </wp:positionV>
            <wp:extent cx="8255" cy="8255"/>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-179070</wp:posOffset>
            </wp:positionV>
            <wp:extent cx="8255" cy="8255"/>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-179070</wp:posOffset>
            </wp:positionV>
            <wp:extent cx="8255" cy="8255"/>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-179070</wp:posOffset>
            </wp:positionV>
            <wp:extent cx="8255" cy="8255"/>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-179070</wp:posOffset>
            </wp:positionV>
            <wp:extent cx="8255" cy="8255"/>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-179070</wp:posOffset>
            </wp:positionV>
            <wp:extent cx="8255" cy="8255"/>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-179070</wp:posOffset>
            </wp:positionV>
            <wp:extent cx="8255" cy="8255"/>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-179070</wp:posOffset>
            </wp:positionV>
            <wp:extent cx="8890" cy="8255"/>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-179070</wp:posOffset>
            </wp:positionV>
            <wp:extent cx="8255" cy="8255"/>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-179070</wp:posOffset>
            </wp:positionV>
            <wp:extent cx="8255" cy="8255"/>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-179070</wp:posOffset>
            </wp:positionV>
            <wp:extent cx="8890" cy="8255"/>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-179070</wp:posOffset>
            </wp:positionV>
            <wp:extent cx="8255" cy="8255"/>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-179070</wp:posOffset>
            </wp:positionV>
            <wp:extent cx="8255" cy="8255"/>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-179070</wp:posOffset>
            </wp:positionV>
            <wp:extent cx="8255" cy="8255"/>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-179070</wp:posOffset>
            </wp:positionV>
            <wp:extent cx="8255" cy="8255"/>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-179070</wp:posOffset>
            </wp:positionV>
            <wp:extent cx="8255" cy="8255"/>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-179070</wp:posOffset>
            </wp:positionV>
            <wp:extent cx="8255" cy="8255"/>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-179070</wp:posOffset>
            </wp:positionV>
            <wp:extent cx="8255" cy="8255"/>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-179070</wp:posOffset>
            </wp:positionV>
            <wp:extent cx="8255" cy="8255"/>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-179070</wp:posOffset>
            </wp:positionV>
            <wp:extent cx="8890" cy="8255"/>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-179070</wp:posOffset>
            </wp:positionV>
            <wp:extent cx="8890" cy="8255"/>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-179070</wp:posOffset>
            </wp:positionV>
            <wp:extent cx="8255" cy="8255"/>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-179070</wp:posOffset>
            </wp:positionV>
            <wp:extent cx="8255" cy="8255"/>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-179070</wp:posOffset>
            </wp:positionV>
            <wp:extent cx="8890" cy="8255"/>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-179070</wp:posOffset>
            </wp:positionV>
            <wp:extent cx="8890" cy="8255"/>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-179070</wp:posOffset>
            </wp:positionV>
            <wp:extent cx="8255" cy="8255"/>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-179070</wp:posOffset>
            </wp:positionV>
            <wp:extent cx="8255" cy="8255"/>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-179070</wp:posOffset>
            </wp:positionV>
            <wp:extent cx="8890" cy="8255"/>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-179070</wp:posOffset>
            </wp:positionV>
            <wp:extent cx="8890" cy="8255"/>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-179070</wp:posOffset>
            </wp:positionV>
            <wp:extent cx="8890" cy="8255"/>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-179070</wp:posOffset>
            </wp:positionV>
            <wp:extent cx="8890" cy="8255"/>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-179070</wp:posOffset>
            </wp:positionV>
            <wp:extent cx="8255" cy="8255"/>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-179070</wp:posOffset>
            </wp:positionV>
            <wp:extent cx="8255" cy="8255"/>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-179070</wp:posOffset>
            </wp:positionV>
            <wp:extent cx="8890" cy="8255"/>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-179070</wp:posOffset>
            </wp:positionV>
            <wp:extent cx="8890" cy="8255"/>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-179070</wp:posOffset>
            </wp:positionV>
            <wp:extent cx="8890" cy="8255"/>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-179070</wp:posOffset>
            </wp:positionV>
            <wp:extent cx="8255" cy="8255"/>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-179070</wp:posOffset>
            </wp:positionV>
            <wp:extent cx="8255" cy="8255"/>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-179070</wp:posOffset>
            </wp:positionV>
            <wp:extent cx="8890" cy="8255"/>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-179070</wp:posOffset>
            </wp:positionV>
            <wp:extent cx="8890" cy="8255"/>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-179070</wp:posOffset>
            </wp:positionV>
            <wp:extent cx="8890" cy="8255"/>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-179070</wp:posOffset>
            </wp:positionV>
            <wp:extent cx="8890" cy="8255"/>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-179070</wp:posOffset>
            </wp:positionV>
            <wp:extent cx="8255" cy="8255"/>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-179070</wp:posOffset>
            </wp:positionV>
            <wp:extent cx="8255" cy="8255"/>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-179070</wp:posOffset>
            </wp:positionV>
            <wp:extent cx="8890" cy="8255"/>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-179070</wp:posOffset>
            </wp:positionV>
            <wp:extent cx="8890" cy="8255"/>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-179070</wp:posOffset>
            </wp:positionV>
            <wp:extent cx="8890" cy="8255"/>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-179070</wp:posOffset>
            </wp:positionV>
            <wp:extent cx="8255" cy="8255"/>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-179070</wp:posOffset>
            </wp:positionV>
            <wp:extent cx="8890" cy="8255"/>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-179070</wp:posOffset>
            </wp:positionV>
            <wp:extent cx="8255" cy="8255"/>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-179070</wp:posOffset>
            </wp:positionV>
            <wp:extent cx="8255" cy="8255"/>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-179070</wp:posOffset>
            </wp:positionV>
            <wp:extent cx="8890" cy="8255"/>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-179070</wp:posOffset>
            </wp:positionV>
            <wp:extent cx="8255" cy="8255"/>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-179070</wp:posOffset>
            </wp:positionV>
            <wp:extent cx="8890" cy="8255"/>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-179070</wp:posOffset>
            </wp:positionV>
            <wp:extent cx="8890" cy="8255"/>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-179070</wp:posOffset>
            </wp:positionV>
            <wp:extent cx="8890" cy="8255"/>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-179070</wp:posOffset>
            </wp:positionV>
            <wp:extent cx="8255" cy="8255"/>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-179070</wp:posOffset>
            </wp:positionV>
            <wp:extent cx="8255" cy="8255"/>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-179070</wp:posOffset>
            </wp:positionV>
            <wp:extent cx="8255" cy="8255"/>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-179070</wp:posOffset>
            </wp:positionV>
            <wp:extent cx="8890" cy="8255"/>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-179070</wp:posOffset>
            </wp:positionV>
            <wp:extent cx="8890" cy="8255"/>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-179070</wp:posOffset>
            </wp:positionV>
            <wp:extent cx="8890" cy="8255"/>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-179070</wp:posOffset>
            </wp:positionV>
            <wp:extent cx="8255" cy="8255"/>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-179070</wp:posOffset>
            </wp:positionV>
            <wp:extent cx="8255" cy="8255"/>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-179070</wp:posOffset>
            </wp:positionV>
            <wp:extent cx="8890" cy="8255"/>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-179070</wp:posOffset>
            </wp:positionV>
            <wp:extent cx="8890" cy="8255"/>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-179070</wp:posOffset>
            </wp:positionV>
            <wp:extent cx="8890" cy="8255"/>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-179070</wp:posOffset>
            </wp:positionV>
            <wp:extent cx="8255" cy="8255"/>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-179070</wp:posOffset>
            </wp:positionV>
            <wp:extent cx="8890" cy="8255"/>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-179070</wp:posOffset>
            </wp:positionV>
            <wp:extent cx="8890" cy="8255"/>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-179070</wp:posOffset>
            </wp:positionV>
            <wp:extent cx="8255" cy="8255"/>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-179070</wp:posOffset>
            </wp:positionV>
            <wp:extent cx="8890" cy="8255"/>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-179070</wp:posOffset>
            </wp:positionV>
            <wp:extent cx="8890" cy="8255"/>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-179070</wp:posOffset>
            </wp:positionV>
            <wp:extent cx="8255" cy="8255"/>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-179070</wp:posOffset>
            </wp:positionV>
            <wp:extent cx="8890" cy="8255"/>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-179070</wp:posOffset>
            </wp:positionV>
            <wp:extent cx="8890" cy="8255"/>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-179070</wp:posOffset>
            </wp:positionV>
            <wp:extent cx="8890" cy="8255"/>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-179070</wp:posOffset>
            </wp:positionV>
            <wp:extent cx="8890" cy="8255"/>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-179070</wp:posOffset>
            </wp:positionV>
            <wp:extent cx="8255" cy="8255"/>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-179070</wp:posOffset>
            </wp:positionV>
            <wp:extent cx="8890" cy="8255"/>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-179070</wp:posOffset>
            </wp:positionV>
            <wp:extent cx="8890" cy="8255"/>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-179070</wp:posOffset>
            </wp:positionV>
            <wp:extent cx="8890" cy="8255"/>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-179070</wp:posOffset>
            </wp:positionV>
            <wp:extent cx="8890" cy="8255"/>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-179070</wp:posOffset>
            </wp:positionV>
            <wp:extent cx="8890" cy="8255"/>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-179070</wp:posOffset>
            </wp:positionV>
            <wp:extent cx="8890" cy="8255"/>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-179070</wp:posOffset>
            </wp:positionV>
            <wp:extent cx="8255" cy="8255"/>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-179070</wp:posOffset>
            </wp:positionV>
            <wp:extent cx="8890" cy="8255"/>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-179070</wp:posOffset>
            </wp:positionV>
            <wp:extent cx="8890" cy="8255"/>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-179070</wp:posOffset>
            </wp:positionV>
            <wp:extent cx="8890" cy="8255"/>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-179070</wp:posOffset>
            </wp:positionV>
            <wp:extent cx="8890" cy="8255"/>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-179070</wp:posOffset>
            </wp:positionV>
            <wp:extent cx="8255" cy="8255"/>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-179070</wp:posOffset>
            </wp:positionV>
            <wp:extent cx="8890" cy="8255"/>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-179070</wp:posOffset>
            </wp:positionV>
            <wp:extent cx="8890" cy="8255"/>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1813560</wp:posOffset>
            </wp:positionH>
            <wp:positionV relativeFrom="paragraph">
              <wp:posOffset>-179070</wp:posOffset>
            </wp:positionV>
            <wp:extent cx="8890" cy="8255"/>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-179070</wp:posOffset>
            </wp:positionV>
            <wp:extent cx="8255" cy="8255"/>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-179070</wp:posOffset>
            </wp:positionV>
            <wp:extent cx="8890" cy="8255"/>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1864995</wp:posOffset>
            </wp:positionH>
            <wp:positionV relativeFrom="paragraph">
              <wp:posOffset>-179070</wp:posOffset>
            </wp:positionV>
            <wp:extent cx="8890" cy="8255"/>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-179070</wp:posOffset>
            </wp:positionV>
            <wp:extent cx="8890" cy="8255"/>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-179070</wp:posOffset>
            </wp:positionV>
            <wp:extent cx="8890" cy="8255"/>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1916430</wp:posOffset>
            </wp:positionH>
            <wp:positionV relativeFrom="paragraph">
              <wp:posOffset>-179070</wp:posOffset>
            </wp:positionV>
            <wp:extent cx="8255" cy="8255"/>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-179070</wp:posOffset>
            </wp:positionV>
            <wp:extent cx="8890" cy="8255"/>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1950720</wp:posOffset>
            </wp:positionH>
            <wp:positionV relativeFrom="paragraph">
              <wp:posOffset>-179070</wp:posOffset>
            </wp:positionV>
            <wp:extent cx="8890" cy="8255"/>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-179070</wp:posOffset>
            </wp:positionV>
            <wp:extent cx="8890" cy="8255"/>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1985010</wp:posOffset>
            </wp:positionH>
            <wp:positionV relativeFrom="paragraph">
              <wp:posOffset>-179070</wp:posOffset>
            </wp:positionV>
            <wp:extent cx="8890" cy="8255"/>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-179070</wp:posOffset>
            </wp:positionV>
            <wp:extent cx="8255" cy="8255"/>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2019300</wp:posOffset>
            </wp:positionH>
            <wp:positionV relativeFrom="paragraph">
              <wp:posOffset>-179070</wp:posOffset>
            </wp:positionV>
            <wp:extent cx="8890" cy="8255"/>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2036445</wp:posOffset>
            </wp:positionH>
            <wp:positionV relativeFrom="paragraph">
              <wp:posOffset>-179070</wp:posOffset>
            </wp:positionV>
            <wp:extent cx="8890" cy="8255"/>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-179070</wp:posOffset>
            </wp:positionV>
            <wp:extent cx="8890" cy="8255"/>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-179070</wp:posOffset>
            </wp:positionV>
            <wp:extent cx="8890" cy="8255"/>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-179070</wp:posOffset>
            </wp:positionV>
            <wp:extent cx="8890" cy="8255"/>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-179070</wp:posOffset>
            </wp:positionV>
            <wp:extent cx="8890" cy="8255"/>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-179070</wp:posOffset>
            </wp:positionV>
            <wp:extent cx="8255" cy="8255"/>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-179070</wp:posOffset>
            </wp:positionV>
            <wp:extent cx="8890" cy="8255"/>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-179070</wp:posOffset>
            </wp:positionV>
            <wp:extent cx="8890" cy="8255"/>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2173605</wp:posOffset>
            </wp:positionH>
            <wp:positionV relativeFrom="paragraph">
              <wp:posOffset>-179070</wp:posOffset>
            </wp:positionV>
            <wp:extent cx="8890" cy="8255"/>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-179070</wp:posOffset>
            </wp:positionV>
            <wp:extent cx="8890" cy="8255"/>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-179070</wp:posOffset>
            </wp:positionV>
            <wp:extent cx="8255" cy="8255"/>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-179070</wp:posOffset>
            </wp:positionV>
            <wp:extent cx="8890" cy="8255"/>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-179070</wp:posOffset>
            </wp:positionV>
            <wp:extent cx="8890" cy="8255"/>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-179070</wp:posOffset>
            </wp:positionV>
            <wp:extent cx="8890" cy="8255"/>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-179070</wp:posOffset>
            </wp:positionV>
            <wp:extent cx="8890" cy="8255"/>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2293620</wp:posOffset>
            </wp:positionH>
            <wp:positionV relativeFrom="paragraph">
              <wp:posOffset>-179070</wp:posOffset>
            </wp:positionV>
            <wp:extent cx="8255" cy="8255"/>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-179070</wp:posOffset>
            </wp:positionV>
            <wp:extent cx="8890" cy="8255"/>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-179070</wp:posOffset>
            </wp:positionV>
            <wp:extent cx="8890" cy="8255"/>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-179070</wp:posOffset>
            </wp:positionV>
            <wp:extent cx="8890" cy="8255"/>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-179070</wp:posOffset>
            </wp:positionV>
            <wp:extent cx="8890" cy="8255"/>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-179070</wp:posOffset>
            </wp:positionV>
            <wp:extent cx="8255" cy="8255"/>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-179070</wp:posOffset>
            </wp:positionV>
            <wp:extent cx="8890" cy="8255"/>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-179070</wp:posOffset>
            </wp:positionV>
            <wp:extent cx="8890" cy="8255"/>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-179070</wp:posOffset>
            </wp:positionV>
            <wp:extent cx="8890" cy="8255"/>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-179070</wp:posOffset>
            </wp:positionV>
            <wp:extent cx="8890" cy="8255"/>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-179070</wp:posOffset>
            </wp:positionV>
            <wp:extent cx="8890" cy="8255"/>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-179070</wp:posOffset>
            </wp:positionV>
            <wp:extent cx="8890" cy="8255"/>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-179070</wp:posOffset>
            </wp:positionV>
            <wp:extent cx="4629150" cy="8255"/>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4629150" cy="8255"/>
                    </a:xfrm>
                    <a:prstGeom prst="rect">
                      <a:avLst/>
                    </a:prstGeom>
                    <a:noFill/>
                  </pic:spPr>
                </pic:pic>
              </a:graphicData>
            </a:graphic>
          </wp:anchor>
        </w:drawing>
      </w:r>
    </w:p>
    <w:p>
      <w:pPr>
        <w:spacing w:after="0" w:line="65"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For free cash flow results between any two performance targets, payout is prorated. No cash incentive is earned if we do not achieve the minimum free cash flow target.</w:t>
      </w:r>
    </w:p>
    <w:p>
      <w:pPr>
        <w:spacing w:after="0" w:line="185" w:lineRule="exact"/>
        <w:rPr>
          <w:sz w:val="20"/>
          <w:szCs w:val="20"/>
          <w:color w:val="auto"/>
        </w:rPr>
      </w:pPr>
    </w:p>
    <w:p>
      <w:pPr>
        <w:jc w:val="both"/>
        <w:ind w:firstLine="180"/>
        <w:spacing w:after="0" w:line="266" w:lineRule="auto"/>
        <w:rPr>
          <w:sz w:val="20"/>
          <w:szCs w:val="20"/>
          <w:color w:val="auto"/>
        </w:rPr>
      </w:pPr>
      <w:r>
        <w:rPr>
          <w:rFonts w:ascii="Arial" w:cs="Arial" w:eastAsia="Arial" w:hAnsi="Arial"/>
          <w:sz w:val="16"/>
          <w:szCs w:val="16"/>
          <w:color w:val="auto"/>
        </w:rPr>
        <w:t xml:space="preserve">In 2023, SLB delivered </w:t>
      </w:r>
      <w:r>
        <w:rPr>
          <w:rFonts w:ascii="Arial" w:cs="Arial" w:eastAsia="Arial" w:hAnsi="Arial"/>
          <w:sz w:val="16"/>
          <w:szCs w:val="16"/>
          <w:b w:val="1"/>
          <w:bCs w:val="1"/>
          <w:color w:val="0233A1"/>
        </w:rPr>
        <w:t>$4.038 billion</w:t>
      </w:r>
      <w:r>
        <w:rPr>
          <w:rFonts w:ascii="Arial" w:cs="Arial" w:eastAsia="Arial" w:hAnsi="Arial"/>
          <w:sz w:val="16"/>
          <w:szCs w:val="16"/>
          <w:color w:val="auto"/>
        </w:rPr>
        <w:t xml:space="preserve"> of free cash flow—a 185% increase over 2022. This exceptional free cash flow result allowed us to return $2.0 billion to shareholders in 2023 through dividends and stock repurchases. We also reduced our gross debt by $261 million and net debt by $1.4 billion, and ended the year with a net-debt-to-adjusted-EBITDA ratio of 1.0x—our lowest level since 2016.</w:t>
      </w:r>
    </w:p>
    <w:p>
      <w:pPr>
        <w:spacing w:after="0" w:line="144" w:lineRule="exact"/>
        <w:rPr>
          <w:sz w:val="20"/>
          <w:szCs w:val="20"/>
          <w:color w:val="auto"/>
        </w:rPr>
      </w:pPr>
    </w:p>
    <w:p>
      <w:pPr>
        <w:jc w:val="both"/>
        <w:ind w:right="20" w:firstLine="180"/>
        <w:spacing w:after="0" w:line="286" w:lineRule="auto"/>
        <w:rPr>
          <w:sz w:val="20"/>
          <w:szCs w:val="20"/>
          <w:color w:val="auto"/>
        </w:rPr>
      </w:pPr>
      <w:r>
        <w:rPr>
          <w:rFonts w:ascii="Arial" w:cs="Arial" w:eastAsia="Arial" w:hAnsi="Arial"/>
          <w:sz w:val="16"/>
          <w:szCs w:val="16"/>
          <w:color w:val="auto"/>
        </w:rPr>
        <w:t>Based on SLB’s 2023 free cash flow, our Compensation Committee approved a payout of 243% of target for the free cash flow component of our 2023 STI plan.</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Quantitative Company Non-Financial Objectives</w:t>
      </w:r>
    </w:p>
    <w:p>
      <w:pPr>
        <w:spacing w:after="0" w:line="193" w:lineRule="exact"/>
        <w:rPr>
          <w:sz w:val="20"/>
          <w:szCs w:val="20"/>
          <w:color w:val="auto"/>
        </w:rPr>
      </w:pPr>
    </w:p>
    <w:p>
      <w:pPr>
        <w:jc w:val="both"/>
        <w:ind w:firstLine="180"/>
        <w:spacing w:after="0" w:line="286" w:lineRule="auto"/>
        <w:rPr>
          <w:sz w:val="20"/>
          <w:szCs w:val="20"/>
          <w:color w:val="auto"/>
        </w:rPr>
      </w:pPr>
      <w:r>
        <w:rPr>
          <w:rFonts w:ascii="Arial" w:cs="Arial" w:eastAsia="Arial" w:hAnsi="Arial"/>
          <w:sz w:val="16"/>
          <w:szCs w:val="16"/>
          <w:color w:val="auto"/>
        </w:rPr>
        <w:t>For 2023, our Compensation Committee incorporated into our STI plan a new quantitative component focused on reducing our Scope 3 emissions intensity and improving gender diversity in our workforce, to align our executives’ annual compensation with SLB’s non-financial strategic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248285"/>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7132320" cy="24828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209" w:lineRule="exact"/>
        <w:rPr>
          <w:sz w:val="20"/>
          <w:szCs w:val="20"/>
          <w:color w:val="auto"/>
        </w:rPr>
      </w:pPr>
    </w:p>
    <w:p>
      <w:pPr>
        <w:ind w:left="3780"/>
        <w:spacing w:after="0"/>
        <w:rPr>
          <w:sz w:val="20"/>
          <w:szCs w:val="20"/>
          <w:color w:val="auto"/>
        </w:rPr>
      </w:pPr>
      <w:r>
        <w:rPr>
          <w:rFonts w:ascii="Arial" w:cs="Arial" w:eastAsia="Arial" w:hAnsi="Arial"/>
          <w:sz w:val="16"/>
          <w:szCs w:val="16"/>
          <w:b w:val="1"/>
          <w:bCs w:val="1"/>
          <w:color w:val="FFFFFF"/>
        </w:rPr>
        <w:t>Emissions Intensity</w:t>
      </w:r>
      <w:r>
        <w:rPr>
          <w:rFonts w:ascii="Arial" w:cs="Arial" w:eastAsia="Arial" w:hAnsi="Arial"/>
          <w:sz w:val="26"/>
          <w:szCs w:val="26"/>
          <w:b w:val="1"/>
          <w:bCs w:val="1"/>
          <w:color w:val="FFFFFF"/>
          <w:vertAlign w:val="superscript"/>
        </w:rPr>
        <w:t>(1)</w:t>
      </w:r>
    </w:p>
    <w:p>
      <w:pPr>
        <w:spacing w:after="0" w:line="55" w:lineRule="exact"/>
        <w:rPr>
          <w:sz w:val="20"/>
          <w:szCs w:val="20"/>
          <w:color w:val="auto"/>
        </w:rPr>
      </w:pPr>
    </w:p>
    <w:p>
      <w:pPr>
        <w:jc w:val="both"/>
        <w:ind w:left="2500" w:hanging="2429"/>
        <w:spacing w:after="0" w:line="256" w:lineRule="auto"/>
        <w:tabs>
          <w:tab w:leader="none" w:pos="2480" w:val="left"/>
        </w:tabs>
        <w:rPr>
          <w:sz w:val="20"/>
          <w:szCs w:val="20"/>
          <w:color w:val="auto"/>
        </w:rPr>
      </w:pPr>
      <w:r>
        <w:rPr>
          <w:rFonts w:ascii="Arial" w:cs="Arial" w:eastAsia="Arial" w:hAnsi="Arial"/>
          <w:sz w:val="16"/>
          <w:szCs w:val="16"/>
          <w:b w:val="1"/>
          <w:bCs w:val="1"/>
          <w:color w:val="0233A1"/>
        </w:rPr>
        <w:t>Why this metric?</w:t>
      </w:r>
      <w:r>
        <w:rPr>
          <w:sz w:val="20"/>
          <w:szCs w:val="20"/>
          <w:color w:val="auto"/>
        </w:rPr>
        <w:tab/>
      </w:r>
      <w:r>
        <w:rPr>
          <w:rFonts w:ascii="Arial" w:cs="Arial" w:eastAsia="Arial" w:hAnsi="Arial"/>
          <w:sz w:val="16"/>
          <w:szCs w:val="16"/>
          <w:color w:val="auto"/>
        </w:rPr>
        <w:t>For 2023, the Committee selected a Scope 3 emissions intensity metric for our NEOs’ STI plan, in support of SLB’s 2050 net zero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481965</wp:posOffset>
            </wp:positionV>
            <wp:extent cx="4354830" cy="8255"/>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43548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60"/>
        <w:spacing w:after="0"/>
        <w:tabs>
          <w:tab w:leader="none" w:pos="2480" w:val="left"/>
        </w:tabs>
        <w:rPr>
          <w:sz w:val="20"/>
          <w:szCs w:val="20"/>
          <w:color w:val="auto"/>
        </w:rPr>
      </w:pPr>
      <w:r>
        <w:rPr>
          <w:rFonts w:ascii="Arial" w:cs="Arial" w:eastAsia="Arial" w:hAnsi="Arial"/>
          <w:sz w:val="16"/>
          <w:szCs w:val="16"/>
          <w:b w:val="1"/>
          <w:bCs w:val="1"/>
          <w:color w:val="0233A1"/>
        </w:rPr>
        <w:t>2023 objective</w:t>
      </w:r>
      <w:r>
        <w:rPr>
          <w:sz w:val="20"/>
          <w:szCs w:val="20"/>
          <w:color w:val="auto"/>
        </w:rPr>
        <w:tab/>
      </w:r>
      <w:r>
        <w:rPr>
          <w:rFonts w:ascii="Arial" w:cs="Arial" w:eastAsia="Arial" w:hAnsi="Arial"/>
          <w:sz w:val="16"/>
          <w:szCs w:val="16"/>
          <w:color w:val="auto"/>
        </w:rPr>
        <w:t>Reduce Scope 3 emissions intensity by 7% year on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4354830" cy="8255"/>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4354830" cy="8255"/>
                    </a:xfrm>
                    <a:prstGeom prst="rect">
                      <a:avLst/>
                    </a:prstGeom>
                    <a:noFill/>
                  </pic:spPr>
                </pic:pic>
              </a:graphicData>
            </a:graphic>
          </wp:anchor>
        </w:drawing>
      </w:r>
    </w:p>
    <w:p>
      <w:pPr>
        <w:spacing w:after="0" w:line="242" w:lineRule="exact"/>
        <w:rPr>
          <w:sz w:val="20"/>
          <w:szCs w:val="20"/>
          <w:color w:val="auto"/>
        </w:rPr>
      </w:pPr>
    </w:p>
    <w:p>
      <w:pPr>
        <w:ind w:left="60"/>
        <w:spacing w:after="0"/>
        <w:tabs>
          <w:tab w:leader="none" w:pos="2480" w:val="left"/>
        </w:tabs>
        <w:rPr>
          <w:sz w:val="20"/>
          <w:szCs w:val="20"/>
          <w:color w:val="auto"/>
        </w:rPr>
      </w:pPr>
      <w:r>
        <w:rPr>
          <w:rFonts w:ascii="Arial" w:cs="Arial" w:eastAsia="Arial" w:hAnsi="Arial"/>
          <w:sz w:val="16"/>
          <w:szCs w:val="16"/>
          <w:b w:val="1"/>
          <w:bCs w:val="1"/>
          <w:color w:val="0233A1"/>
        </w:rPr>
        <w:t>2023 achievements and</w:t>
      </w:r>
      <w:r>
        <w:rPr>
          <w:sz w:val="20"/>
          <w:szCs w:val="20"/>
          <w:color w:val="auto"/>
        </w:rPr>
        <w:tab/>
      </w:r>
      <w:r>
        <w:rPr>
          <w:rFonts w:ascii="Arial" w:cs="Arial" w:eastAsia="Arial" w:hAnsi="Arial"/>
          <w:sz w:val="16"/>
          <w:szCs w:val="16"/>
          <w:color w:val="auto"/>
        </w:rPr>
        <w:t>We achieved a 13% year-on-year reduction in Scope 3</w:t>
      </w:r>
    </w:p>
    <w:p>
      <w:pPr>
        <w:spacing w:after="0" w:line="21" w:lineRule="exact"/>
        <w:rPr>
          <w:sz w:val="20"/>
          <w:szCs w:val="20"/>
          <w:color w:val="auto"/>
        </w:rPr>
      </w:pPr>
    </w:p>
    <w:p>
      <w:pPr>
        <w:jc w:val="both"/>
        <w:ind w:left="2500" w:hanging="2429"/>
        <w:spacing w:after="0" w:line="265" w:lineRule="auto"/>
        <w:tabs>
          <w:tab w:leader="none" w:pos="2480" w:val="left"/>
        </w:tabs>
        <w:rPr>
          <w:sz w:val="20"/>
          <w:szCs w:val="20"/>
          <w:color w:val="auto"/>
        </w:rPr>
      </w:pPr>
      <w:r>
        <w:rPr>
          <w:rFonts w:ascii="Arial" w:cs="Arial" w:eastAsia="Arial" w:hAnsi="Arial"/>
          <w:sz w:val="16"/>
          <w:szCs w:val="16"/>
          <w:b w:val="1"/>
          <w:bCs w:val="1"/>
          <w:color w:val="0233A1"/>
        </w:rPr>
        <w:t>incentive payout</w:t>
      </w:r>
      <w:r>
        <w:rPr>
          <w:sz w:val="20"/>
          <w:szCs w:val="20"/>
          <w:color w:val="auto"/>
        </w:rPr>
        <w:tab/>
      </w:r>
      <w:r>
        <w:rPr>
          <w:rFonts w:ascii="Arial" w:cs="Arial" w:eastAsia="Arial" w:hAnsi="Arial"/>
          <w:sz w:val="16"/>
          <w:szCs w:val="16"/>
          <w:color w:val="auto"/>
        </w:rPr>
        <w:t>emissions intensity. As a result, our NEOs earned a payout of 100% under this component of our 2023 STI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7145"/>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FFFFFF"/>
        </w:rPr>
        <w:t>Gender Diversity</w:t>
      </w:r>
      <w:r>
        <w:rPr>
          <w:rFonts w:ascii="Arial" w:cs="Arial" w:eastAsia="Arial" w:hAnsi="Arial"/>
          <w:sz w:val="26"/>
          <w:szCs w:val="26"/>
          <w:b w:val="1"/>
          <w:bCs w:val="1"/>
          <w:color w:val="FFFFFF"/>
          <w:vertAlign w:val="superscript"/>
        </w:rPr>
        <w:t>(2)(3)</w:t>
      </w:r>
    </w:p>
    <w:p>
      <w:pPr>
        <w:spacing w:after="0" w:line="55" w:lineRule="exact"/>
        <w:rPr>
          <w:sz w:val="20"/>
          <w:szCs w:val="20"/>
          <w:color w:val="auto"/>
        </w:rPr>
      </w:pPr>
    </w:p>
    <w:p>
      <w:pPr>
        <w:jc w:val="both"/>
        <w:ind w:right="60"/>
        <w:spacing w:after="0" w:line="249" w:lineRule="auto"/>
        <w:rPr>
          <w:sz w:val="20"/>
          <w:szCs w:val="20"/>
          <w:color w:val="auto"/>
        </w:rPr>
      </w:pPr>
      <w:r>
        <w:rPr>
          <w:rFonts w:ascii="Arial" w:cs="Arial" w:eastAsia="Arial" w:hAnsi="Arial"/>
          <w:sz w:val="16"/>
          <w:szCs w:val="16"/>
          <w:color w:val="auto"/>
        </w:rPr>
        <w:t>SLB recognizes the importance of gender diversity as a source of creativity, innovation, and competitive advantage, and is committed to leading our industry in this area. For 2023, the Committee incorporated a gender diversity metric into our NEOs’ STI plan, in support of SLB’s targets to have women represent 25% of our salaried workforce by 2025 and 30% by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7620</wp:posOffset>
            </wp:positionV>
            <wp:extent cx="2768600" cy="8255"/>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8" w:lineRule="exact"/>
        <w:rPr>
          <w:sz w:val="20"/>
          <w:szCs w:val="20"/>
          <w:color w:val="auto"/>
        </w:rPr>
      </w:pPr>
    </w:p>
    <w:p>
      <w:pPr>
        <w:jc w:val="both"/>
        <w:ind w:right="60"/>
        <w:spacing w:after="0" w:line="286" w:lineRule="auto"/>
        <w:rPr>
          <w:sz w:val="20"/>
          <w:szCs w:val="20"/>
          <w:color w:val="auto"/>
        </w:rPr>
      </w:pPr>
      <w:r>
        <w:rPr>
          <w:rFonts w:ascii="Arial" w:cs="Arial" w:eastAsia="Arial" w:hAnsi="Arial"/>
          <w:sz w:val="16"/>
          <w:szCs w:val="16"/>
          <w:color w:val="auto"/>
        </w:rPr>
        <w:t>Increase the percentage of women in SLB’s salaried population from 23.8% in 2022 to 24.5%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-11430</wp:posOffset>
            </wp:positionV>
            <wp:extent cx="2768600" cy="8255"/>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jc w:val="both"/>
        <w:ind w:right="60"/>
        <w:spacing w:after="0" w:line="259" w:lineRule="auto"/>
        <w:rPr>
          <w:sz w:val="20"/>
          <w:szCs w:val="20"/>
          <w:color w:val="auto"/>
        </w:rPr>
      </w:pPr>
      <w:r>
        <w:rPr>
          <w:rFonts w:ascii="Arial" w:cs="Arial" w:eastAsia="Arial" w:hAnsi="Arial"/>
          <w:sz w:val="16"/>
          <w:szCs w:val="16"/>
          <w:color w:val="auto"/>
        </w:rPr>
        <w:t>We increased our percentage of women in salaried roles from 23.8% at year-end 2022 to 24.6% at year-end 2023. As a result, our NEOs earned a payout of 100% under this component of our 2023 STI plan.</w:t>
      </w:r>
    </w:p>
    <w:p>
      <w:pPr>
        <w:spacing w:after="0" w:line="88" w:lineRule="exact"/>
        <w:rPr>
          <w:sz w:val="20"/>
          <w:szCs w:val="20"/>
          <w:color w:val="auto"/>
        </w:rPr>
      </w:pPr>
    </w:p>
    <w:p>
      <w:pPr>
        <w:sectPr>
          <w:pgSz w:w="11900" w:h="16838" w:orient="portrait"/>
          <w:cols w:equalWidth="0" w:num="2">
            <w:col w:w="6760" w:space="220"/>
            <w:col w:w="4260"/>
          </w:cols>
          <w:pgMar w:left="320" w:top="238" w:right="339" w:bottom="1440" w:gutter="0" w:footer="0" w:header="0"/>
          <w:type w:val="continuous"/>
        </w:sectPr>
      </w:pP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Emissions intensity data do not reflect the impact of the Aker Solutions subsea business, which was acquired in the fourth quarter of 2023.</w:t>
      </w:r>
    </w:p>
    <w:p>
      <w:pPr>
        <w:spacing w:after="0" w:line="55" w:lineRule="exact"/>
        <w:rPr>
          <w:rFonts w:ascii="Arial" w:cs="Arial" w:eastAsia="Arial" w:hAnsi="Arial"/>
          <w:sz w:val="14"/>
          <w:szCs w:val="14"/>
          <w:color w:val="auto"/>
        </w:rPr>
      </w:pPr>
    </w:p>
    <w:p>
      <w:pPr>
        <w:jc w:val="both"/>
        <w:ind w:left="340" w:hanging="332"/>
        <w:spacing w:after="0" w:line="271"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SLB does not make employment decisions, including decisions regarding hiring, promotion, and compensation, on the basis of any legally protected characteristic, including gender, but is focused on making opportunities to excel accessible to all. We implement this goal by adhering to employment laws in each of the countries in which we operate.</w:t>
      </w:r>
    </w:p>
    <w:p>
      <w:pPr>
        <w:spacing w:after="0" w:line="176" w:lineRule="exact"/>
        <w:rPr>
          <w:rFonts w:ascii="Arial" w:cs="Arial" w:eastAsia="Arial" w:hAnsi="Arial"/>
          <w:sz w:val="14"/>
          <w:szCs w:val="14"/>
          <w:color w:val="auto"/>
        </w:rPr>
      </w:pP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Our salaried workforce, salaried population, or salaried roles generally refer to all positions excepts those that are hourly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203835</wp:posOffset>
            </wp:positionV>
            <wp:extent cx="471805" cy="283210"/>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471805" cy="283210"/>
                    </a:xfrm>
                    <a:prstGeom prst="rect">
                      <a:avLst/>
                    </a:prstGeom>
                    <a:noFill/>
                  </pic:spPr>
                </pic:pic>
              </a:graphicData>
            </a:graphic>
          </wp:anchor>
        </w:drawing>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2024 Proxy Statement</w:t>
            </w:r>
          </w:p>
        </w:tc>
        <w:tc>
          <w:tcPr>
            <w:tcW w:w="3600" w:type="dxa"/>
            <w:vAlign w:val="bottom"/>
            <w:tcBorders>
              <w:bottom w:val="single" w:sz="8" w:color="auto"/>
            </w:tcBorders>
          </w:tcPr>
          <w:p>
            <w:pPr>
              <w:spacing w:after="0"/>
              <w:rPr>
                <w:sz w:val="12"/>
                <w:szCs w:val="12"/>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39</w:t>
            </w:r>
          </w:p>
        </w:tc>
        <w:tc>
          <w:tcPr>
            <w:tcW w:w="4480" w:type="dxa"/>
            <w:vAlign w:val="bottom"/>
            <w:tcBorders>
              <w:bottom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36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48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Strategic Personal Objectives</w:t>
      </w:r>
    </w:p>
    <w:p>
      <w:pPr>
        <w:spacing w:after="0" w:line="193" w:lineRule="exact"/>
        <w:rPr>
          <w:sz w:val="20"/>
          <w:szCs w:val="20"/>
          <w:color w:val="auto"/>
        </w:rPr>
      </w:pPr>
    </w:p>
    <w:p>
      <w:pPr>
        <w:jc w:val="both"/>
        <w:ind w:firstLine="180"/>
        <w:spacing w:after="0" w:line="259" w:lineRule="auto"/>
        <w:rPr>
          <w:sz w:val="20"/>
          <w:szCs w:val="20"/>
          <w:color w:val="auto"/>
        </w:rPr>
      </w:pPr>
      <w:r>
        <w:rPr>
          <w:rFonts w:ascii="Arial" w:cs="Arial" w:eastAsia="Arial" w:hAnsi="Arial"/>
          <w:sz w:val="16"/>
          <w:szCs w:val="16"/>
          <w:color w:val="auto"/>
        </w:rPr>
        <w:t>As discussed above, 20% of our NEOs’ target 2023 STI opportunity was tied to achieving strategic performance goals specific to their roles within SLB. These may relate to financial goals, such as profitability, revenue growth, capital management, or cost reduction; performance achievements, such as contract awards, operational reliability, or HSE goals; or other non-financial goals that are important to SLB’s strategy and reputation, such as accelerating customer adoption of energy transition services and digital technologies, or ethics and compliance goals.</w:t>
      </w:r>
    </w:p>
    <w:p>
      <w:pPr>
        <w:spacing w:after="0" w:line="151" w:lineRule="exact"/>
        <w:rPr>
          <w:sz w:val="20"/>
          <w:szCs w:val="20"/>
          <w:color w:val="auto"/>
        </w:rPr>
      </w:pPr>
    </w:p>
    <w:p>
      <w:pPr>
        <w:jc w:val="both"/>
        <w:ind w:firstLine="180"/>
        <w:spacing w:after="0" w:line="256" w:lineRule="auto"/>
        <w:rPr>
          <w:sz w:val="20"/>
          <w:szCs w:val="20"/>
          <w:color w:val="auto"/>
        </w:rPr>
      </w:pPr>
      <w:r>
        <w:rPr>
          <w:rFonts w:ascii="Arial" w:cs="Arial" w:eastAsia="Arial" w:hAnsi="Arial"/>
          <w:sz w:val="16"/>
          <w:szCs w:val="16"/>
          <w:color w:val="auto"/>
        </w:rPr>
        <w:t>Early each year, our Compensation Committee reviews and, subject to approval by the Board’s independent directors, approves our CEO’s strategic personal objectives for that year. The Committee also annually assesses our CEO’s performance against his strategic personal objectives established for the prior year, to determine the appropriate payout for the 20% of STI tied to his personal objectives. The CEO reviews and approves the strategic personal objectives of the other NEOs and assesses their performance against their pre-approved objectives in a similar way. The Committee annually approves the aggregate STI payouts for all executive officers.</w:t>
      </w:r>
    </w:p>
    <w:p>
      <w:pPr>
        <w:spacing w:after="0" w:line="15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reflects our NEOs’ 2023 strategic personal objectives and their achievements against those 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754380"/>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7132320" cy="75438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FFFFFF"/>
        </w:rPr>
        <w:t>Performance Goal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0"/>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20"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Enable Performance and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6017895" cy="8255"/>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6017895" cy="8255"/>
                    </a:xfrm>
                    <a:prstGeom prst="rect">
                      <a:avLst/>
                    </a:prstGeom>
                    <a:noFill/>
                  </pic:spPr>
                </pic:pic>
              </a:graphicData>
            </a:graphic>
          </wp:anchor>
        </w:drawing>
      </w:r>
    </w:p>
    <w:p>
      <w:pPr>
        <w:spacing w:after="0" w:line="80" w:lineRule="exact"/>
        <w:rPr>
          <w:sz w:val="20"/>
          <w:szCs w:val="20"/>
          <w:color w:val="auto"/>
        </w:rPr>
      </w:pPr>
    </w:p>
    <w:p>
      <w:pPr>
        <w:ind w:left="280" w:right="4240"/>
        <w:spacing w:after="0" w:line="286" w:lineRule="auto"/>
        <w:rPr>
          <w:sz w:val="20"/>
          <w:szCs w:val="20"/>
          <w:color w:val="auto"/>
        </w:rPr>
      </w:pPr>
      <w:r>
        <w:rPr>
          <w:rFonts w:ascii="Arial" w:cs="Arial" w:eastAsia="Arial" w:hAnsi="Arial"/>
          <w:sz w:val="16"/>
          <w:szCs w:val="16"/>
          <w:color w:val="auto"/>
        </w:rPr>
        <w:t xml:space="preserve">Achieve our </w:t>
      </w:r>
      <w:r>
        <w:rPr>
          <w:rFonts w:ascii="Arial" w:cs="Arial" w:eastAsia="Arial" w:hAnsi="Arial"/>
          <w:sz w:val="16"/>
          <w:szCs w:val="16"/>
          <w:i w:val="1"/>
          <w:iCs w:val="1"/>
          <w:color w:val="auto"/>
        </w:rPr>
        <w:t>We are SLB Safe</w:t>
      </w:r>
      <w:r>
        <w:rPr>
          <w:rFonts w:ascii="Arial" w:cs="Arial" w:eastAsia="Arial" w:hAnsi="Arial"/>
          <w:sz w:val="16"/>
          <w:szCs w:val="16"/>
          <w:color w:val="auto"/>
        </w:rPr>
        <w:t xml:space="preserve"> HSE performance goal of fatality-free operations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6017895" cy="8255"/>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6017895"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-208915</wp:posOffset>
            </wp:positionV>
            <wp:extent cx="128905" cy="120015"/>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128905" cy="12001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-208915</wp:posOffset>
            </wp:positionV>
            <wp:extent cx="128905" cy="120015"/>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128905" cy="12001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-208915</wp:posOffset>
            </wp:positionV>
            <wp:extent cx="128905" cy="120015"/>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128905" cy="12001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-208915</wp:posOffset>
            </wp:positionV>
            <wp:extent cx="128905" cy="120015"/>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128905" cy="12001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-208915</wp:posOffset>
            </wp:positionV>
            <wp:extent cx="128270" cy="120015"/>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128270" cy="120015"/>
                    </a:xfrm>
                    <a:prstGeom prst="rect">
                      <a:avLst/>
                    </a:prstGeom>
                    <a:noFill/>
                  </pic:spPr>
                </pic:pic>
              </a:graphicData>
            </a:graphic>
          </wp:anchor>
        </w:drawing>
      </w:r>
    </w:p>
    <w:p>
      <w:pPr>
        <w:spacing w:after="0" w:line="14" w:lineRule="exact"/>
        <w:rPr>
          <w:sz w:val="20"/>
          <w:szCs w:val="20"/>
          <w:color w:val="auto"/>
        </w:rPr>
      </w:pPr>
    </w:p>
    <w:p>
      <w:pPr>
        <w:ind w:left="280" w:right="3860"/>
        <w:spacing w:after="0" w:line="286" w:lineRule="auto"/>
        <w:rPr>
          <w:sz w:val="20"/>
          <w:szCs w:val="20"/>
          <w:color w:val="auto"/>
        </w:rPr>
      </w:pPr>
      <w:r>
        <w:rPr>
          <w:rFonts w:ascii="Arial" w:cs="Arial" w:eastAsia="Arial" w:hAnsi="Arial"/>
          <w:sz w:val="16"/>
          <w:szCs w:val="16"/>
          <w:color w:val="auto"/>
        </w:rPr>
        <w:t>Oversee the development, approval, and execution of SLB’s New Energy growth strategy inclusive of M&amp;A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6017895" cy="8255"/>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6017895"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-208915</wp:posOffset>
            </wp:positionV>
            <wp:extent cx="128905" cy="120015"/>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128905" cy="12001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-208915</wp:posOffset>
            </wp:positionV>
            <wp:extent cx="128905" cy="120015"/>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128905" cy="120015"/>
                    </a:xfrm>
                    <a:prstGeom prst="rect">
                      <a:avLst/>
                    </a:prstGeom>
                    <a:noFill/>
                  </pic:spPr>
                </pic:pic>
              </a:graphicData>
            </a:graphic>
          </wp:anchor>
        </w:drawing>
      </w:r>
    </w:p>
    <w:p>
      <w:pPr>
        <w:spacing w:after="0" w:line="14" w:lineRule="exact"/>
        <w:rPr>
          <w:sz w:val="20"/>
          <w:szCs w:val="20"/>
          <w:color w:val="auto"/>
        </w:rPr>
      </w:pPr>
    </w:p>
    <w:p>
      <w:pPr>
        <w:ind w:left="280" w:right="3860"/>
        <w:spacing w:after="0" w:line="286" w:lineRule="auto"/>
        <w:rPr>
          <w:sz w:val="20"/>
          <w:szCs w:val="20"/>
          <w:color w:val="auto"/>
        </w:rPr>
      </w:pPr>
      <w:r>
        <w:rPr>
          <w:rFonts w:ascii="Arial" w:cs="Arial" w:eastAsia="Arial" w:hAnsi="Arial"/>
          <w:sz w:val="16"/>
          <w:szCs w:val="16"/>
          <w:color w:val="auto"/>
        </w:rPr>
        <w:t>Achieve certain milestones to align SLB intellectual property portfolio with our strategic direction and product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179705"/>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-208915</wp:posOffset>
            </wp:positionV>
            <wp:extent cx="128270" cy="120015"/>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128270" cy="120015"/>
                    </a:xfrm>
                    <a:prstGeom prst="rect">
                      <a:avLst/>
                    </a:prstGeom>
                    <a:noFill/>
                  </pic:spPr>
                </pic:pic>
              </a:graphicData>
            </a:graphic>
          </wp:anchor>
        </w:drawing>
      </w:r>
    </w:p>
    <w:p>
      <w:pPr>
        <w:spacing w:after="0" w:line="14"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Outgrow the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6017895" cy="8890"/>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6017895" cy="8890"/>
                    </a:xfrm>
                    <a:prstGeom prst="rect">
                      <a:avLst/>
                    </a:prstGeom>
                    <a:noFill/>
                  </pic:spPr>
                </pic:pic>
              </a:graphicData>
            </a:graphic>
          </wp:anchor>
        </w:drawing>
      </w:r>
    </w:p>
    <w:p>
      <w:pPr>
        <w:spacing w:after="0" w:line="80" w:lineRule="exact"/>
        <w:rPr>
          <w:sz w:val="20"/>
          <w:szCs w:val="20"/>
          <w:color w:val="auto"/>
        </w:rPr>
      </w:pPr>
    </w:p>
    <w:p>
      <w:pPr>
        <w:ind w:left="280" w:right="4320"/>
        <w:spacing w:after="0" w:line="286" w:lineRule="auto"/>
        <w:rPr>
          <w:sz w:val="20"/>
          <w:szCs w:val="20"/>
          <w:color w:val="auto"/>
        </w:rPr>
      </w:pPr>
      <w:r>
        <w:rPr>
          <w:rFonts w:ascii="Arial" w:cs="Arial" w:eastAsia="Arial" w:hAnsi="Arial"/>
          <w:sz w:val="16"/>
          <w:szCs w:val="16"/>
          <w:color w:val="auto"/>
        </w:rPr>
        <w:t>Grow revenue from specified new digital technologies above a pre-established target year on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6017895" cy="8890"/>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6017895"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-208915</wp:posOffset>
            </wp:positionV>
            <wp:extent cx="128905" cy="120015"/>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128905" cy="120015"/>
                    </a:xfrm>
                    <a:prstGeom prst="rect">
                      <a:avLst/>
                    </a:prstGeom>
                    <a:noFill/>
                  </pic:spPr>
                </pic:pic>
              </a:graphicData>
            </a:graphic>
          </wp:anchor>
        </w:drawing>
      </w:r>
    </w:p>
    <w:p>
      <w:pPr>
        <w:spacing w:after="0" w:line="14" w:lineRule="exact"/>
        <w:rPr>
          <w:sz w:val="20"/>
          <w:szCs w:val="20"/>
          <w:color w:val="auto"/>
        </w:rPr>
      </w:pPr>
    </w:p>
    <w:p>
      <w:pPr>
        <w:ind w:left="280" w:right="3680"/>
        <w:spacing w:after="0" w:line="266" w:lineRule="auto"/>
        <w:rPr>
          <w:sz w:val="20"/>
          <w:szCs w:val="20"/>
          <w:color w:val="auto"/>
        </w:rPr>
      </w:pPr>
      <w:r>
        <w:rPr>
          <w:rFonts w:ascii="Arial" w:cs="Arial" w:eastAsia="Arial" w:hAnsi="Arial"/>
          <w:sz w:val="16"/>
          <w:szCs w:val="16"/>
          <w:color w:val="auto"/>
        </w:rPr>
        <w:t>Achieve total opportunity win volume growth and bookings exceeding a pre-established target, in a specified mix of products and services related to production enhancement and recovery.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017895" cy="8255"/>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6017895"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-259080</wp:posOffset>
            </wp:positionV>
            <wp:extent cx="128905" cy="120015"/>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128905" cy="12001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-259080</wp:posOffset>
            </wp:positionV>
            <wp:extent cx="128905" cy="120015"/>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128905" cy="12001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-259080</wp:posOffset>
            </wp:positionV>
            <wp:extent cx="128905" cy="120015"/>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128905" cy="120015"/>
                    </a:xfrm>
                    <a:prstGeom prst="rect">
                      <a:avLst/>
                    </a:prstGeom>
                    <a:noFill/>
                  </pic:spPr>
                </pic:pic>
              </a:graphicData>
            </a:graphic>
          </wp:anchor>
        </w:drawing>
      </w:r>
    </w:p>
    <w:p>
      <w:pPr>
        <w:spacing w:after="0" w:line="30" w:lineRule="exact"/>
        <w:rPr>
          <w:sz w:val="20"/>
          <w:szCs w:val="20"/>
          <w:color w:val="auto"/>
        </w:rPr>
      </w:pPr>
    </w:p>
    <w:p>
      <w:pPr>
        <w:ind w:left="280" w:right="4240"/>
        <w:spacing w:after="0" w:line="286" w:lineRule="auto"/>
        <w:rPr>
          <w:sz w:val="20"/>
          <w:szCs w:val="20"/>
          <w:color w:val="auto"/>
        </w:rPr>
      </w:pPr>
      <w:r>
        <w:rPr>
          <w:rFonts w:ascii="Arial" w:cs="Arial" w:eastAsia="Arial" w:hAnsi="Arial"/>
          <w:sz w:val="16"/>
          <w:szCs w:val="16"/>
          <w:color w:val="auto"/>
        </w:rPr>
        <w:t>Grow high-quality revenue by a pre-established target in certain key geographies.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6017895" cy="8255"/>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601789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-208915</wp:posOffset>
            </wp:positionV>
            <wp:extent cx="128905" cy="120015"/>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128905" cy="120015"/>
                    </a:xfrm>
                    <a:prstGeom prst="rect">
                      <a:avLst/>
                    </a:prstGeom>
                    <a:noFill/>
                  </pic:spPr>
                </pic:pic>
              </a:graphicData>
            </a:graphic>
          </wp:anchor>
        </w:drawing>
      </w:r>
    </w:p>
    <w:p>
      <w:pPr>
        <w:spacing w:after="0" w:line="14" w:lineRule="exact"/>
        <w:rPr>
          <w:sz w:val="20"/>
          <w:szCs w:val="20"/>
          <w:color w:val="auto"/>
        </w:rPr>
      </w:pPr>
    </w:p>
    <w:p>
      <w:pPr>
        <w:ind w:left="280" w:right="3760"/>
        <w:spacing w:after="0" w:line="286" w:lineRule="auto"/>
        <w:rPr>
          <w:sz w:val="20"/>
          <w:szCs w:val="20"/>
          <w:color w:val="auto"/>
        </w:rPr>
      </w:pPr>
      <w:r>
        <w:rPr>
          <w:rFonts w:ascii="Arial" w:cs="Arial" w:eastAsia="Arial" w:hAnsi="Arial"/>
          <w:sz w:val="16"/>
          <w:szCs w:val="16"/>
          <w:color w:val="auto"/>
        </w:rPr>
        <w:t>Grow revenue and bookings from key technologies in SLB’s Core divisions above a pre-established target year on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6017895" cy="8890"/>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6017895"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-208915</wp:posOffset>
            </wp:positionV>
            <wp:extent cx="128905" cy="120015"/>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128905" cy="120015"/>
                    </a:xfrm>
                    <a:prstGeom prst="rect">
                      <a:avLst/>
                    </a:prstGeom>
                    <a:noFill/>
                  </pic:spPr>
                </pic:pic>
              </a:graphicData>
            </a:graphic>
          </wp:anchor>
        </w:drawing>
      </w:r>
    </w:p>
    <w:p>
      <w:pPr>
        <w:spacing w:after="0" w:line="14" w:lineRule="exact"/>
        <w:rPr>
          <w:sz w:val="20"/>
          <w:szCs w:val="20"/>
          <w:color w:val="auto"/>
        </w:rPr>
      </w:pPr>
    </w:p>
    <w:p>
      <w:pPr>
        <w:ind w:left="280" w:right="4040"/>
        <w:spacing w:after="0" w:line="286" w:lineRule="auto"/>
        <w:rPr>
          <w:sz w:val="20"/>
          <w:szCs w:val="20"/>
          <w:color w:val="auto"/>
        </w:rPr>
      </w:pPr>
      <w:r>
        <w:rPr>
          <w:rFonts w:ascii="Arial" w:cs="Arial" w:eastAsia="Arial" w:hAnsi="Arial"/>
          <w:sz w:val="16"/>
          <w:szCs w:val="16"/>
          <w:color w:val="auto"/>
        </w:rPr>
        <w:t>Achieve contractual pricing improvements exceeding a pre-established global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180340"/>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-208915</wp:posOffset>
            </wp:positionV>
            <wp:extent cx="128905" cy="120015"/>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128905" cy="12001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-208915</wp:posOffset>
            </wp:positionV>
            <wp:extent cx="128270" cy="120015"/>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128270" cy="120015"/>
                    </a:xfrm>
                    <a:prstGeom prst="rect">
                      <a:avLst/>
                    </a:prstGeom>
                    <a:noFill/>
                  </pic:spPr>
                </pic:pic>
              </a:graphicData>
            </a:graphic>
          </wp:anchor>
        </w:drawing>
      </w:r>
    </w:p>
    <w:p>
      <w:pPr>
        <w:spacing w:after="0" w:line="14"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Drive Efficiency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6017895" cy="8255"/>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6017895" cy="8255"/>
                    </a:xfrm>
                    <a:prstGeom prst="rect">
                      <a:avLst/>
                    </a:prstGeom>
                    <a:noFill/>
                  </pic:spPr>
                </pic:pic>
              </a:graphicData>
            </a:graphic>
          </wp:anchor>
        </w:drawing>
      </w:r>
    </w:p>
    <w:p>
      <w:pPr>
        <w:spacing w:after="0" w:line="80" w:lineRule="exact"/>
        <w:rPr>
          <w:sz w:val="20"/>
          <w:szCs w:val="20"/>
          <w:color w:val="auto"/>
        </w:rPr>
      </w:pPr>
    </w:p>
    <w:p>
      <w:pPr>
        <w:ind w:left="280" w:right="3740"/>
        <w:spacing w:after="0" w:line="259" w:lineRule="auto"/>
        <w:rPr>
          <w:sz w:val="20"/>
          <w:szCs w:val="20"/>
          <w:color w:val="auto"/>
        </w:rPr>
      </w:pPr>
      <w:r>
        <w:rPr>
          <w:rFonts w:ascii="Arial" w:cs="Arial" w:eastAsia="Arial" w:hAnsi="Arial"/>
          <w:sz w:val="16"/>
          <w:szCs w:val="16"/>
          <w:color w:val="auto"/>
        </w:rPr>
        <w:t>Achieve specified quantitative milestones related to working capital impact, business performance insights, and functions performance efficiency, through digital enablement of SLB’s operating and information technology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017895" cy="8255"/>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601789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-314960</wp:posOffset>
            </wp:positionV>
            <wp:extent cx="128905" cy="120015"/>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128905" cy="120015"/>
                    </a:xfrm>
                    <a:prstGeom prst="rect">
                      <a:avLst/>
                    </a:prstGeom>
                    <a:noFill/>
                  </pic:spPr>
                </pic:pic>
              </a:graphicData>
            </a:graphic>
          </wp:anchor>
        </w:drawing>
      </w:r>
    </w:p>
    <w:p>
      <w:pPr>
        <w:spacing w:after="0" w:line="36" w:lineRule="exact"/>
        <w:rPr>
          <w:sz w:val="20"/>
          <w:szCs w:val="20"/>
          <w:color w:val="auto"/>
        </w:rPr>
      </w:pPr>
    </w:p>
    <w:p>
      <w:pPr>
        <w:ind w:left="280" w:right="4320"/>
        <w:spacing w:after="0" w:line="286" w:lineRule="auto"/>
        <w:rPr>
          <w:sz w:val="20"/>
          <w:szCs w:val="20"/>
          <w:color w:val="auto"/>
        </w:rPr>
      </w:pPr>
      <w:r>
        <w:rPr>
          <w:rFonts w:ascii="Arial" w:cs="Arial" w:eastAsia="Arial" w:hAnsi="Arial"/>
          <w:sz w:val="16"/>
          <w:szCs w:val="16"/>
          <w:color w:val="auto"/>
        </w:rPr>
        <w:t>Enhance SLB’s digital capabilities to forecast, analyze and validate profitability of specific integrated projects.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6017895" cy="8255"/>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601789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-208915</wp:posOffset>
            </wp:positionV>
            <wp:extent cx="128905" cy="120015"/>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128905" cy="120015"/>
                    </a:xfrm>
                    <a:prstGeom prst="rect">
                      <a:avLst/>
                    </a:prstGeom>
                    <a:noFill/>
                  </pic:spPr>
                </pic:pic>
              </a:graphicData>
            </a:graphic>
          </wp:anchor>
        </w:drawing>
      </w:r>
    </w:p>
    <w:p>
      <w:pPr>
        <w:spacing w:after="0" w:line="14" w:lineRule="exact"/>
        <w:rPr>
          <w:sz w:val="20"/>
          <w:szCs w:val="20"/>
          <w:color w:val="auto"/>
        </w:rPr>
      </w:pPr>
    </w:p>
    <w:p>
      <w:pPr>
        <w:ind w:left="280" w:right="3780"/>
        <w:spacing w:after="0" w:line="286" w:lineRule="auto"/>
        <w:rPr>
          <w:sz w:val="20"/>
          <w:szCs w:val="20"/>
          <w:color w:val="auto"/>
        </w:rPr>
      </w:pPr>
      <w:r>
        <w:rPr>
          <w:rFonts w:ascii="Arial" w:cs="Arial" w:eastAsia="Arial" w:hAnsi="Arial"/>
          <w:sz w:val="16"/>
          <w:szCs w:val="16"/>
          <w:color w:val="auto"/>
        </w:rPr>
        <w:t>Improve contribution margins by a pre-established target year on year, by reducing cost of service delivery and operating costs in the Core divisions.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6017895" cy="8255"/>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601789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-208915</wp:posOffset>
            </wp:positionV>
            <wp:extent cx="128905" cy="120015"/>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128905" cy="120015"/>
                    </a:xfrm>
                    <a:prstGeom prst="rect">
                      <a:avLst/>
                    </a:prstGeom>
                    <a:noFill/>
                  </pic:spPr>
                </pic:pic>
              </a:graphicData>
            </a:graphic>
          </wp:anchor>
        </w:drawing>
      </w:r>
    </w:p>
    <w:p>
      <w:pPr>
        <w:spacing w:after="0" w:line="14" w:lineRule="exact"/>
        <w:rPr>
          <w:sz w:val="20"/>
          <w:szCs w:val="20"/>
          <w:color w:val="auto"/>
        </w:rPr>
      </w:pPr>
    </w:p>
    <w:p>
      <w:pPr>
        <w:jc w:val="both"/>
        <w:ind w:left="280" w:right="4100"/>
        <w:spacing w:after="0" w:line="286" w:lineRule="auto"/>
        <w:rPr>
          <w:sz w:val="20"/>
          <w:szCs w:val="20"/>
          <w:color w:val="auto"/>
        </w:rPr>
      </w:pPr>
      <w:r>
        <w:rPr>
          <w:rFonts w:ascii="Arial" w:cs="Arial" w:eastAsia="Arial" w:hAnsi="Arial"/>
          <w:sz w:val="16"/>
          <w:szCs w:val="16"/>
          <w:color w:val="auto"/>
        </w:rPr>
        <w:t>Streamline employee training programs by meeting a pre-established, quantitative efficiency target, as well as other governance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180340"/>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-208915</wp:posOffset>
            </wp:positionV>
            <wp:extent cx="128270" cy="120015"/>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128270" cy="120015"/>
                    </a:xfrm>
                    <a:prstGeom prst="rect">
                      <a:avLst/>
                    </a:prstGeom>
                    <a:noFill/>
                  </pic:spPr>
                </pic:pic>
              </a:graphicData>
            </a:graphic>
          </wp:anchor>
        </w:drawing>
      </w:r>
    </w:p>
    <w:p>
      <w:pPr>
        <w:spacing w:after="0" w:line="14" w:lineRule="exact"/>
        <w:rPr>
          <w:sz w:val="20"/>
          <w:szCs w:val="20"/>
          <w:color w:val="auto"/>
        </w:rPr>
      </w:pPr>
    </w:p>
    <w:tbl>
      <w:tblPr>
        <w:tblLayout w:type="fixed"/>
        <w:tblInd w:w="100" w:type="dxa"/>
        <w:tblCellMar>
          <w:top w:w="0" w:type="dxa"/>
          <w:left w:w="0" w:type="dxa"/>
          <w:bottom w:w="0" w:type="dxa"/>
          <w:right w:w="0" w:type="dxa"/>
        </w:tblCellMar>
      </w:tblPr>
      <w:tr>
        <w:trPr>
          <w:trHeight w:val="223"/>
        </w:trPr>
        <w:tc>
          <w:tcPr>
            <w:tcW w:w="6260" w:type="dxa"/>
            <w:vAlign w:val="bottom"/>
          </w:tcPr>
          <w:p>
            <w:pPr>
              <w:spacing w:after="0"/>
              <w:rPr>
                <w:sz w:val="20"/>
                <w:szCs w:val="20"/>
                <w:color w:val="auto"/>
              </w:rPr>
            </w:pPr>
            <w:r>
              <w:rPr>
                <w:rFonts w:ascii="Arial" w:cs="Arial" w:eastAsia="Arial" w:hAnsi="Arial"/>
                <w:sz w:val="16"/>
                <w:szCs w:val="16"/>
                <w:b w:val="1"/>
                <w:bCs w:val="1"/>
                <w:color w:val="auto"/>
              </w:rPr>
              <w:t>% of 2023 payout opportunity earned under strategic personal objectives 95%</w:t>
            </w:r>
          </w:p>
        </w:tc>
        <w:tc>
          <w:tcPr>
            <w:tcW w:w="720" w:type="dxa"/>
            <w:vAlign w:val="bottom"/>
          </w:tcPr>
          <w:p>
            <w:pPr>
              <w:jc w:val="right"/>
              <w:ind w:right="99"/>
              <w:spacing w:after="0"/>
              <w:rPr>
                <w:sz w:val="20"/>
                <w:szCs w:val="20"/>
                <w:color w:val="auto"/>
              </w:rPr>
            </w:pPr>
            <w:r>
              <w:rPr>
                <w:rFonts w:ascii="Arial" w:cs="Arial" w:eastAsia="Arial" w:hAnsi="Arial"/>
                <w:sz w:val="16"/>
                <w:szCs w:val="16"/>
                <w:b w:val="1"/>
                <w:bCs w:val="1"/>
                <w:color w:val="auto"/>
              </w:rPr>
              <w:t>96%</w:t>
            </w:r>
          </w:p>
        </w:tc>
        <w:tc>
          <w:tcPr>
            <w:tcW w:w="860" w:type="dxa"/>
            <w:vAlign w:val="bottom"/>
          </w:tcPr>
          <w:p>
            <w:pPr>
              <w:jc w:val="right"/>
              <w:ind w:right="299"/>
              <w:spacing w:after="0"/>
              <w:rPr>
                <w:sz w:val="20"/>
                <w:szCs w:val="20"/>
                <w:color w:val="auto"/>
              </w:rPr>
            </w:pPr>
            <w:r>
              <w:rPr>
                <w:rFonts w:ascii="Arial" w:cs="Arial" w:eastAsia="Arial" w:hAnsi="Arial"/>
                <w:sz w:val="16"/>
                <w:szCs w:val="16"/>
                <w:b w:val="1"/>
                <w:bCs w:val="1"/>
                <w:color w:val="auto"/>
              </w:rPr>
              <w:t>96%</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100%   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471170" cy="282575"/>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471170" cy="2825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Achievement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234950</wp:posOffset>
            </wp:positionV>
            <wp:extent cx="1105535" cy="8255"/>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color w:val="auto"/>
        </w:rPr>
        <w:t>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89535</wp:posOffset>
            </wp:positionV>
            <wp:extent cx="1105535" cy="8255"/>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Substantially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89535</wp:posOffset>
            </wp:positionV>
            <wp:extent cx="1105535" cy="8255"/>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269240</wp:posOffset>
            </wp:positionV>
            <wp:extent cx="1105535" cy="8890"/>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1105535"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color w:val="auto"/>
        </w:rPr>
        <w:t>Substantially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89535</wp:posOffset>
            </wp:positionV>
            <wp:extent cx="1105535" cy="8890"/>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1105535" cy="8890"/>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149225</wp:posOffset>
            </wp:positionV>
            <wp:extent cx="1105535" cy="8255"/>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Substantially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89535</wp:posOffset>
            </wp:positionV>
            <wp:extent cx="1105535" cy="8255"/>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89535</wp:posOffset>
            </wp:positionV>
            <wp:extent cx="1105535" cy="8890"/>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1105535" cy="8890"/>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269240</wp:posOffset>
            </wp:positionV>
            <wp:extent cx="1105535" cy="8255"/>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color w:val="auto"/>
        </w:rPr>
        <w:t>Substantially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209550</wp:posOffset>
            </wp:positionV>
            <wp:extent cx="1105535" cy="8255"/>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89535</wp:posOffset>
            </wp:positionV>
            <wp:extent cx="1105535" cy="8255"/>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89535</wp:posOffset>
            </wp:positionV>
            <wp:extent cx="1105535" cy="8255"/>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Achieved</w:t>
      </w:r>
    </w:p>
    <w:p>
      <w:pPr>
        <w:spacing w:after="0" w:line="616" w:lineRule="exact"/>
        <w:rPr>
          <w:sz w:val="20"/>
          <w:szCs w:val="20"/>
          <w:color w:val="auto"/>
        </w:rPr>
      </w:pPr>
    </w:p>
    <w:p>
      <w:pPr>
        <w:sectPr>
          <w:pgSz w:w="11900" w:h="16838" w:orient="portrait"/>
          <w:cols w:equalWidth="0" w:num="2">
            <w:col w:w="9380" w:space="240"/>
            <w:col w:w="1620"/>
          </w:cols>
          <w:pgMar w:left="320" w:top="238" w:right="339" w:bottom="1440" w:gutter="0" w:footer="0" w:header="0"/>
          <w:type w:val="continuous"/>
        </w:sectPr>
      </w:pPr>
    </w:p>
    <w:p>
      <w:pPr>
        <w:spacing w:after="0" w:line="198" w:lineRule="exact"/>
        <w:rPr>
          <w:sz w:val="20"/>
          <w:szCs w:val="20"/>
          <w:color w:val="auto"/>
        </w:rPr>
      </w:pPr>
    </w:p>
    <w:p>
      <w:pPr>
        <w:ind w:left="5540"/>
        <w:spacing w:after="0"/>
        <w:tabs>
          <w:tab w:leader="none" w:pos="9540" w:val="left"/>
        </w:tabs>
        <w:rPr>
          <w:sz w:val="20"/>
          <w:szCs w:val="20"/>
          <w:color w:val="auto"/>
        </w:rPr>
      </w:pPr>
      <w:r>
        <w:rPr>
          <w:rFonts w:ascii="Arial" w:cs="Arial" w:eastAsia="Arial" w:hAnsi="Arial"/>
          <w:sz w:val="16"/>
          <w:szCs w:val="16"/>
          <w:b w:val="1"/>
          <w:bCs w:val="1"/>
          <w:color w:val="auto"/>
        </w:rPr>
        <w:t>40</w:t>
      </w:r>
      <w:r>
        <w:rPr>
          <w:sz w:val="20"/>
          <w:szCs w:val="20"/>
          <w:color w:val="auto"/>
        </w:rPr>
        <w:tab/>
      </w:r>
      <w:r>
        <w:rPr>
          <w:rFonts w:ascii="Arial" w:cs="Arial" w:eastAsia="Arial" w:hAnsi="Arial"/>
          <w:sz w:val="16"/>
          <w:szCs w:val="16"/>
          <w:b w:val="1"/>
          <w:bCs w:val="1"/>
          <w:color w:val="636466"/>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-29845</wp:posOffset>
            </wp:positionV>
            <wp:extent cx="5417820" cy="17145"/>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34290"/>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3" w:lineRule="exact"/>
        <w:rPr>
          <w:sz w:val="20"/>
          <w:szCs w:val="20"/>
          <w:color w:val="auto"/>
        </w:rPr>
      </w:pPr>
    </w:p>
    <w:p>
      <w:pPr>
        <w:spacing w:after="0"/>
        <w:rPr>
          <w:sz w:val="20"/>
          <w:szCs w:val="20"/>
          <w:color w:val="auto"/>
        </w:rPr>
      </w:pPr>
      <w:r>
        <w:rPr>
          <w:rFonts w:ascii="Arial" w:cs="Arial" w:eastAsia="Arial" w:hAnsi="Arial"/>
          <w:sz w:val="25"/>
          <w:szCs w:val="25"/>
          <w:color w:val="0233A1"/>
        </w:rPr>
        <w:t>Long-Term Equity Incentive Awards</w:t>
      </w:r>
    </w:p>
    <w:p>
      <w:pPr>
        <w:spacing w:after="0" w:line="207" w:lineRule="exact"/>
        <w:rPr>
          <w:sz w:val="20"/>
          <w:szCs w:val="20"/>
          <w:color w:val="auto"/>
        </w:rPr>
      </w:pPr>
    </w:p>
    <w:p>
      <w:pPr>
        <w:jc w:val="both"/>
        <w:ind w:firstLine="180"/>
        <w:spacing w:after="0" w:line="286" w:lineRule="auto"/>
        <w:rPr>
          <w:sz w:val="20"/>
          <w:szCs w:val="20"/>
          <w:color w:val="auto"/>
        </w:rPr>
      </w:pPr>
      <w:r>
        <w:rPr>
          <w:rFonts w:ascii="Arial" w:cs="Arial" w:eastAsia="Arial" w:hAnsi="Arial"/>
          <w:sz w:val="16"/>
          <w:szCs w:val="16"/>
          <w:color w:val="auto"/>
        </w:rPr>
        <w:t>LTI awards are designed to give NEOs and other key employees a long-term stake in SLB, incentivize the creation of sustained shareholder value, and act as long-term retention and motivation tools—aligning employee and shareholder interests over the long term.</w:t>
      </w:r>
    </w:p>
    <w:p>
      <w:pPr>
        <w:spacing w:after="0" w:line="129" w:lineRule="exact"/>
        <w:rPr>
          <w:sz w:val="20"/>
          <w:szCs w:val="20"/>
          <w:color w:val="auto"/>
        </w:rPr>
      </w:pPr>
    </w:p>
    <w:p>
      <w:pPr>
        <w:jc w:val="both"/>
        <w:ind w:firstLine="180"/>
        <w:spacing w:after="0" w:line="259" w:lineRule="auto"/>
        <w:rPr>
          <w:sz w:val="20"/>
          <w:szCs w:val="20"/>
          <w:color w:val="auto"/>
        </w:rPr>
      </w:pPr>
      <w:r>
        <w:rPr>
          <w:rFonts w:ascii="Arial" w:cs="Arial" w:eastAsia="Arial" w:hAnsi="Arial"/>
          <w:sz w:val="16"/>
          <w:szCs w:val="16"/>
          <w:color w:val="auto"/>
        </w:rPr>
        <w:t>Since 2021, our Compensation Committee has awarded to our NEOs and other executives a diversified mix of LTI grants, with 75% of their target LTI opportunity awarded in the form of PSUs—with payout contingent on achieving absolute and relative performance goals over three-year periods—and 25% awarded in the form of three-year, time-based RSUs. The Committee believes that our current LTI program appropriately balances the following Committee objectives:</w:t>
      </w:r>
    </w:p>
    <w:p>
      <w:pPr>
        <w:spacing w:after="0" w:line="151" w:lineRule="exact"/>
        <w:rPr>
          <w:sz w:val="20"/>
          <w:szCs w:val="20"/>
          <w:color w:val="auto"/>
        </w:rPr>
      </w:pPr>
    </w:p>
    <w:p>
      <w:pPr>
        <w:ind w:left="360" w:hanging="177"/>
        <w:spacing w:after="0"/>
        <w:tabs>
          <w:tab w:leader="none" w:pos="360" w:val="left"/>
        </w:tabs>
        <w:numPr>
          <w:ilvl w:val="0"/>
          <w:numId w:val="37"/>
        </w:numPr>
        <w:rPr>
          <w:rFonts w:ascii="Arial" w:cs="Arial" w:eastAsia="Arial" w:hAnsi="Arial"/>
          <w:sz w:val="16"/>
          <w:szCs w:val="16"/>
          <w:b w:val="1"/>
          <w:bCs w:val="1"/>
          <w:color w:val="0233A1"/>
        </w:rPr>
      </w:pPr>
      <w:r>
        <w:rPr>
          <w:rFonts w:ascii="Arial" w:cs="Arial" w:eastAsia="Arial" w:hAnsi="Arial"/>
          <w:sz w:val="16"/>
          <w:szCs w:val="16"/>
          <w:color w:val="auto"/>
        </w:rPr>
        <w:t>closely aligning PSU performance metrics with our long-term strategy, publicly disclosed Company financial objectives, and total shareholder return,</w:t>
      </w:r>
    </w:p>
    <w:p>
      <w:pPr>
        <w:spacing w:after="0" w:line="86" w:lineRule="exact"/>
        <w:rPr>
          <w:rFonts w:ascii="Arial" w:cs="Arial" w:eastAsia="Arial" w:hAnsi="Arial"/>
          <w:sz w:val="16"/>
          <w:szCs w:val="16"/>
          <w:b w:val="1"/>
          <w:bCs w:val="1"/>
          <w:color w:val="0233A1"/>
        </w:rPr>
      </w:pPr>
    </w:p>
    <w:p>
      <w:pPr>
        <w:ind w:left="360" w:hanging="177"/>
        <w:spacing w:after="0"/>
        <w:tabs>
          <w:tab w:leader="none" w:pos="360" w:val="left"/>
        </w:tabs>
        <w:numPr>
          <w:ilvl w:val="0"/>
          <w:numId w:val="37"/>
        </w:numPr>
        <w:rPr>
          <w:rFonts w:ascii="Arial" w:cs="Arial" w:eastAsia="Arial" w:hAnsi="Arial"/>
          <w:sz w:val="16"/>
          <w:szCs w:val="16"/>
          <w:b w:val="1"/>
          <w:bCs w:val="1"/>
          <w:color w:val="0233A1"/>
        </w:rPr>
      </w:pPr>
      <w:r>
        <w:rPr>
          <w:rFonts w:ascii="Arial" w:cs="Arial" w:eastAsia="Arial" w:hAnsi="Arial"/>
          <w:sz w:val="16"/>
          <w:szCs w:val="16"/>
          <w:color w:val="auto"/>
        </w:rPr>
        <w:t>aligning pay with performance and incentivizing executives to create shareholder value,</w:t>
      </w:r>
    </w:p>
    <w:p>
      <w:pPr>
        <w:spacing w:after="0" w:line="86" w:lineRule="exact"/>
        <w:rPr>
          <w:rFonts w:ascii="Arial" w:cs="Arial" w:eastAsia="Arial" w:hAnsi="Arial"/>
          <w:sz w:val="16"/>
          <w:szCs w:val="16"/>
          <w:b w:val="1"/>
          <w:bCs w:val="1"/>
          <w:color w:val="0233A1"/>
        </w:rPr>
      </w:pPr>
    </w:p>
    <w:p>
      <w:pPr>
        <w:ind w:left="360" w:hanging="177"/>
        <w:spacing w:after="0"/>
        <w:tabs>
          <w:tab w:leader="none" w:pos="360" w:val="left"/>
        </w:tabs>
        <w:numPr>
          <w:ilvl w:val="0"/>
          <w:numId w:val="37"/>
        </w:numPr>
        <w:rPr>
          <w:rFonts w:ascii="Arial" w:cs="Arial" w:eastAsia="Arial" w:hAnsi="Arial"/>
          <w:sz w:val="16"/>
          <w:szCs w:val="16"/>
          <w:b w:val="1"/>
          <w:bCs w:val="1"/>
          <w:color w:val="0233A1"/>
        </w:rPr>
      </w:pPr>
      <w:r>
        <w:rPr>
          <w:rFonts w:ascii="Arial" w:cs="Arial" w:eastAsia="Arial" w:hAnsi="Arial"/>
          <w:sz w:val="16"/>
          <w:szCs w:val="16"/>
          <w:color w:val="auto"/>
        </w:rPr>
        <w:t>maintaining a mix of absolute and relative PSU metrics, in light of the cyclicality of our industry,</w:t>
      </w:r>
    </w:p>
    <w:p>
      <w:pPr>
        <w:spacing w:after="0" w:line="86" w:lineRule="exact"/>
        <w:rPr>
          <w:rFonts w:ascii="Arial" w:cs="Arial" w:eastAsia="Arial" w:hAnsi="Arial"/>
          <w:sz w:val="16"/>
          <w:szCs w:val="16"/>
          <w:b w:val="1"/>
          <w:bCs w:val="1"/>
          <w:color w:val="0233A1"/>
        </w:rPr>
      </w:pPr>
    </w:p>
    <w:p>
      <w:pPr>
        <w:ind w:left="360" w:hanging="177"/>
        <w:spacing w:after="0"/>
        <w:tabs>
          <w:tab w:leader="none" w:pos="360" w:val="left"/>
        </w:tabs>
        <w:numPr>
          <w:ilvl w:val="0"/>
          <w:numId w:val="37"/>
        </w:numPr>
        <w:rPr>
          <w:rFonts w:ascii="Arial" w:cs="Arial" w:eastAsia="Arial" w:hAnsi="Arial"/>
          <w:sz w:val="16"/>
          <w:szCs w:val="16"/>
          <w:b w:val="1"/>
          <w:bCs w:val="1"/>
          <w:color w:val="0233A1"/>
        </w:rPr>
      </w:pPr>
      <w:r>
        <w:rPr>
          <w:rFonts w:ascii="Arial" w:cs="Arial" w:eastAsia="Arial" w:hAnsi="Arial"/>
          <w:sz w:val="16"/>
          <w:szCs w:val="16"/>
          <w:color w:val="auto"/>
        </w:rPr>
        <w:t>motivating and incentivizing outperformance relative to our direct competitors and the broader global energy sector, and</w:t>
      </w:r>
    </w:p>
    <w:p>
      <w:pPr>
        <w:spacing w:after="0" w:line="86" w:lineRule="exact"/>
        <w:rPr>
          <w:rFonts w:ascii="Arial" w:cs="Arial" w:eastAsia="Arial" w:hAnsi="Arial"/>
          <w:sz w:val="16"/>
          <w:szCs w:val="16"/>
          <w:b w:val="1"/>
          <w:bCs w:val="1"/>
          <w:color w:val="0233A1"/>
        </w:rPr>
      </w:pPr>
    </w:p>
    <w:p>
      <w:pPr>
        <w:ind w:left="360" w:hanging="177"/>
        <w:spacing w:after="0"/>
        <w:tabs>
          <w:tab w:leader="none" w:pos="360" w:val="left"/>
        </w:tabs>
        <w:numPr>
          <w:ilvl w:val="0"/>
          <w:numId w:val="37"/>
        </w:numPr>
        <w:rPr>
          <w:rFonts w:ascii="Arial" w:cs="Arial" w:eastAsia="Arial" w:hAnsi="Arial"/>
          <w:sz w:val="16"/>
          <w:szCs w:val="16"/>
          <w:b w:val="1"/>
          <w:bCs w:val="1"/>
          <w:color w:val="0233A1"/>
        </w:rPr>
      </w:pPr>
      <w:r>
        <w:rPr>
          <w:rFonts w:ascii="Arial" w:cs="Arial" w:eastAsia="Arial" w:hAnsi="Arial"/>
          <w:sz w:val="16"/>
          <w:szCs w:val="16"/>
          <w:color w:val="auto"/>
        </w:rPr>
        <w:t>promoting the stability and retention of our executive team through business cycles with awards of time-based RSUs.</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As in 2022, the 2023 LTI program consisted of four types of grants, equally weighted at target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132080</wp:posOffset>
            </wp:positionV>
            <wp:extent cx="6000750" cy="2099945"/>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6000750" cy="2099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180"/>
        <w:spacing w:after="0" w:line="266" w:lineRule="auto"/>
        <w:rPr>
          <w:sz w:val="20"/>
          <w:szCs w:val="20"/>
          <w:color w:val="auto"/>
        </w:rPr>
      </w:pPr>
      <w:r>
        <w:rPr>
          <w:rFonts w:ascii="Arial" w:cs="Arial" w:eastAsia="Arial" w:hAnsi="Arial"/>
          <w:sz w:val="16"/>
          <w:szCs w:val="16"/>
          <w:color w:val="auto"/>
        </w:rPr>
        <w:t>The maximum overall payout opportunity under the 2023 LTI program was 200% of target—consistent with 2022 and in line with market practice. The maximum payout opportunity for each type of LTI award is reflected by the outer bars in the chart above, with overall payout more heavily weighted in favor of Company financial performance metrics.</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How We Determined the Target Value of 2023 LTI Equity Awards</w:t>
      </w:r>
    </w:p>
    <w:p>
      <w:pPr>
        <w:spacing w:after="0" w:line="193" w:lineRule="exact"/>
        <w:rPr>
          <w:sz w:val="20"/>
          <w:szCs w:val="20"/>
          <w:color w:val="auto"/>
        </w:rPr>
      </w:pPr>
    </w:p>
    <w:p>
      <w:pPr>
        <w:jc w:val="both"/>
        <w:ind w:firstLine="180"/>
        <w:spacing w:after="0" w:line="259" w:lineRule="auto"/>
        <w:rPr>
          <w:sz w:val="20"/>
          <w:szCs w:val="20"/>
          <w:color w:val="auto"/>
        </w:rPr>
      </w:pPr>
      <w:r>
        <w:rPr>
          <w:rFonts w:ascii="Arial" w:cs="Arial" w:eastAsia="Arial" w:hAnsi="Arial"/>
          <w:sz w:val="16"/>
          <w:szCs w:val="16"/>
          <w:color w:val="auto"/>
        </w:rPr>
        <w:t>The target value of an executive’s LTI grant increases with their level of responsibility at SLB. For our CEO and the other NEOs, it is the largest element of their compensation. In determining the value of LTI awards granted to our NEOs, our Compensation Committee (in recommending that the Board approve the CEO’s awards) and the CEO (in recommending awards for the other NEOs) first consider market data regarding the LTI value for the most comparable positions in our main executive compensation peer groups, as well as several other factors, such as:</w:t>
      </w:r>
    </w:p>
    <w:p>
      <w:pPr>
        <w:spacing w:after="0" w:line="151" w:lineRule="exact"/>
        <w:rPr>
          <w:sz w:val="20"/>
          <w:szCs w:val="20"/>
          <w:color w:val="auto"/>
        </w:rPr>
      </w:pPr>
    </w:p>
    <w:p>
      <w:pPr>
        <w:ind w:left="360" w:hanging="177"/>
        <w:spacing w:after="0"/>
        <w:tabs>
          <w:tab w:leader="none" w:pos="360" w:val="left"/>
        </w:tabs>
        <w:numPr>
          <w:ilvl w:val="0"/>
          <w:numId w:val="38"/>
        </w:numPr>
        <w:rPr>
          <w:rFonts w:ascii="Arial" w:cs="Arial" w:eastAsia="Arial" w:hAnsi="Arial"/>
          <w:sz w:val="16"/>
          <w:szCs w:val="16"/>
          <w:b w:val="1"/>
          <w:bCs w:val="1"/>
          <w:color w:val="0233A1"/>
        </w:rPr>
      </w:pPr>
      <w:r>
        <w:rPr>
          <w:rFonts w:ascii="Arial" w:cs="Arial" w:eastAsia="Arial" w:hAnsi="Arial"/>
          <w:sz w:val="16"/>
          <w:szCs w:val="16"/>
          <w:color w:val="auto"/>
        </w:rPr>
        <w:t>SLB’s financial and operating performance,</w:t>
      </w:r>
    </w:p>
    <w:p>
      <w:pPr>
        <w:spacing w:after="0" w:line="86" w:lineRule="exact"/>
        <w:rPr>
          <w:rFonts w:ascii="Arial" w:cs="Arial" w:eastAsia="Arial" w:hAnsi="Arial"/>
          <w:sz w:val="16"/>
          <w:szCs w:val="16"/>
          <w:b w:val="1"/>
          <w:bCs w:val="1"/>
          <w:color w:val="0233A1"/>
        </w:rPr>
      </w:pPr>
    </w:p>
    <w:p>
      <w:pPr>
        <w:ind w:left="360" w:hanging="177"/>
        <w:spacing w:after="0"/>
        <w:tabs>
          <w:tab w:leader="none" w:pos="360" w:val="left"/>
        </w:tabs>
        <w:numPr>
          <w:ilvl w:val="0"/>
          <w:numId w:val="38"/>
        </w:numPr>
        <w:rPr>
          <w:rFonts w:ascii="Arial" w:cs="Arial" w:eastAsia="Arial" w:hAnsi="Arial"/>
          <w:sz w:val="16"/>
          <w:szCs w:val="16"/>
          <w:b w:val="1"/>
          <w:bCs w:val="1"/>
          <w:color w:val="0233A1"/>
        </w:rPr>
      </w:pPr>
      <w:r>
        <w:rPr>
          <w:rFonts w:ascii="Arial" w:cs="Arial" w:eastAsia="Arial" w:hAnsi="Arial"/>
          <w:sz w:val="16"/>
          <w:szCs w:val="16"/>
          <w:color w:val="auto"/>
        </w:rPr>
        <w:t>the size and mix of the executive’s total compensation,</w:t>
      </w:r>
    </w:p>
    <w:p>
      <w:pPr>
        <w:spacing w:after="0" w:line="86" w:lineRule="exact"/>
        <w:rPr>
          <w:rFonts w:ascii="Arial" w:cs="Arial" w:eastAsia="Arial" w:hAnsi="Arial"/>
          <w:sz w:val="16"/>
          <w:szCs w:val="16"/>
          <w:b w:val="1"/>
          <w:bCs w:val="1"/>
          <w:color w:val="0233A1"/>
        </w:rPr>
      </w:pPr>
    </w:p>
    <w:p>
      <w:pPr>
        <w:ind w:left="360" w:hanging="177"/>
        <w:spacing w:after="0"/>
        <w:tabs>
          <w:tab w:leader="none" w:pos="360" w:val="left"/>
        </w:tabs>
        <w:numPr>
          <w:ilvl w:val="0"/>
          <w:numId w:val="38"/>
        </w:numPr>
        <w:rPr>
          <w:rFonts w:ascii="Arial" w:cs="Arial" w:eastAsia="Arial" w:hAnsi="Arial"/>
          <w:sz w:val="16"/>
          <w:szCs w:val="16"/>
          <w:b w:val="1"/>
          <w:bCs w:val="1"/>
          <w:color w:val="0233A1"/>
        </w:rPr>
      </w:pPr>
      <w:r>
        <w:rPr>
          <w:rFonts w:ascii="Arial" w:cs="Arial" w:eastAsia="Arial" w:hAnsi="Arial"/>
          <w:sz w:val="16"/>
          <w:szCs w:val="16"/>
          <w:color w:val="auto"/>
        </w:rPr>
        <w:t>internal pay equity,</w:t>
      </w:r>
    </w:p>
    <w:p>
      <w:pPr>
        <w:spacing w:after="0" w:line="86" w:lineRule="exact"/>
        <w:rPr>
          <w:rFonts w:ascii="Arial" w:cs="Arial" w:eastAsia="Arial" w:hAnsi="Arial"/>
          <w:sz w:val="16"/>
          <w:szCs w:val="16"/>
          <w:b w:val="1"/>
          <w:bCs w:val="1"/>
          <w:color w:val="0233A1"/>
        </w:rPr>
      </w:pPr>
    </w:p>
    <w:p>
      <w:pPr>
        <w:ind w:left="360" w:hanging="177"/>
        <w:spacing w:after="0"/>
        <w:tabs>
          <w:tab w:leader="none" w:pos="360" w:val="left"/>
        </w:tabs>
        <w:numPr>
          <w:ilvl w:val="0"/>
          <w:numId w:val="38"/>
        </w:numPr>
        <w:rPr>
          <w:rFonts w:ascii="Arial" w:cs="Arial" w:eastAsia="Arial" w:hAnsi="Arial"/>
          <w:sz w:val="16"/>
          <w:szCs w:val="16"/>
          <w:b w:val="1"/>
          <w:bCs w:val="1"/>
          <w:color w:val="0233A1"/>
        </w:rPr>
      </w:pPr>
      <w:r>
        <w:rPr>
          <w:rFonts w:ascii="Arial" w:cs="Arial" w:eastAsia="Arial" w:hAnsi="Arial"/>
          <w:sz w:val="16"/>
          <w:szCs w:val="16"/>
          <w:color w:val="auto"/>
        </w:rPr>
        <w:t>retention,</w:t>
      </w:r>
    </w:p>
    <w:p>
      <w:pPr>
        <w:spacing w:after="0" w:line="86" w:lineRule="exact"/>
        <w:rPr>
          <w:rFonts w:ascii="Arial" w:cs="Arial" w:eastAsia="Arial" w:hAnsi="Arial"/>
          <w:sz w:val="16"/>
          <w:szCs w:val="16"/>
          <w:b w:val="1"/>
          <w:bCs w:val="1"/>
          <w:color w:val="0233A1"/>
        </w:rPr>
      </w:pPr>
    </w:p>
    <w:p>
      <w:pPr>
        <w:ind w:left="360" w:hanging="177"/>
        <w:spacing w:after="0"/>
        <w:tabs>
          <w:tab w:leader="none" w:pos="360" w:val="left"/>
        </w:tabs>
        <w:numPr>
          <w:ilvl w:val="0"/>
          <w:numId w:val="38"/>
        </w:numPr>
        <w:rPr>
          <w:rFonts w:ascii="Arial" w:cs="Arial" w:eastAsia="Arial" w:hAnsi="Arial"/>
          <w:sz w:val="16"/>
          <w:szCs w:val="16"/>
          <w:b w:val="1"/>
          <w:bCs w:val="1"/>
          <w:color w:val="0233A1"/>
        </w:rPr>
      </w:pPr>
      <w:r>
        <w:rPr>
          <w:rFonts w:ascii="Arial" w:cs="Arial" w:eastAsia="Arial" w:hAnsi="Arial"/>
          <w:sz w:val="16"/>
          <w:szCs w:val="16"/>
          <w:color w:val="auto"/>
        </w:rPr>
        <w:t>the executive’s contribution to SLB’s success, and</w:t>
      </w:r>
    </w:p>
    <w:p>
      <w:pPr>
        <w:spacing w:after="0" w:line="86" w:lineRule="exact"/>
        <w:rPr>
          <w:rFonts w:ascii="Arial" w:cs="Arial" w:eastAsia="Arial" w:hAnsi="Arial"/>
          <w:sz w:val="16"/>
          <w:szCs w:val="16"/>
          <w:b w:val="1"/>
          <w:bCs w:val="1"/>
          <w:color w:val="0233A1"/>
        </w:rPr>
      </w:pPr>
    </w:p>
    <w:p>
      <w:pPr>
        <w:ind w:left="360" w:hanging="177"/>
        <w:spacing w:after="0"/>
        <w:tabs>
          <w:tab w:leader="none" w:pos="360" w:val="left"/>
        </w:tabs>
        <w:numPr>
          <w:ilvl w:val="0"/>
          <w:numId w:val="38"/>
        </w:numPr>
        <w:rPr>
          <w:rFonts w:ascii="Arial" w:cs="Arial" w:eastAsia="Arial" w:hAnsi="Arial"/>
          <w:sz w:val="16"/>
          <w:szCs w:val="16"/>
          <w:b w:val="1"/>
          <w:bCs w:val="1"/>
          <w:color w:val="0233A1"/>
        </w:rPr>
      </w:pPr>
      <w:r>
        <w:rPr>
          <w:rFonts w:ascii="Arial" w:cs="Arial" w:eastAsia="Arial" w:hAnsi="Arial"/>
          <w:sz w:val="16"/>
          <w:szCs w:val="16"/>
          <w:color w:val="auto"/>
        </w:rPr>
        <w:t>the level of competition for executives with comparable skills and experience.</w:t>
      </w:r>
    </w:p>
    <w:p>
      <w:pPr>
        <w:spacing w:after="0" w:line="194" w:lineRule="exact"/>
        <w:rPr>
          <w:sz w:val="20"/>
          <w:szCs w:val="20"/>
          <w:color w:val="auto"/>
        </w:rPr>
      </w:pPr>
    </w:p>
    <w:p>
      <w:pPr>
        <w:ind w:firstLine="180"/>
        <w:spacing w:after="0" w:line="286" w:lineRule="auto"/>
        <w:rPr>
          <w:sz w:val="20"/>
          <w:szCs w:val="20"/>
          <w:color w:val="auto"/>
        </w:rPr>
      </w:pPr>
      <w:r>
        <w:rPr>
          <w:rFonts w:ascii="Arial" w:cs="Arial" w:eastAsia="Arial" w:hAnsi="Arial"/>
          <w:sz w:val="16"/>
          <w:szCs w:val="16"/>
          <w:color w:val="auto"/>
        </w:rPr>
        <w:t>Based on its review of comparator peer group data and internal equity factors, our Compensation Committee determined in January 2023 to maintain the 2023 grant date target LTI values at the same level awarded in 2022 for all of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167640</wp:posOffset>
            </wp:positionV>
            <wp:extent cx="471805" cy="282575"/>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2024 Proxy Statement</w:t>
            </w:r>
          </w:p>
        </w:tc>
        <w:tc>
          <w:tcPr>
            <w:tcW w:w="3600" w:type="dxa"/>
            <w:vAlign w:val="bottom"/>
            <w:tcBorders>
              <w:bottom w:val="single" w:sz="8" w:color="auto"/>
            </w:tcBorders>
          </w:tcPr>
          <w:p>
            <w:pPr>
              <w:spacing w:after="0"/>
              <w:rPr>
                <w:sz w:val="12"/>
                <w:szCs w:val="12"/>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41</w:t>
            </w:r>
          </w:p>
        </w:tc>
        <w:tc>
          <w:tcPr>
            <w:tcW w:w="4480" w:type="dxa"/>
            <w:vAlign w:val="bottom"/>
            <w:tcBorders>
              <w:bottom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36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48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2023 Absolute FCF Margin PSUs — Performance Measures and Goals</w:t>
      </w:r>
    </w:p>
    <w:p>
      <w:pPr>
        <w:spacing w:after="0" w:line="193" w:lineRule="exact"/>
        <w:rPr>
          <w:sz w:val="20"/>
          <w:szCs w:val="20"/>
          <w:color w:val="auto"/>
        </w:rPr>
      </w:pPr>
    </w:p>
    <w:p>
      <w:pPr>
        <w:jc w:val="both"/>
        <w:ind w:firstLine="180"/>
        <w:spacing w:after="0" w:line="266" w:lineRule="auto"/>
        <w:rPr>
          <w:sz w:val="20"/>
          <w:szCs w:val="20"/>
          <w:color w:val="auto"/>
        </w:rPr>
      </w:pPr>
      <w:r>
        <w:rPr>
          <w:rFonts w:ascii="Arial" w:cs="Arial" w:eastAsia="Arial" w:hAnsi="Arial"/>
          <w:sz w:val="16"/>
          <w:szCs w:val="16"/>
          <w:color w:val="auto"/>
        </w:rPr>
        <w:t>In January 2023, our Compensation Committee set goals for the 2023 FCF Margin PSUs based on our absolute FCF margin over a three-year performance period (January 1, 2023 to December 31, 2025). At the end of the performance period, the Committee will certify our three-year cumulative absolute FCF margin and then determine the percentage of shares earned based on the graph below.</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2023 FCF Margin PSU Payout Matrix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137795</wp:posOffset>
            </wp:positionV>
            <wp:extent cx="4286250" cy="2888615"/>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4286250" cy="2888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firstLine="180"/>
        <w:spacing w:after="0" w:line="259" w:lineRule="auto"/>
        <w:rPr>
          <w:sz w:val="20"/>
          <w:szCs w:val="20"/>
          <w:color w:val="auto"/>
        </w:rPr>
      </w:pPr>
      <w:r>
        <w:rPr>
          <w:rFonts w:ascii="Arial" w:cs="Arial" w:eastAsia="Arial" w:hAnsi="Arial"/>
          <w:sz w:val="16"/>
          <w:szCs w:val="16"/>
          <w:color w:val="auto"/>
        </w:rPr>
        <w:t>The number of 2023 FCF Margin PSUs that will vest and convert to shares as of the vesting date can range from 0% to 250% of target, depending on our absolute FCF margin performance over the three-year period. In setting FCF margin performance goals in January 2023, the Committee determined to keep the minimum, target and maximum goals consistent with 2022. As illustrated in the graph above, no SLB shares will be earned if our FCF margin over the three-year performance period is less than the minimum performance goal of 9.0%.</w:t>
      </w:r>
    </w:p>
    <w:p>
      <w:pPr>
        <w:spacing w:after="0" w:line="151" w:lineRule="exact"/>
        <w:rPr>
          <w:sz w:val="20"/>
          <w:szCs w:val="20"/>
          <w:color w:val="auto"/>
        </w:rPr>
      </w:pPr>
    </w:p>
    <w:p>
      <w:pPr>
        <w:jc w:val="both"/>
        <w:ind w:firstLine="180"/>
        <w:spacing w:after="0" w:line="259" w:lineRule="auto"/>
        <w:rPr>
          <w:sz w:val="20"/>
          <w:szCs w:val="20"/>
          <w:color w:val="auto"/>
        </w:rPr>
      </w:pPr>
      <w:r>
        <w:rPr>
          <w:rFonts w:ascii="Arial" w:cs="Arial" w:eastAsia="Arial" w:hAnsi="Arial"/>
          <w:sz w:val="16"/>
          <w:szCs w:val="16"/>
          <w:color w:val="auto"/>
        </w:rPr>
        <w:t>FCF margin is calculated as free cash flow divided by revenue. FCF margin measures how efficiently we convert revenue into free cash flow, and is an indicator of capital efficiency and the quality of revenue. In selecting absolute FCF margin as the performance metric for 25% of our NEOs’ 2023 target LTI grant date fair value, the Committee considered that this metric was aligned with our capital allocation strategy and publicly disclosed financial objective of achieving double-digit FCF margin. The Committee also believes that tying a portion of our NEOs’ LTI payout to FCF margin encourages our executives to:</w:t>
      </w:r>
    </w:p>
    <w:p>
      <w:pPr>
        <w:spacing w:after="0" w:line="151" w:lineRule="exact"/>
        <w:rPr>
          <w:sz w:val="20"/>
          <w:szCs w:val="20"/>
          <w:color w:val="auto"/>
        </w:rPr>
      </w:pPr>
    </w:p>
    <w:p>
      <w:pPr>
        <w:ind w:left="360" w:hanging="177"/>
        <w:spacing w:after="0"/>
        <w:tabs>
          <w:tab w:leader="none" w:pos="360" w:val="left"/>
        </w:tabs>
        <w:numPr>
          <w:ilvl w:val="0"/>
          <w:numId w:val="39"/>
        </w:numPr>
        <w:rPr>
          <w:rFonts w:ascii="Arial" w:cs="Arial" w:eastAsia="Arial" w:hAnsi="Arial"/>
          <w:sz w:val="16"/>
          <w:szCs w:val="16"/>
          <w:b w:val="1"/>
          <w:bCs w:val="1"/>
          <w:color w:val="0233A1"/>
        </w:rPr>
      </w:pPr>
      <w:r>
        <w:rPr>
          <w:rFonts w:ascii="Arial" w:cs="Arial" w:eastAsia="Arial" w:hAnsi="Arial"/>
          <w:sz w:val="16"/>
          <w:szCs w:val="16"/>
          <w:color w:val="auto"/>
        </w:rPr>
        <w:t>maintain capital discipline,</w:t>
      </w:r>
    </w:p>
    <w:p>
      <w:pPr>
        <w:spacing w:after="0" w:line="86" w:lineRule="exact"/>
        <w:rPr>
          <w:rFonts w:ascii="Arial" w:cs="Arial" w:eastAsia="Arial" w:hAnsi="Arial"/>
          <w:sz w:val="16"/>
          <w:szCs w:val="16"/>
          <w:b w:val="1"/>
          <w:bCs w:val="1"/>
          <w:color w:val="0233A1"/>
        </w:rPr>
      </w:pPr>
    </w:p>
    <w:p>
      <w:pPr>
        <w:ind w:left="360" w:hanging="177"/>
        <w:spacing w:after="0"/>
        <w:tabs>
          <w:tab w:leader="none" w:pos="360" w:val="left"/>
        </w:tabs>
        <w:numPr>
          <w:ilvl w:val="0"/>
          <w:numId w:val="39"/>
        </w:numPr>
        <w:rPr>
          <w:rFonts w:ascii="Arial" w:cs="Arial" w:eastAsia="Arial" w:hAnsi="Arial"/>
          <w:sz w:val="16"/>
          <w:szCs w:val="16"/>
          <w:b w:val="1"/>
          <w:bCs w:val="1"/>
          <w:color w:val="0233A1"/>
        </w:rPr>
      </w:pPr>
      <w:r>
        <w:rPr>
          <w:rFonts w:ascii="Arial" w:cs="Arial" w:eastAsia="Arial" w:hAnsi="Arial"/>
          <w:sz w:val="16"/>
          <w:szCs w:val="16"/>
          <w:color w:val="auto"/>
        </w:rPr>
        <w:t>generate high quality revenue to allow for increased returns to shareholders and net debt reduction,</w:t>
      </w:r>
    </w:p>
    <w:p>
      <w:pPr>
        <w:spacing w:after="0" w:line="86" w:lineRule="exact"/>
        <w:rPr>
          <w:rFonts w:ascii="Arial" w:cs="Arial" w:eastAsia="Arial" w:hAnsi="Arial"/>
          <w:sz w:val="16"/>
          <w:szCs w:val="16"/>
          <w:b w:val="1"/>
          <w:bCs w:val="1"/>
          <w:color w:val="0233A1"/>
        </w:rPr>
      </w:pPr>
    </w:p>
    <w:p>
      <w:pPr>
        <w:ind w:left="360" w:hanging="177"/>
        <w:spacing w:after="0"/>
        <w:tabs>
          <w:tab w:leader="none" w:pos="360" w:val="left"/>
        </w:tabs>
        <w:numPr>
          <w:ilvl w:val="0"/>
          <w:numId w:val="39"/>
        </w:numPr>
        <w:rPr>
          <w:rFonts w:ascii="Arial" w:cs="Arial" w:eastAsia="Arial" w:hAnsi="Arial"/>
          <w:sz w:val="16"/>
          <w:szCs w:val="16"/>
          <w:b w:val="1"/>
          <w:bCs w:val="1"/>
          <w:color w:val="0233A1"/>
        </w:rPr>
      </w:pPr>
      <w:r>
        <w:rPr>
          <w:rFonts w:ascii="Arial" w:cs="Arial" w:eastAsia="Arial" w:hAnsi="Arial"/>
          <w:sz w:val="16"/>
          <w:szCs w:val="16"/>
          <w:color w:val="auto"/>
        </w:rPr>
        <w:t>make key investments and capital expenditures in line with our stated growth strategy, including our energy transition strategy, and</w:t>
      </w:r>
    </w:p>
    <w:p>
      <w:pPr>
        <w:spacing w:after="0" w:line="86" w:lineRule="exact"/>
        <w:rPr>
          <w:rFonts w:ascii="Arial" w:cs="Arial" w:eastAsia="Arial" w:hAnsi="Arial"/>
          <w:sz w:val="16"/>
          <w:szCs w:val="16"/>
          <w:b w:val="1"/>
          <w:bCs w:val="1"/>
          <w:color w:val="0233A1"/>
        </w:rPr>
      </w:pPr>
    </w:p>
    <w:p>
      <w:pPr>
        <w:ind w:left="360" w:hanging="177"/>
        <w:spacing w:after="0"/>
        <w:tabs>
          <w:tab w:leader="none" w:pos="360" w:val="left"/>
        </w:tabs>
        <w:numPr>
          <w:ilvl w:val="0"/>
          <w:numId w:val="39"/>
        </w:numPr>
        <w:rPr>
          <w:rFonts w:ascii="Arial" w:cs="Arial" w:eastAsia="Arial" w:hAnsi="Arial"/>
          <w:sz w:val="16"/>
          <w:szCs w:val="16"/>
          <w:b w:val="1"/>
          <w:bCs w:val="1"/>
          <w:color w:val="0233A1"/>
        </w:rPr>
      </w:pPr>
      <w:r>
        <w:rPr>
          <w:rFonts w:ascii="Arial" w:cs="Arial" w:eastAsia="Arial" w:hAnsi="Arial"/>
          <w:sz w:val="16"/>
          <w:szCs w:val="16"/>
          <w:color w:val="auto"/>
        </w:rPr>
        <w:t>increase SLB’s liquidity.</w:t>
      </w:r>
    </w:p>
    <w:p>
      <w:pPr>
        <w:spacing w:after="0" w:line="194" w:lineRule="exact"/>
        <w:rPr>
          <w:sz w:val="20"/>
          <w:szCs w:val="20"/>
          <w:color w:val="auto"/>
        </w:rPr>
      </w:pPr>
    </w:p>
    <w:p>
      <w:pPr>
        <w:ind w:firstLine="180"/>
        <w:spacing w:after="0" w:line="286" w:lineRule="auto"/>
        <w:rPr>
          <w:sz w:val="20"/>
          <w:szCs w:val="20"/>
          <w:color w:val="auto"/>
        </w:rPr>
      </w:pPr>
      <w:r>
        <w:rPr>
          <w:rFonts w:ascii="Arial" w:cs="Arial" w:eastAsia="Arial" w:hAnsi="Arial"/>
          <w:sz w:val="16"/>
          <w:szCs w:val="16"/>
          <w:color w:val="auto"/>
        </w:rPr>
        <w:t>The Committee also selected absolute FCF margin as the performance metric for a portion of our NEOs’ 2023 LTI awards because the Committee sought to maintain a mix of absolute (FCF margin) and relative (ROCE and TSR) metrics in the LTI plan, to effectively manage industry cycles.</w:t>
      </w:r>
    </w:p>
    <w:p>
      <w:pPr>
        <w:spacing w:after="0" w:line="129" w:lineRule="exact"/>
        <w:rPr>
          <w:sz w:val="20"/>
          <w:szCs w:val="20"/>
          <w:color w:val="auto"/>
        </w:rPr>
      </w:pPr>
    </w:p>
    <w:p>
      <w:pPr>
        <w:ind w:firstLine="180"/>
        <w:spacing w:after="0" w:line="286" w:lineRule="auto"/>
        <w:rPr>
          <w:sz w:val="20"/>
          <w:szCs w:val="20"/>
          <w:color w:val="auto"/>
        </w:rPr>
      </w:pPr>
      <w:r>
        <w:rPr>
          <w:rFonts w:ascii="Arial" w:cs="Arial" w:eastAsia="Arial" w:hAnsi="Arial"/>
          <w:sz w:val="16"/>
          <w:szCs w:val="16"/>
          <w:color w:val="auto"/>
        </w:rPr>
        <w:t>Free cash flow represents cash flow from operations less capital expenditures, Asset Performance Solutions investments and exploration data costs capitalized.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471170" cy="282575"/>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471170" cy="282575"/>
                    </a:xfrm>
                    <a:prstGeom prst="rect">
                      <a:avLst/>
                    </a:prstGeom>
                    <a:noFill/>
                  </pic:spPr>
                </pic:pic>
              </a:graphicData>
            </a:graphic>
          </wp:anchor>
        </w:drawing>
      </w:r>
    </w:p>
    <w:p>
      <w:pPr>
        <w:spacing w:after="0" w:line="379" w:lineRule="exact"/>
        <w:rPr>
          <w:sz w:val="20"/>
          <w:szCs w:val="20"/>
          <w:color w:val="auto"/>
        </w:rPr>
      </w:pPr>
    </w:p>
    <w:p>
      <w:pPr>
        <w:jc w:val="both"/>
        <w:ind w:left="5540"/>
        <w:spacing w:after="0"/>
        <w:tabs>
          <w:tab w:leader="none" w:pos="9540" w:val="left"/>
        </w:tabs>
        <w:rPr>
          <w:sz w:val="20"/>
          <w:szCs w:val="20"/>
          <w:color w:val="auto"/>
        </w:rPr>
      </w:pPr>
      <w:r>
        <w:rPr>
          <w:rFonts w:ascii="Arial" w:cs="Arial" w:eastAsia="Arial" w:hAnsi="Arial"/>
          <w:sz w:val="16"/>
          <w:szCs w:val="16"/>
          <w:b w:val="1"/>
          <w:bCs w:val="1"/>
          <w:color w:val="auto"/>
        </w:rPr>
        <w:t>42</w:t>
      </w:r>
      <w:r>
        <w:rPr>
          <w:sz w:val="20"/>
          <w:szCs w:val="20"/>
          <w:color w:val="auto"/>
        </w:rPr>
        <w:tab/>
      </w:r>
      <w:r>
        <w:rPr>
          <w:rFonts w:ascii="Arial" w:cs="Arial" w:eastAsia="Arial" w:hAnsi="Arial"/>
          <w:sz w:val="16"/>
          <w:szCs w:val="16"/>
          <w:b w:val="1"/>
          <w:bCs w:val="1"/>
          <w:color w:val="636466"/>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-29845</wp:posOffset>
            </wp:positionV>
            <wp:extent cx="5417820" cy="17145"/>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34290"/>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2023 Relative ROCE PSUs — Performance Measures and Goals</w:t>
      </w:r>
    </w:p>
    <w:p>
      <w:pPr>
        <w:spacing w:after="0" w:line="193" w:lineRule="exact"/>
        <w:rPr>
          <w:sz w:val="20"/>
          <w:szCs w:val="20"/>
          <w:color w:val="auto"/>
        </w:rPr>
      </w:pPr>
    </w:p>
    <w:p>
      <w:pPr>
        <w:jc w:val="both"/>
        <w:ind w:firstLine="180"/>
        <w:spacing w:after="0" w:line="256" w:lineRule="auto"/>
        <w:rPr>
          <w:sz w:val="20"/>
          <w:szCs w:val="20"/>
          <w:color w:val="auto"/>
        </w:rPr>
      </w:pPr>
      <w:r>
        <w:rPr>
          <w:rFonts w:ascii="Arial" w:cs="Arial" w:eastAsia="Arial" w:hAnsi="Arial"/>
          <w:sz w:val="16"/>
          <w:szCs w:val="16"/>
          <w:color w:val="auto"/>
        </w:rPr>
        <w:t xml:space="preserve">In January 2023, our Compensation Committee set goals for the 2023 ROCE PSUs based on our average annual ROCE over a three-year performance period (January 1, 2023 to December 31, 2025), as compared to the average annual ROCE of the direct competitors identified below, taken together over the same period (together the </w:t>
      </w:r>
      <w:r>
        <w:rPr>
          <w:rFonts w:ascii="Arial" w:cs="Arial" w:eastAsia="Arial" w:hAnsi="Arial"/>
          <w:sz w:val="16"/>
          <w:szCs w:val="16"/>
          <w:b w:val="1"/>
          <w:bCs w:val="1"/>
          <w:color w:val="auto"/>
        </w:rPr>
        <w:t>ROCE comparator group</w:t>
      </w:r>
      <w:r>
        <w:rPr>
          <w:rFonts w:ascii="Arial" w:cs="Arial" w:eastAsia="Arial" w:hAnsi="Arial"/>
          <w:sz w:val="16"/>
          <w:szCs w:val="16"/>
          <w:color w:val="auto"/>
        </w:rPr>
        <w:t>). The ROCE comparator group was the same as the group used for ROCE PSU grants made to our NEOs in 2022. At the end of the performance period, the Committee will certify our average ROCE and that of the ROCE comparator group as a whole, and then determine the percentage of shares earned based on the graph below.</w:t>
      </w:r>
    </w:p>
    <w:p>
      <w:pPr>
        <w:spacing w:after="0" w:line="161"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2023 Relative ROCE PSU Payout Matrix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137795</wp:posOffset>
            </wp:positionV>
            <wp:extent cx="6000750" cy="2580005"/>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6000750"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number of 2023 ROCE PSUs that will vest and convert to shares on the vesting date can range from 0% to 250% of target, depending on our relative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ROCE performance over the three-year period. As illustrated in the graph above:</w:t>
      </w:r>
    </w:p>
    <w:p>
      <w:pPr>
        <w:spacing w:after="0" w:line="178" w:lineRule="exact"/>
        <w:rPr>
          <w:sz w:val="20"/>
          <w:szCs w:val="20"/>
          <w:color w:val="auto"/>
        </w:rPr>
      </w:pPr>
    </w:p>
    <w:p>
      <w:pPr>
        <w:jc w:val="both"/>
        <w:ind w:left="360" w:hanging="177"/>
        <w:spacing w:after="0" w:line="266" w:lineRule="auto"/>
        <w:tabs>
          <w:tab w:leader="none" w:pos="360" w:val="left"/>
        </w:tabs>
        <w:numPr>
          <w:ilvl w:val="0"/>
          <w:numId w:val="40"/>
        </w:numPr>
        <w:rPr>
          <w:rFonts w:ascii="Arial" w:cs="Arial" w:eastAsia="Arial" w:hAnsi="Arial"/>
          <w:sz w:val="16"/>
          <w:szCs w:val="16"/>
          <w:b w:val="1"/>
          <w:bCs w:val="1"/>
          <w:color w:val="0233A1"/>
        </w:rPr>
      </w:pPr>
      <w:r>
        <w:rPr>
          <w:rFonts w:ascii="Arial" w:cs="Arial" w:eastAsia="Arial" w:hAnsi="Arial"/>
          <w:sz w:val="16"/>
          <w:szCs w:val="16"/>
          <w:color w:val="auto"/>
        </w:rPr>
        <w:t>If our average annual ROCE over the three-year performance period is four percentage points or more below the average of the ROCE comparator group, then no 2023 ROCE PSUs will vest and no shares will be earned. This is because our Compensation Committee believes our executives should not receive PSU payouts for significantly low relative ROCE performance.</w:t>
      </w:r>
    </w:p>
    <w:p>
      <w:pPr>
        <w:spacing w:after="0" w:line="36" w:lineRule="exact"/>
        <w:rPr>
          <w:rFonts w:ascii="Arial" w:cs="Arial" w:eastAsia="Arial" w:hAnsi="Arial"/>
          <w:sz w:val="16"/>
          <w:szCs w:val="16"/>
          <w:b w:val="1"/>
          <w:bCs w:val="1"/>
          <w:color w:val="0233A1"/>
        </w:rPr>
      </w:pPr>
    </w:p>
    <w:p>
      <w:pPr>
        <w:jc w:val="both"/>
        <w:ind w:left="360" w:hanging="177"/>
        <w:spacing w:after="0" w:line="266" w:lineRule="auto"/>
        <w:tabs>
          <w:tab w:leader="none" w:pos="360" w:val="left"/>
        </w:tabs>
        <w:numPr>
          <w:ilvl w:val="0"/>
          <w:numId w:val="40"/>
        </w:numPr>
        <w:rPr>
          <w:rFonts w:ascii="Arial" w:cs="Arial" w:eastAsia="Arial" w:hAnsi="Arial"/>
          <w:sz w:val="16"/>
          <w:szCs w:val="16"/>
          <w:b w:val="1"/>
          <w:bCs w:val="1"/>
          <w:color w:val="0233A1"/>
        </w:rPr>
      </w:pPr>
      <w:r>
        <w:rPr>
          <w:rFonts w:ascii="Arial" w:cs="Arial" w:eastAsia="Arial" w:hAnsi="Arial"/>
          <w:sz w:val="16"/>
          <w:szCs w:val="16"/>
          <w:color w:val="auto"/>
        </w:rPr>
        <w:t>If our average annual ROCE over the three-year performance period is equal to that of the average of the ROCE comparator group as a whole, then the 2023 ROCE PSUs will vest at 100% of target. If our average annual ROCE over that period is higher than that of the average of the ROCE comparator group as a whole, then the 2023 ROCE PSUs will vest up to 250% of target, as shown by the solid line in the graph above.</w:t>
      </w:r>
    </w:p>
    <w:p>
      <w:pPr>
        <w:spacing w:after="0" w:line="36" w:lineRule="exact"/>
        <w:rPr>
          <w:rFonts w:ascii="Arial" w:cs="Arial" w:eastAsia="Arial" w:hAnsi="Arial"/>
          <w:sz w:val="16"/>
          <w:szCs w:val="16"/>
          <w:b w:val="1"/>
          <w:bCs w:val="1"/>
          <w:color w:val="0233A1"/>
        </w:rPr>
      </w:pPr>
    </w:p>
    <w:p>
      <w:pPr>
        <w:jc w:val="both"/>
        <w:ind w:left="360" w:hanging="177"/>
        <w:spacing w:after="0" w:line="259" w:lineRule="auto"/>
        <w:tabs>
          <w:tab w:leader="none" w:pos="360" w:val="left"/>
        </w:tabs>
        <w:numPr>
          <w:ilvl w:val="0"/>
          <w:numId w:val="40"/>
        </w:numPr>
        <w:rPr>
          <w:rFonts w:ascii="Arial" w:cs="Arial" w:eastAsia="Arial" w:hAnsi="Arial"/>
          <w:sz w:val="16"/>
          <w:szCs w:val="16"/>
          <w:b w:val="1"/>
          <w:bCs w:val="1"/>
          <w:color w:val="0233A1"/>
        </w:rPr>
      </w:pPr>
      <w:r>
        <w:rPr>
          <w:rFonts w:ascii="Arial" w:cs="Arial" w:eastAsia="Arial" w:hAnsi="Arial"/>
          <w:sz w:val="16"/>
          <w:szCs w:val="16"/>
          <w:color w:val="auto"/>
        </w:rPr>
        <w:t>In addition, if both (x) our absolute, single-year ROCE is greater than 15% in 2025, and (y) our average annual ROCE over the three-year performance period exceeds that of the average of the ROCE comparator group as a whole, then the 2023 ROCE PSUs will vest at an increased rate (up to a maximum of 250%), as shown by the dotted line in the graph above. The Committee increased the trigger for potentially earning these shares from 10% in 2022 to 15% in 2023.</w:t>
      </w:r>
    </w:p>
    <w:p>
      <w:pPr>
        <w:spacing w:after="0" w:line="151" w:lineRule="exact"/>
        <w:rPr>
          <w:sz w:val="20"/>
          <w:szCs w:val="20"/>
          <w:color w:val="auto"/>
        </w:rPr>
      </w:pPr>
    </w:p>
    <w:p>
      <w:pPr>
        <w:jc w:val="both"/>
        <w:ind w:firstLine="180"/>
        <w:spacing w:after="0" w:line="253" w:lineRule="auto"/>
        <w:rPr>
          <w:sz w:val="20"/>
          <w:szCs w:val="20"/>
          <w:color w:val="auto"/>
        </w:rPr>
      </w:pPr>
      <w:r>
        <w:rPr>
          <w:rFonts w:ascii="Arial" w:cs="Arial" w:eastAsia="Arial" w:hAnsi="Arial"/>
          <w:sz w:val="16"/>
          <w:szCs w:val="16"/>
          <w:color w:val="auto"/>
        </w:rPr>
        <w:t>ROCE is a measure of the efficiency of our capital employed, and is a comprehensive indicator of long-term Company and management performance, measured in a way that is tracked and understood by many of our investors. Our Compensation Committee has based a portion of our NEOs’ LTI awards on a relative ROCE metric since 2016 because this metric allows us to directly compare how efficiently we deploy our capital against our direct competitors. The Committee also believes that tying a portion of our executives’ LTI payout to achieving our capital efficiency goals and comparing these results to our competitors will motivate our executives to focus on outperformance, and will result in increased revenue and improved margins. In selecting ROCE as the performance metric for 25% of our NEOs’ 2023 target LTI grant date fair value, the Committee also considered that ROCE performance goals align executives’ potential ROCE PSU payouts with SLB’s goal of achieving ROCE above its weighted average cost of capital.</w:t>
      </w:r>
    </w:p>
    <w:p>
      <w:pPr>
        <w:spacing w:after="0" w:line="154" w:lineRule="exact"/>
        <w:rPr>
          <w:sz w:val="20"/>
          <w:szCs w:val="20"/>
          <w:color w:val="auto"/>
        </w:rPr>
      </w:pPr>
    </w:p>
    <w:p>
      <w:pPr>
        <w:jc w:val="both"/>
        <w:ind w:firstLine="180"/>
        <w:spacing w:after="0" w:line="259" w:lineRule="auto"/>
        <w:rPr>
          <w:sz w:val="20"/>
          <w:szCs w:val="20"/>
          <w:color w:val="auto"/>
        </w:rPr>
      </w:pPr>
      <w:r>
        <w:rPr>
          <w:rFonts w:ascii="Arial" w:cs="Arial" w:eastAsia="Arial" w:hAnsi="Arial"/>
          <w:sz w:val="16"/>
          <w:szCs w:val="16"/>
          <w:color w:val="auto"/>
        </w:rPr>
        <w:t>We calculate ROCE as a ratio, the numerator of which is (a) net income excluding charges and credits, plus (b) after tax net interest expense, and the denominator of which is (x) stockholders’ equity, including non-controlling interests (average of beginning and end of each quarter in the year), plus (y) net debt (average of beginning and end of each quarter in the year). Our Compensation Committee has discretion to cap payouts on the 2023 ROCE PSUs at 100% of target in the event of material asset impairments.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181610</wp:posOffset>
            </wp:positionV>
            <wp:extent cx="471805" cy="282575"/>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2024 Proxy Statement</w:t>
            </w:r>
          </w:p>
        </w:tc>
        <w:tc>
          <w:tcPr>
            <w:tcW w:w="3600" w:type="dxa"/>
            <w:vAlign w:val="bottom"/>
            <w:tcBorders>
              <w:bottom w:val="single" w:sz="8" w:color="auto"/>
            </w:tcBorders>
          </w:tcPr>
          <w:p>
            <w:pPr>
              <w:spacing w:after="0"/>
              <w:rPr>
                <w:sz w:val="12"/>
                <w:szCs w:val="12"/>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43</w:t>
            </w:r>
          </w:p>
        </w:tc>
        <w:tc>
          <w:tcPr>
            <w:tcW w:w="4480" w:type="dxa"/>
            <w:vAlign w:val="bottom"/>
            <w:tcBorders>
              <w:bottom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36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48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2023 Relative TSR PSUs — Performance Measures and Goals</w:t>
      </w:r>
    </w:p>
    <w:p>
      <w:pPr>
        <w:spacing w:after="0" w:line="193" w:lineRule="exact"/>
        <w:rPr>
          <w:sz w:val="20"/>
          <w:szCs w:val="20"/>
          <w:color w:val="auto"/>
        </w:rPr>
      </w:pPr>
    </w:p>
    <w:p>
      <w:pPr>
        <w:jc w:val="both"/>
        <w:ind w:firstLine="180"/>
        <w:spacing w:after="0" w:line="254" w:lineRule="auto"/>
        <w:rPr>
          <w:sz w:val="20"/>
          <w:szCs w:val="20"/>
          <w:color w:val="auto"/>
        </w:rPr>
      </w:pPr>
      <w:r>
        <w:rPr>
          <w:rFonts w:ascii="Arial" w:cs="Arial" w:eastAsia="Arial" w:hAnsi="Arial"/>
          <w:sz w:val="16"/>
          <w:szCs w:val="16"/>
          <w:color w:val="auto"/>
        </w:rPr>
        <w:t xml:space="preserve">In January 2023, our Compensation Committee set goals for the 2023 TSR PSUs based on our relative TSR percentile rank, as compared to the cumulative TSR results achieved by the four direct competitors used for the 2023 ROCE PSUs, plus the S&amp;P Global 1200 Energy Index as a fifth comparator (each, a </w:t>
      </w:r>
      <w:r>
        <w:rPr>
          <w:rFonts w:ascii="Arial" w:cs="Arial" w:eastAsia="Arial" w:hAnsi="Arial"/>
          <w:sz w:val="16"/>
          <w:szCs w:val="16"/>
          <w:b w:val="1"/>
          <w:bCs w:val="1"/>
          <w:color w:val="auto"/>
        </w:rPr>
        <w:t>TSR comparator</w:t>
      </w:r>
      <w:r>
        <w:rPr>
          <w:rFonts w:ascii="Arial" w:cs="Arial" w:eastAsia="Arial" w:hAnsi="Arial"/>
          <w:sz w:val="16"/>
          <w:szCs w:val="16"/>
          <w:color w:val="auto"/>
        </w:rPr>
        <w:t>), over a three-year performance period (January 18, 2023 to December 31, 2025). At the end of the performance period, the Committee will certify the three-year, cumulative TSR results for us and for each TSR comparator, based on the average of the 20 trading days prior to the start and end of the performance period. The Committee will then determine our percentile rank relative to the five TSR comparators, as well as the percentage of shares earned based on the graph below.</w:t>
      </w:r>
    </w:p>
    <w:p>
      <w:pPr>
        <w:spacing w:after="0" w:line="150"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2023 Relative TSR PSU Payout Matrix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137795</wp:posOffset>
            </wp:positionV>
            <wp:extent cx="6000750" cy="2537460"/>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6000750"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firstLine="180"/>
        <w:spacing w:after="0" w:line="256" w:lineRule="auto"/>
        <w:rPr>
          <w:sz w:val="20"/>
          <w:szCs w:val="20"/>
          <w:color w:val="auto"/>
        </w:rPr>
      </w:pPr>
      <w:r>
        <w:rPr>
          <w:rFonts w:ascii="Arial" w:cs="Arial" w:eastAsia="Arial" w:hAnsi="Arial"/>
          <w:sz w:val="16"/>
          <w:szCs w:val="16"/>
          <w:color w:val="auto"/>
        </w:rPr>
        <w:t>As in 2022, the number of 2023 TSR PSUs that will vest and convert to shares as of the vesting date can range from 0% to 200% of target, depending on our relative TSR performance over the three-year period. In maintaining the maximum payout opportunity for the 2023 TSR PSUs at 200%, which is below the maximum payout for the 2023 FCF Margin PSUs and 2023 ROCE PSUs, the Committee considered that management’s efforts would more directly affect FCF margin and ROCE, whereas management had less control over SLB’s TSR relative to that of the TSR comparator companies, due to external market and economic influences.</w:t>
      </w:r>
    </w:p>
    <w:p>
      <w:pPr>
        <w:spacing w:after="0" w:line="9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xml:space="preserve">As illustrated by the graph above, our Compensation Committee set the </w:t>
      </w:r>
      <w:r>
        <w:rPr>
          <w:rFonts w:ascii="Arial" w:cs="Arial" w:eastAsia="Arial" w:hAnsi="Arial"/>
          <w:sz w:val="16"/>
          <w:szCs w:val="16"/>
          <w:b w:val="1"/>
          <w:bCs w:val="1"/>
          <w:color w:val="0233A1"/>
        </w:rPr>
        <w:t>target performance goal above median</w:t>
      </w:r>
      <w:r>
        <w:rPr>
          <w:rFonts w:ascii="Arial" w:cs="Arial" w:eastAsia="Arial" w:hAnsi="Arial"/>
          <w:sz w:val="16"/>
          <w:szCs w:val="16"/>
          <w:color w:val="auto"/>
        </w:rPr>
        <w:t xml:space="preserve"> at the 60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consistent with</w:t>
      </w:r>
    </w:p>
    <w:p>
      <w:pPr>
        <w:jc w:val="both"/>
        <w:spacing w:after="0" w:line="222" w:lineRule="auto"/>
        <w:rPr>
          <w:sz w:val="20"/>
          <w:szCs w:val="20"/>
          <w:color w:val="auto"/>
        </w:rPr>
      </w:pPr>
      <w:r>
        <w:rPr>
          <w:rFonts w:ascii="Arial" w:cs="Arial" w:eastAsia="Arial" w:hAnsi="Arial"/>
          <w:sz w:val="16"/>
          <w:szCs w:val="16"/>
          <w:color w:val="auto"/>
        </w:rPr>
        <w:t>2022. No SLB shares will be earned if our three-year, cumulative TSR is in the bottom 25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rank as compared to that of the individual TSR comparator companies. The Committee determined in 2023 to maintain the same TSR comparators as it had selected in 2022, to continue motivating our NEOs to outperform both our direct competitors and the broader global energy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471170" cy="282575"/>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471170" cy="282575"/>
                    </a:xfrm>
                    <a:prstGeom prst="rect">
                      <a:avLst/>
                    </a:prstGeom>
                    <a:noFill/>
                  </pic:spPr>
                </pic:pic>
              </a:graphicData>
            </a:graphic>
          </wp:anchor>
        </w:drawing>
      </w:r>
    </w:p>
    <w:p>
      <w:pPr>
        <w:spacing w:after="0" w:line="362" w:lineRule="exact"/>
        <w:rPr>
          <w:sz w:val="20"/>
          <w:szCs w:val="20"/>
          <w:color w:val="auto"/>
        </w:rPr>
      </w:pPr>
    </w:p>
    <w:p>
      <w:pPr>
        <w:jc w:val="both"/>
        <w:ind w:left="5540"/>
        <w:spacing w:after="0"/>
        <w:tabs>
          <w:tab w:leader="none" w:pos="9540" w:val="left"/>
        </w:tabs>
        <w:rPr>
          <w:sz w:val="20"/>
          <w:szCs w:val="20"/>
          <w:color w:val="auto"/>
        </w:rPr>
      </w:pPr>
      <w:r>
        <w:rPr>
          <w:rFonts w:ascii="Arial" w:cs="Arial" w:eastAsia="Arial" w:hAnsi="Arial"/>
          <w:sz w:val="16"/>
          <w:szCs w:val="16"/>
          <w:b w:val="1"/>
          <w:bCs w:val="1"/>
          <w:color w:val="auto"/>
        </w:rPr>
        <w:t>44</w:t>
      </w:r>
      <w:r>
        <w:rPr>
          <w:sz w:val="20"/>
          <w:szCs w:val="20"/>
          <w:color w:val="auto"/>
        </w:rPr>
        <w:tab/>
      </w:r>
      <w:r>
        <w:rPr>
          <w:rFonts w:ascii="Arial" w:cs="Arial" w:eastAsia="Arial" w:hAnsi="Arial"/>
          <w:sz w:val="16"/>
          <w:szCs w:val="16"/>
          <w:b w:val="1"/>
          <w:bCs w:val="1"/>
          <w:color w:val="636466"/>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-29845</wp:posOffset>
            </wp:positionV>
            <wp:extent cx="5417820" cy="17145"/>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34290"/>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49" w:name="page50"/>
    <w:bookmarkEnd w:id="49"/>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Payouts Under Prior LTI Awards</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PSUs Vesting in 2023</w:t>
      </w:r>
    </w:p>
    <w:p>
      <w:pPr>
        <w:spacing w:after="0" w:line="194" w:lineRule="exact"/>
        <w:rPr>
          <w:sz w:val="20"/>
          <w:szCs w:val="20"/>
          <w:color w:val="auto"/>
        </w:rPr>
      </w:pPr>
    </w:p>
    <w:p>
      <w:pPr>
        <w:jc w:val="both"/>
        <w:ind w:firstLine="180"/>
        <w:spacing w:after="0" w:line="259" w:lineRule="auto"/>
        <w:rPr>
          <w:sz w:val="20"/>
          <w:szCs w:val="20"/>
          <w:color w:val="auto"/>
        </w:rPr>
      </w:pPr>
      <w:r>
        <w:rPr>
          <w:rFonts w:ascii="Arial" w:cs="Arial" w:eastAsia="Arial" w:hAnsi="Arial"/>
          <w:sz w:val="16"/>
          <w:szCs w:val="16"/>
          <w:color w:val="auto"/>
        </w:rPr>
        <w:t>As previously disclosed in the proxy statement for our 2023 AGM, in January 2023 our Compensation Committee approved payout results for the PSUs issued in 2020 to our NEOs—other than our CEO—based on the Committee’s previously approved performance criteria. Our CEO, Mr. Le Peuch, did not receive an LTI award in 2020 because he had received a PSU award in 2019 in connection with his promotion to CEO, in lieu of a 2020 award. Because Mr. Le Peuch did not receive any LTI award in 2020, he did not vest in any stock awards in 2023.</w:t>
      </w:r>
    </w:p>
    <w:p>
      <w:pPr>
        <w:spacing w:after="0" w:line="151" w:lineRule="exact"/>
        <w:rPr>
          <w:sz w:val="20"/>
          <w:szCs w:val="20"/>
          <w:color w:val="auto"/>
        </w:rPr>
      </w:pPr>
    </w:p>
    <w:p>
      <w:pPr>
        <w:jc w:val="both"/>
        <w:ind w:firstLine="180"/>
        <w:spacing w:after="0" w:line="254" w:lineRule="auto"/>
        <w:rPr>
          <w:sz w:val="20"/>
          <w:szCs w:val="20"/>
          <w:color w:val="auto"/>
        </w:rPr>
      </w:pPr>
      <w:r>
        <w:rPr>
          <w:rFonts w:ascii="Arial" w:cs="Arial" w:eastAsia="Arial" w:hAnsi="Arial"/>
          <w:sz w:val="16"/>
          <w:szCs w:val="16"/>
          <w:color w:val="auto"/>
        </w:rPr>
        <w:t>Our NEOs (other than our CEO) earned 250% of target under the free cash flow conversion PSUs issued in 2020, based on our achievement of a cumulative free cash flow conversion rate of 192% for the two-year performance period applicable to those PSUs. They also earned 250% of target under the relative ROCE PSUs issued in 2020, based on (i) our absolute 2022 ROCE being 13%, and (ii) our average annual ROCE for the three-year performance period being 407 basis points above the average annual ROCE of five of our direct competitors, taken together over the same period. These competitors were Halliburton, Baker Hughes, TechnipFMC, Weatherford International, and NOV. For additional details, see the Option Exercises and Stock Vested in 2023 table on page 53 of this proxy statement.</w:t>
      </w:r>
    </w:p>
    <w:p>
      <w:pPr>
        <w:spacing w:after="0" w:line="155"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PSUs and RSUs Vesting in 2024</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January 2021, our Compensation Committee approved PSU awards to our NEOs as follows:</w:t>
      </w:r>
    </w:p>
    <w:p>
      <w:pPr>
        <w:spacing w:after="0" w:line="194" w:lineRule="exact"/>
        <w:rPr>
          <w:sz w:val="20"/>
          <w:szCs w:val="20"/>
          <w:color w:val="auto"/>
        </w:rPr>
      </w:pPr>
    </w:p>
    <w:p>
      <w:pPr>
        <w:ind w:left="540" w:hanging="181"/>
        <w:spacing w:after="0" w:line="296" w:lineRule="auto"/>
        <w:tabs>
          <w:tab w:leader="none" w:pos="540" w:val="left"/>
        </w:tabs>
        <w:numPr>
          <w:ilvl w:val="0"/>
          <w:numId w:val="41"/>
        </w:numPr>
        <w:rPr>
          <w:rFonts w:ascii="Arial" w:cs="Arial" w:eastAsia="Arial" w:hAnsi="Arial"/>
          <w:sz w:val="16"/>
          <w:szCs w:val="16"/>
          <w:b w:val="1"/>
          <w:bCs w:val="1"/>
          <w:color w:val="0233A1"/>
        </w:rPr>
      </w:pPr>
      <w:r>
        <w:rPr>
          <w:rFonts w:ascii="Arial" w:cs="Arial" w:eastAsia="Arial" w:hAnsi="Arial"/>
          <w:sz w:val="16"/>
          <w:szCs w:val="16"/>
          <w:color w:val="auto"/>
        </w:rPr>
        <w:t xml:space="preserve">For 25% of our NEOs’ 2021 target LTI opportunity, PSU payouts were conditioned based on our absolute FCF margin achieved over a three-year performance period (the </w:t>
      </w:r>
      <w:r>
        <w:rPr>
          <w:rFonts w:ascii="Arial" w:cs="Arial" w:eastAsia="Arial" w:hAnsi="Arial"/>
          <w:sz w:val="16"/>
          <w:szCs w:val="16"/>
          <w:b w:val="1"/>
          <w:bCs w:val="1"/>
          <w:color w:val="auto"/>
        </w:rPr>
        <w:t>2021 FCF Margin PSUs</w:t>
      </w:r>
      <w:r>
        <w:rPr>
          <w:rFonts w:ascii="Arial" w:cs="Arial" w:eastAsia="Arial" w:hAnsi="Arial"/>
          <w:sz w:val="16"/>
          <w:szCs w:val="16"/>
          <w:color w:val="auto"/>
        </w:rPr>
        <w:t>).</w:t>
      </w:r>
    </w:p>
    <w:p>
      <w:pPr>
        <w:spacing w:after="0" w:line="5" w:lineRule="exact"/>
        <w:rPr>
          <w:rFonts w:ascii="Arial" w:cs="Arial" w:eastAsia="Arial" w:hAnsi="Arial"/>
          <w:sz w:val="16"/>
          <w:szCs w:val="16"/>
          <w:b w:val="1"/>
          <w:bCs w:val="1"/>
          <w:color w:val="0233A1"/>
        </w:rPr>
      </w:pPr>
    </w:p>
    <w:p>
      <w:pPr>
        <w:jc w:val="both"/>
        <w:ind w:left="540" w:hanging="181"/>
        <w:spacing w:after="0" w:line="271" w:lineRule="auto"/>
        <w:tabs>
          <w:tab w:leader="none" w:pos="540" w:val="left"/>
        </w:tabs>
        <w:numPr>
          <w:ilvl w:val="0"/>
          <w:numId w:val="41"/>
        </w:numPr>
        <w:rPr>
          <w:rFonts w:ascii="Arial" w:cs="Arial" w:eastAsia="Arial" w:hAnsi="Arial"/>
          <w:sz w:val="16"/>
          <w:szCs w:val="16"/>
          <w:b w:val="1"/>
          <w:bCs w:val="1"/>
          <w:color w:val="0233A1"/>
        </w:rPr>
      </w:pPr>
      <w:r>
        <w:rPr>
          <w:rFonts w:ascii="Arial" w:cs="Arial" w:eastAsia="Arial" w:hAnsi="Arial"/>
          <w:sz w:val="16"/>
          <w:szCs w:val="16"/>
          <w:color w:val="auto"/>
        </w:rPr>
        <w:t xml:space="preserve">For 25% of our NEOs’ 2021 target LTI opportunity, PSU payouts were conditioned based on our average annual ROCE achieved over a three-year performance period as compared to the average annual ROCE of the direct competitors in our ROCE comparator group, taken together over the same period (the </w:t>
      </w:r>
      <w:r>
        <w:rPr>
          <w:rFonts w:ascii="Arial" w:cs="Arial" w:eastAsia="Arial" w:hAnsi="Arial"/>
          <w:sz w:val="16"/>
          <w:szCs w:val="16"/>
          <w:b w:val="1"/>
          <w:bCs w:val="1"/>
          <w:color w:val="auto"/>
        </w:rPr>
        <w:t>2021 ROCE PSUs</w:t>
      </w:r>
      <w:r>
        <w:rPr>
          <w:rFonts w:ascii="Arial" w:cs="Arial" w:eastAsia="Arial" w:hAnsi="Arial"/>
          <w:sz w:val="16"/>
          <w:szCs w:val="16"/>
          <w:color w:val="auto"/>
        </w:rPr>
        <w:t>).</w:t>
      </w:r>
    </w:p>
    <w:p>
      <w:pPr>
        <w:spacing w:after="0" w:line="24" w:lineRule="exact"/>
        <w:rPr>
          <w:rFonts w:ascii="Arial" w:cs="Arial" w:eastAsia="Arial" w:hAnsi="Arial"/>
          <w:sz w:val="16"/>
          <w:szCs w:val="16"/>
          <w:b w:val="1"/>
          <w:bCs w:val="1"/>
          <w:color w:val="0233A1"/>
        </w:rPr>
      </w:pPr>
    </w:p>
    <w:p>
      <w:pPr>
        <w:jc w:val="both"/>
        <w:ind w:left="540" w:hanging="181"/>
        <w:spacing w:after="0" w:line="259" w:lineRule="auto"/>
        <w:tabs>
          <w:tab w:leader="none" w:pos="540" w:val="left"/>
        </w:tabs>
        <w:numPr>
          <w:ilvl w:val="0"/>
          <w:numId w:val="41"/>
        </w:numPr>
        <w:rPr>
          <w:rFonts w:ascii="Arial" w:cs="Arial" w:eastAsia="Arial" w:hAnsi="Arial"/>
          <w:sz w:val="16"/>
          <w:szCs w:val="16"/>
          <w:b w:val="1"/>
          <w:bCs w:val="1"/>
          <w:color w:val="0233A1"/>
        </w:rPr>
      </w:pPr>
      <w:r>
        <w:rPr>
          <w:rFonts w:ascii="Arial" w:cs="Arial" w:eastAsia="Arial" w:hAnsi="Arial"/>
          <w:sz w:val="16"/>
          <w:szCs w:val="16"/>
          <w:color w:val="auto"/>
        </w:rPr>
        <w:t xml:space="preserve">For 25% of our NEOs’ 2021 target LTI opportunity, PSU payouts were conditioned based on our relative TSR percentile rank, as compared to the cumulative TSR results achieved by eight comparator companies in our core industry, over a three-year performance period (the </w:t>
      </w:r>
      <w:r>
        <w:rPr>
          <w:rFonts w:ascii="Arial" w:cs="Arial" w:eastAsia="Arial" w:hAnsi="Arial"/>
          <w:sz w:val="16"/>
          <w:szCs w:val="16"/>
          <w:b w:val="1"/>
          <w:bCs w:val="1"/>
          <w:color w:val="auto"/>
        </w:rPr>
        <w:t>2021 TSR PSUs</w:t>
      </w:r>
      <w:r>
        <w:rPr>
          <w:rFonts w:ascii="Arial" w:cs="Arial" w:eastAsia="Arial" w:hAnsi="Arial"/>
          <w:sz w:val="16"/>
          <w:szCs w:val="16"/>
          <w:color w:val="auto"/>
        </w:rPr>
        <w:t>). These comparator companies were Apache Corporation, Baker Hughes, ConocoPhillips, Halliburton, Hess Corporation, NOV, Occidental Petroleum, and TechnipFMC.</w:t>
      </w:r>
    </w:p>
    <w:p>
      <w:pPr>
        <w:spacing w:after="0" w:line="151" w:lineRule="exact"/>
        <w:rPr>
          <w:sz w:val="20"/>
          <w:szCs w:val="20"/>
          <w:color w:val="auto"/>
        </w:rPr>
      </w:pPr>
    </w:p>
    <w:p>
      <w:pPr>
        <w:ind w:left="180" w:right="20" w:firstLine="180"/>
        <w:spacing w:after="0" w:line="286" w:lineRule="auto"/>
        <w:rPr>
          <w:sz w:val="20"/>
          <w:szCs w:val="20"/>
          <w:color w:val="auto"/>
        </w:rPr>
      </w:pPr>
      <w:r>
        <w:rPr>
          <w:rFonts w:ascii="Arial" w:cs="Arial" w:eastAsia="Arial" w:hAnsi="Arial"/>
          <w:sz w:val="16"/>
          <w:szCs w:val="16"/>
          <w:color w:val="auto"/>
        </w:rPr>
        <w:t>In addition, since 2021, 25% of our NEOs’ target LTI opportunity has been awarded in the form of three-year, time-based RSUs. The RSUs granted in January 2021 vested in January 2024.</w:t>
      </w:r>
    </w:p>
    <w:p>
      <w:pPr>
        <w:spacing w:after="0" w:line="129" w:lineRule="exact"/>
        <w:rPr>
          <w:sz w:val="20"/>
          <w:szCs w:val="20"/>
          <w:color w:val="auto"/>
        </w:rPr>
      </w:pPr>
    </w:p>
    <w:p>
      <w:pPr>
        <w:ind w:left="180" w:firstLine="180"/>
        <w:spacing w:after="0" w:line="286" w:lineRule="auto"/>
        <w:rPr>
          <w:sz w:val="20"/>
          <w:szCs w:val="20"/>
          <w:color w:val="auto"/>
        </w:rPr>
      </w:pPr>
      <w:r>
        <w:rPr>
          <w:rFonts w:ascii="Arial" w:cs="Arial" w:eastAsia="Arial" w:hAnsi="Arial"/>
          <w:sz w:val="16"/>
          <w:szCs w:val="16"/>
          <w:color w:val="auto"/>
        </w:rPr>
        <w:t>In January 2024, the Committee approved the results for the 2021 FCF Margin PSUs, 2021 ROCE PSUs, and 2021 TSR PSUs using the Committee’s previously approved performance criteria.</w:t>
      </w:r>
    </w:p>
    <w:p>
      <w:pPr>
        <w:spacing w:after="0" w:line="129" w:lineRule="exact"/>
        <w:rPr>
          <w:sz w:val="20"/>
          <w:szCs w:val="20"/>
          <w:color w:val="auto"/>
        </w:rPr>
      </w:pPr>
    </w:p>
    <w:p>
      <w:pPr>
        <w:jc w:val="both"/>
        <w:ind w:left="540" w:hanging="181"/>
        <w:spacing w:after="0" w:line="266" w:lineRule="auto"/>
        <w:tabs>
          <w:tab w:leader="none" w:pos="540" w:val="left"/>
        </w:tabs>
        <w:numPr>
          <w:ilvl w:val="0"/>
          <w:numId w:val="42"/>
        </w:numPr>
        <w:rPr>
          <w:rFonts w:ascii="Arial" w:cs="Arial" w:eastAsia="Arial" w:hAnsi="Arial"/>
          <w:sz w:val="16"/>
          <w:szCs w:val="16"/>
          <w:b w:val="1"/>
          <w:bCs w:val="1"/>
          <w:color w:val="0233A1"/>
        </w:rPr>
      </w:pPr>
      <w:r>
        <w:rPr>
          <w:rFonts w:ascii="Arial" w:cs="Arial" w:eastAsia="Arial" w:hAnsi="Arial"/>
          <w:sz w:val="16"/>
          <w:szCs w:val="16"/>
          <w:b w:val="1"/>
          <w:bCs w:val="1"/>
          <w:color w:val="auto"/>
        </w:rPr>
        <w:t xml:space="preserve">2021 FCF Margin PSUs: </w:t>
      </w:r>
      <w:r>
        <w:rPr>
          <w:rFonts w:ascii="Arial" w:cs="Arial" w:eastAsia="Arial" w:hAnsi="Arial"/>
          <w:sz w:val="16"/>
          <w:szCs w:val="16"/>
          <w:color w:val="auto"/>
        </w:rPr>
        <w:t>The Committee determined that SLB had achieved the three-year, cumulative FCF margin performance target of 10.0% for</w:t>
      </w:r>
      <w:r>
        <w:rPr>
          <w:rFonts w:ascii="Arial" w:cs="Arial" w:eastAsia="Arial" w:hAnsi="Arial"/>
          <w:sz w:val="16"/>
          <w:szCs w:val="16"/>
          <w:b w:val="1"/>
          <w:bCs w:val="1"/>
          <w:color w:val="auto"/>
        </w:rPr>
        <w:t xml:space="preserve"> </w:t>
      </w:r>
      <w:r>
        <w:rPr>
          <w:rFonts w:ascii="Arial" w:cs="Arial" w:eastAsia="Arial" w:hAnsi="Arial"/>
          <w:sz w:val="16"/>
          <w:szCs w:val="16"/>
          <w:color w:val="auto"/>
        </w:rPr>
        <w:t>our 2021 FCF Margin PSUs. As a result, and based on the Committee’s previously approved payout matrix, the Committee approved the issuance to our NEOs of 100% of the target shares under these PSUs.</w:t>
      </w:r>
    </w:p>
    <w:p>
      <w:pPr>
        <w:spacing w:after="0" w:line="36" w:lineRule="exact"/>
        <w:rPr>
          <w:rFonts w:ascii="Arial" w:cs="Arial" w:eastAsia="Arial" w:hAnsi="Arial"/>
          <w:sz w:val="16"/>
          <w:szCs w:val="16"/>
          <w:b w:val="1"/>
          <w:bCs w:val="1"/>
          <w:color w:val="0233A1"/>
        </w:rPr>
      </w:pPr>
    </w:p>
    <w:p>
      <w:pPr>
        <w:jc w:val="both"/>
        <w:ind w:left="540" w:hanging="181"/>
        <w:spacing w:after="0" w:line="253" w:lineRule="auto"/>
        <w:tabs>
          <w:tab w:leader="none" w:pos="540" w:val="left"/>
        </w:tabs>
        <w:numPr>
          <w:ilvl w:val="0"/>
          <w:numId w:val="42"/>
        </w:numPr>
        <w:rPr>
          <w:rFonts w:ascii="Arial" w:cs="Arial" w:eastAsia="Arial" w:hAnsi="Arial"/>
          <w:sz w:val="16"/>
          <w:szCs w:val="16"/>
          <w:b w:val="1"/>
          <w:bCs w:val="1"/>
          <w:color w:val="0233A1"/>
        </w:rPr>
      </w:pPr>
      <w:r>
        <w:rPr>
          <w:rFonts w:ascii="Arial" w:cs="Arial" w:eastAsia="Arial" w:hAnsi="Arial"/>
          <w:sz w:val="16"/>
          <w:szCs w:val="16"/>
          <w:b w:val="1"/>
          <w:bCs w:val="1"/>
          <w:color w:val="auto"/>
        </w:rPr>
        <w:t xml:space="preserve">2021 ROCE PSUs: </w:t>
      </w:r>
      <w:r>
        <w:rPr>
          <w:rFonts w:ascii="Arial" w:cs="Arial" w:eastAsia="Arial" w:hAnsi="Arial"/>
          <w:sz w:val="16"/>
          <w:szCs w:val="16"/>
          <w:color w:val="auto"/>
        </w:rPr>
        <w:t>The Committee determined that SLB’s average annual ROCE was 477 basis points above the average of the ROCE comparator</w:t>
      </w:r>
      <w:r>
        <w:rPr>
          <w:rFonts w:ascii="Arial" w:cs="Arial" w:eastAsia="Arial" w:hAnsi="Arial"/>
          <w:sz w:val="16"/>
          <w:szCs w:val="16"/>
          <w:b w:val="1"/>
          <w:bCs w:val="1"/>
          <w:color w:val="auto"/>
        </w:rPr>
        <w:t xml:space="preserve"> </w:t>
      </w:r>
      <w:r>
        <w:rPr>
          <w:rFonts w:ascii="Arial" w:cs="Arial" w:eastAsia="Arial" w:hAnsi="Arial"/>
          <w:sz w:val="16"/>
          <w:szCs w:val="16"/>
          <w:color w:val="auto"/>
        </w:rPr>
        <w:t>group for the performance period through the third quarter of 2023, which was the then-most recent fiscal period end reported by all the companies in the ROCE comparator group. In addition, the Committee determined that SLB had achieved absolute 2023 ROCE of 16%. As a result, based on the Committee’s previously approved payout matrix, the Committee preliminarily determined that the 2021 ROCE PSUs had been earned at 250% of target. Because not all these companies had reported their 2023 audited results as of January 2024, the Committee approved a preliminary issuance of 80% of the shares earned under the 2021 ROCE PSUs. Any additional shares finally determined to have been earned by our NEOs will be issued after all the companies in the ROCE comparator group disclose their full-year 2023 audited results.</w:t>
      </w:r>
    </w:p>
    <w:p>
      <w:pPr>
        <w:spacing w:after="0" w:line="46" w:lineRule="exact"/>
        <w:rPr>
          <w:rFonts w:ascii="Arial" w:cs="Arial" w:eastAsia="Arial" w:hAnsi="Arial"/>
          <w:sz w:val="16"/>
          <w:szCs w:val="16"/>
          <w:b w:val="1"/>
          <w:bCs w:val="1"/>
          <w:color w:val="0233A1"/>
        </w:rPr>
      </w:pPr>
    </w:p>
    <w:p>
      <w:pPr>
        <w:jc w:val="both"/>
        <w:ind w:left="540" w:hanging="181"/>
        <w:spacing w:after="0" w:line="275" w:lineRule="auto"/>
        <w:tabs>
          <w:tab w:leader="none" w:pos="540" w:val="left"/>
        </w:tabs>
        <w:numPr>
          <w:ilvl w:val="0"/>
          <w:numId w:val="42"/>
        </w:numPr>
        <w:rPr>
          <w:rFonts w:ascii="Arial" w:cs="Arial" w:eastAsia="Arial" w:hAnsi="Arial"/>
          <w:sz w:val="16"/>
          <w:szCs w:val="16"/>
          <w:b w:val="1"/>
          <w:bCs w:val="1"/>
          <w:color w:val="0233A1"/>
        </w:rPr>
      </w:pPr>
      <w:r>
        <w:rPr>
          <w:rFonts w:ascii="Arial" w:cs="Arial" w:eastAsia="Arial" w:hAnsi="Arial"/>
          <w:sz w:val="16"/>
          <w:szCs w:val="16"/>
          <w:b w:val="1"/>
          <w:bCs w:val="1"/>
          <w:color w:val="auto"/>
        </w:rPr>
        <w:t xml:space="preserve">2021 TSR PSUs: </w:t>
      </w:r>
      <w:r>
        <w:rPr>
          <w:rFonts w:ascii="Arial" w:cs="Arial" w:eastAsia="Arial" w:hAnsi="Arial"/>
          <w:sz w:val="16"/>
          <w:szCs w:val="16"/>
          <w:color w:val="auto"/>
        </w:rPr>
        <w:t>The Committee determined that SLB’s relative TSR percentile rank for the 2021 TSR PSUs was 41%. As a result, and based on</w:t>
      </w:r>
      <w:r>
        <w:rPr>
          <w:rFonts w:ascii="Arial" w:cs="Arial" w:eastAsia="Arial" w:hAnsi="Arial"/>
          <w:sz w:val="16"/>
          <w:szCs w:val="16"/>
          <w:b w:val="1"/>
          <w:bCs w:val="1"/>
          <w:color w:val="auto"/>
        </w:rPr>
        <w:t xml:space="preserve"> </w:t>
      </w:r>
      <w:r>
        <w:rPr>
          <w:rFonts w:ascii="Arial" w:cs="Arial" w:eastAsia="Arial" w:hAnsi="Arial"/>
          <w:sz w:val="16"/>
          <w:szCs w:val="16"/>
          <w:color w:val="auto"/>
        </w:rPr>
        <w:t>the Committee’s previously approved payout matrix, the Committee approved the issuance to our NEOs of 59% of the target shares under these PSUs.</w:t>
      </w: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Options</w:t>
      </w:r>
    </w:p>
    <w:p>
      <w:pPr>
        <w:spacing w:after="0" w:line="194" w:lineRule="exact"/>
        <w:rPr>
          <w:sz w:val="20"/>
          <w:szCs w:val="20"/>
          <w:color w:val="auto"/>
        </w:rPr>
      </w:pPr>
    </w:p>
    <w:p>
      <w:pPr>
        <w:jc w:val="both"/>
        <w:ind w:firstLine="180"/>
        <w:spacing w:after="0" w:line="286" w:lineRule="auto"/>
        <w:rPr>
          <w:sz w:val="20"/>
          <w:szCs w:val="20"/>
          <w:color w:val="auto"/>
        </w:rPr>
      </w:pPr>
      <w:r>
        <w:rPr>
          <w:rFonts w:ascii="Arial" w:cs="Arial" w:eastAsia="Arial" w:hAnsi="Arial"/>
          <w:sz w:val="16"/>
          <w:szCs w:val="16"/>
          <w:color w:val="auto"/>
        </w:rPr>
        <w:t>Prior to 2017, SLB granted a significant portion of its LTI compensation to executives in the form of stock options. Beginning in 2017, SLB ended its practice of granting stock options to executive officers. As of December 31, 2023, all of our NEOs’ outstanding stock options were “underwater.”</w:t>
      </w:r>
    </w:p>
    <w:p>
      <w:pPr>
        <w:spacing w:after="0" w:line="242" w:lineRule="exact"/>
        <w:rPr>
          <w:sz w:val="20"/>
          <w:szCs w:val="20"/>
          <w:color w:val="auto"/>
        </w:rPr>
      </w:pPr>
    </w:p>
    <w:p>
      <w:pPr>
        <w:spacing w:after="0"/>
        <w:rPr>
          <w:sz w:val="20"/>
          <w:szCs w:val="20"/>
          <w:color w:val="auto"/>
        </w:rPr>
      </w:pPr>
      <w:r>
        <w:rPr>
          <w:rFonts w:ascii="Arial" w:cs="Arial" w:eastAsia="Arial" w:hAnsi="Arial"/>
          <w:sz w:val="25"/>
          <w:szCs w:val="25"/>
          <w:color w:val="0233A1"/>
        </w:rPr>
        <w:t>Other Benefits</w:t>
      </w: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Officer Departure Guidelines</w:t>
      </w:r>
    </w:p>
    <w:p>
      <w:pPr>
        <w:spacing w:after="0" w:line="193" w:lineRule="exact"/>
        <w:rPr>
          <w:sz w:val="20"/>
          <w:szCs w:val="20"/>
          <w:color w:val="auto"/>
        </w:rPr>
      </w:pPr>
    </w:p>
    <w:p>
      <w:pPr>
        <w:jc w:val="both"/>
        <w:ind w:firstLine="180"/>
        <w:spacing w:after="0" w:line="259" w:lineRule="auto"/>
        <w:rPr>
          <w:sz w:val="20"/>
          <w:szCs w:val="20"/>
          <w:color w:val="auto"/>
        </w:rPr>
      </w:pPr>
      <w:r>
        <w:rPr>
          <w:rFonts w:ascii="Arial" w:cs="Arial" w:eastAsia="Arial" w:hAnsi="Arial"/>
          <w:sz w:val="16"/>
          <w:szCs w:val="16"/>
          <w:color w:val="auto"/>
        </w:rPr>
        <w:t>Our Compensation Committee has approved guidelines covering, among other things, LTI vesting, salary, benefits, and other compensation matters for officers departing SLB, either because they are eligible for retirement, early retirement, or special retirement, or because they are involuntarily terminated (if not eligible for retirement). These guidelines are a non-binding framework referenced by management in its executive succession planning, with flexibility as required by specific situations.</w:t>
      </w:r>
    </w:p>
    <w:p>
      <w:pPr>
        <w:spacing w:after="0" w:line="151" w:lineRule="exact"/>
        <w:rPr>
          <w:sz w:val="20"/>
          <w:szCs w:val="20"/>
          <w:color w:val="auto"/>
        </w:rPr>
      </w:pPr>
    </w:p>
    <w:p>
      <w:pPr>
        <w:jc w:val="both"/>
        <w:ind w:firstLine="180"/>
        <w:spacing w:after="0" w:line="254" w:lineRule="auto"/>
        <w:rPr>
          <w:sz w:val="20"/>
          <w:szCs w:val="20"/>
          <w:color w:val="auto"/>
        </w:rPr>
      </w:pPr>
      <w:r>
        <w:rPr>
          <w:rFonts w:ascii="Arial" w:cs="Arial" w:eastAsia="Arial" w:hAnsi="Arial"/>
          <w:sz w:val="16"/>
          <w:szCs w:val="16"/>
          <w:color w:val="auto"/>
        </w:rPr>
        <w:t>Under the guidelines, we may, at our discretion, enter into agreements with outgoing officers whereby they would remain employed by SLB during the agreement term and receive annual cash payments that would generally be less than their pre-termination annual base salary. In addition, outgoing officers would receive a prorated STI award payment with respect to the year of their departure. They would also receive benefits such as medical coverage and life and disability insurance during the agreement term, and would continue to vest in previously granted LTI awards—but would not receive any new LTI awards —during the agreement term. In exchange, the outgoing officers must agree to non-competition, non-solicitation, and non-disparagement covenants, and generally would agree to be available to SLB for a portion of their business time during the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184150</wp:posOffset>
            </wp:positionV>
            <wp:extent cx="471805" cy="283210"/>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471805" cy="283210"/>
                    </a:xfrm>
                    <a:prstGeom prst="rect">
                      <a:avLst/>
                    </a:prstGeom>
                    <a:noFill/>
                  </pic:spPr>
                </pic:pic>
              </a:graphicData>
            </a:graphic>
          </wp:anchor>
        </w:drawing>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2024 Proxy Statement</w:t>
            </w:r>
          </w:p>
        </w:tc>
        <w:tc>
          <w:tcPr>
            <w:tcW w:w="3600" w:type="dxa"/>
            <w:vAlign w:val="bottom"/>
            <w:tcBorders>
              <w:bottom w:val="single" w:sz="8" w:color="auto"/>
            </w:tcBorders>
          </w:tcPr>
          <w:p>
            <w:pPr>
              <w:spacing w:after="0"/>
              <w:rPr>
                <w:sz w:val="12"/>
                <w:szCs w:val="12"/>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45</w:t>
            </w:r>
          </w:p>
        </w:tc>
        <w:tc>
          <w:tcPr>
            <w:tcW w:w="4480" w:type="dxa"/>
            <w:vAlign w:val="bottom"/>
            <w:tcBorders>
              <w:bottom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36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48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582" w:gutter="0" w:footer="0" w:header="0"/>
        </w:sectPr>
      </w:pPr>
    </w:p>
    <w:bookmarkStart w:id="50" w:name="page51"/>
    <w:bookmarkEnd w:id="50"/>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Broadly Available Benefit Plans</w:t>
      </w:r>
    </w:p>
    <w:p>
      <w:pPr>
        <w:spacing w:after="0" w:line="193" w:lineRule="exact"/>
        <w:rPr>
          <w:sz w:val="20"/>
          <w:szCs w:val="20"/>
          <w:color w:val="auto"/>
        </w:rPr>
      </w:pPr>
    </w:p>
    <w:p>
      <w:pPr>
        <w:jc w:val="both"/>
        <w:ind w:firstLine="180"/>
        <w:spacing w:after="0" w:line="259" w:lineRule="auto"/>
        <w:rPr>
          <w:sz w:val="20"/>
          <w:szCs w:val="20"/>
          <w:color w:val="auto"/>
        </w:rPr>
      </w:pPr>
      <w:r>
        <w:rPr>
          <w:rFonts w:ascii="Arial" w:cs="Arial" w:eastAsia="Arial" w:hAnsi="Arial"/>
          <w:sz w:val="16"/>
          <w:szCs w:val="16"/>
          <w:color w:val="auto"/>
        </w:rPr>
        <w:t>We seek to provide benefit plans, such as medical coverage and life and disability insurance, on a country-by-country basis in line with market conditions. Where the local practice is considered to be less than the SLB minimum standard, we generally enhance the local plans to meet the SLB standard plan. Our NEOs are eligible for the same benefit plans provided to other employees, including medical coverage and life and disability insurance, as well as supplemental plans chosen and paid for by employees who wish to obtain additional coverage. There are no special insurance plans for our NEOs.</w:t>
      </w:r>
    </w:p>
    <w:p>
      <w:pPr>
        <w:spacing w:after="0" w:line="151" w:lineRule="exact"/>
        <w:rPr>
          <w:sz w:val="20"/>
          <w:szCs w:val="20"/>
          <w:color w:val="auto"/>
        </w:rPr>
      </w:pPr>
    </w:p>
    <w:p>
      <w:pPr>
        <w:jc w:val="both"/>
        <w:ind w:firstLine="180"/>
        <w:spacing w:after="0" w:line="259" w:lineRule="auto"/>
        <w:rPr>
          <w:sz w:val="20"/>
          <w:szCs w:val="20"/>
          <w:color w:val="auto"/>
        </w:rPr>
      </w:pPr>
      <w:r>
        <w:rPr>
          <w:rFonts w:ascii="Arial" w:cs="Arial" w:eastAsia="Arial" w:hAnsi="Arial"/>
          <w:sz w:val="16"/>
          <w:szCs w:val="16"/>
          <w:color w:val="auto"/>
        </w:rPr>
        <w:t>In line with our aim to encourage long-term careers with SLB and to promote retention, retirement plans are provided, where possible and according to local market practice, for all employees, including NEOs. For details regarding our pension plans and nonqualified deferred compensation plans, see “Executive Compensation Tables—Pension Benefits,” “—Nonqualified Deferred Compensation,” “—Potential Payments Upon Termination or Change in Control—Retirement Plans,” and “—Retiree Medical” and the accompanying narratives beginning on page 54 of this proxy statement.</w:t>
      </w: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Limited Perquisites</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We provide only limited perquisites to our NEOs, which are identified in the footnotes to the Summary Compensation Table.</w:t>
      </w:r>
    </w:p>
    <w:p>
      <w:pPr>
        <w:spacing w:after="0" w:line="298" w:lineRule="exact"/>
        <w:rPr>
          <w:sz w:val="20"/>
          <w:szCs w:val="20"/>
          <w:color w:val="auto"/>
        </w:rPr>
      </w:pPr>
    </w:p>
    <w:p>
      <w:pPr>
        <w:spacing w:after="0"/>
        <w:rPr>
          <w:sz w:val="20"/>
          <w:szCs w:val="20"/>
          <w:color w:val="auto"/>
        </w:rPr>
      </w:pPr>
      <w:r>
        <w:rPr>
          <w:rFonts w:ascii="Arial" w:cs="Arial" w:eastAsia="Arial" w:hAnsi="Arial"/>
          <w:sz w:val="29"/>
          <w:szCs w:val="29"/>
          <w:color w:val="16458B"/>
        </w:rPr>
        <w:t>Other Aspects of Our Executive Compensation Program</w:t>
      </w:r>
    </w:p>
    <w:p>
      <w:pPr>
        <w:spacing w:after="0" w:line="324" w:lineRule="exact"/>
        <w:rPr>
          <w:sz w:val="20"/>
          <w:szCs w:val="20"/>
          <w:color w:val="auto"/>
        </w:rPr>
      </w:pPr>
    </w:p>
    <w:p>
      <w:pPr>
        <w:spacing w:after="0"/>
        <w:rPr>
          <w:sz w:val="20"/>
          <w:szCs w:val="20"/>
          <w:color w:val="auto"/>
        </w:rPr>
      </w:pPr>
      <w:r>
        <w:rPr>
          <w:rFonts w:ascii="Arial" w:cs="Arial" w:eastAsia="Arial" w:hAnsi="Arial"/>
          <w:sz w:val="25"/>
          <w:szCs w:val="25"/>
          <w:color w:val="0233A1"/>
        </w:rPr>
        <w:t>Competition for Our Executive Talent</w:t>
      </w:r>
    </w:p>
    <w:p>
      <w:pPr>
        <w:spacing w:after="0" w:line="207" w:lineRule="exact"/>
        <w:rPr>
          <w:sz w:val="20"/>
          <w:szCs w:val="20"/>
          <w:color w:val="auto"/>
        </w:rPr>
      </w:pPr>
    </w:p>
    <w:p>
      <w:pPr>
        <w:jc w:val="both"/>
        <w:ind w:firstLine="180"/>
        <w:spacing w:after="0" w:line="259" w:lineRule="auto"/>
        <w:rPr>
          <w:sz w:val="20"/>
          <w:szCs w:val="20"/>
          <w:color w:val="auto"/>
        </w:rPr>
      </w:pPr>
      <w:r>
        <w:rPr>
          <w:rFonts w:ascii="Arial" w:cs="Arial" w:eastAsia="Arial" w:hAnsi="Arial"/>
          <w:sz w:val="16"/>
          <w:szCs w:val="16"/>
          <w:color w:val="auto"/>
        </w:rPr>
        <w:t>A primary consideration of our Compensation Committee in overseeing our executive compensation program is the need to motivate and retain what it believes is the best executive talent in our industry. We are a global technology company, driving energy innovation for a balanced planet, and the Committee believes that delivering financial and operational outperformance and long-term shareholder returns depends on our ability to attract, develop, and retain the best talent globally. A highly competitive compensation package is critical to this objective.</w:t>
      </w:r>
    </w:p>
    <w:p>
      <w:pPr>
        <w:spacing w:after="0" w:line="9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As a result, the Committee generally seeks to target total compensation for our NEOs between the 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and 75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percentiles of our two main executive</w:t>
      </w:r>
    </w:p>
    <w:p>
      <w:pPr>
        <w:jc w:val="both"/>
        <w:spacing w:after="0" w:line="222" w:lineRule="auto"/>
        <w:rPr>
          <w:sz w:val="20"/>
          <w:szCs w:val="20"/>
          <w:color w:val="auto"/>
        </w:rPr>
      </w:pPr>
      <w:r>
        <w:rPr>
          <w:rFonts w:ascii="Arial" w:cs="Arial" w:eastAsia="Arial" w:hAnsi="Arial"/>
          <w:sz w:val="16"/>
          <w:szCs w:val="16"/>
          <w:color w:val="auto"/>
        </w:rPr>
        <w:t>compensation peer groups. The Committee may also position an NEO who is new to a position at or below the 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for a period of time. An NEO’s target total compensation depends on a variety of factors, including tenure in a particular position, individual and Company performance, and internal pay equity.</w:t>
      </w:r>
    </w:p>
    <w:p>
      <w:pPr>
        <w:spacing w:after="0" w:line="168" w:lineRule="exact"/>
        <w:rPr>
          <w:sz w:val="20"/>
          <w:szCs w:val="20"/>
          <w:color w:val="auto"/>
        </w:rPr>
      </w:pPr>
    </w:p>
    <w:p>
      <w:pPr>
        <w:jc w:val="both"/>
        <w:ind w:firstLine="180"/>
        <w:spacing w:after="0" w:line="231" w:lineRule="auto"/>
        <w:rPr>
          <w:sz w:val="20"/>
          <w:szCs w:val="20"/>
          <w:color w:val="auto"/>
        </w:rPr>
      </w:pPr>
      <w:r>
        <w:rPr>
          <w:rFonts w:ascii="Arial" w:cs="Arial" w:eastAsia="Arial" w:hAnsi="Arial"/>
          <w:sz w:val="16"/>
          <w:szCs w:val="16"/>
          <w:color w:val="auto"/>
        </w:rPr>
        <w:t>Competition for executive talent in our industry is exceptionally fierce. The Committee believes that the 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to 75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range is appropriate for us to target in light of SLB’s leading position in our industry, and because our executives are very highly sought after, both by our direct competitors and by other leading oil and gas, advanced extractive, technology-driven manufacturing, and engineering-focused companies, including companies focused on the new energy economy.</w:t>
      </w:r>
    </w:p>
    <w:p>
      <w:pPr>
        <w:spacing w:after="0" w:line="165" w:lineRule="exact"/>
        <w:rPr>
          <w:sz w:val="20"/>
          <w:szCs w:val="20"/>
          <w:color w:val="auto"/>
        </w:rPr>
      </w:pPr>
    </w:p>
    <w:p>
      <w:pPr>
        <w:jc w:val="both"/>
        <w:ind w:right="20" w:firstLine="180"/>
        <w:spacing w:after="0" w:line="266" w:lineRule="auto"/>
        <w:rPr>
          <w:sz w:val="20"/>
          <w:szCs w:val="20"/>
          <w:color w:val="auto"/>
        </w:rPr>
      </w:pPr>
      <w:r>
        <w:rPr>
          <w:rFonts w:ascii="Arial" w:cs="Arial" w:eastAsia="Arial" w:hAnsi="Arial"/>
          <w:sz w:val="16"/>
          <w:szCs w:val="16"/>
          <w:color w:val="auto"/>
        </w:rPr>
        <w:t>In approving this target range and when setting compensation for 2023, the Committee considered that many current and former senior executives of leading companies in various industries have previously served in senior management at SLB. Former members of senior SLB management have either been, or are, senior executives at the competitors, customers, and other technology- and engineering-focused companies listed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890"/>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920" w:type="dxa"/>
            <w:vAlign w:val="bottom"/>
          </w:tcPr>
          <w:p>
            <w:pPr>
              <w:spacing w:after="0"/>
              <w:rPr>
                <w:sz w:val="16"/>
                <w:szCs w:val="16"/>
                <w:color w:val="auto"/>
              </w:rPr>
            </w:pPr>
          </w:p>
        </w:tc>
        <w:tc>
          <w:tcPr>
            <w:tcW w:w="2100" w:type="dxa"/>
            <w:vAlign w:val="bottom"/>
          </w:tcPr>
          <w:p>
            <w:pPr>
              <w:jc w:val="center"/>
              <w:ind w:right="1379"/>
              <w:spacing w:after="0"/>
              <w:rPr>
                <w:sz w:val="20"/>
                <w:szCs w:val="20"/>
                <w:color w:val="auto"/>
              </w:rPr>
            </w:pPr>
            <w:r>
              <w:rPr>
                <w:rFonts w:ascii="Arial" w:cs="Arial" w:eastAsia="Arial" w:hAnsi="Arial"/>
                <w:sz w:val="16"/>
                <w:szCs w:val="16"/>
                <w:b w:val="1"/>
                <w:bCs w:val="1"/>
                <w:color w:val="auto"/>
              </w:rPr>
              <w:t>Engie</w:t>
            </w:r>
          </w:p>
        </w:tc>
        <w:tc>
          <w:tcPr>
            <w:tcW w:w="2980" w:type="dxa"/>
            <w:vAlign w:val="bottom"/>
            <w:gridSpan w:val="3"/>
          </w:tcPr>
          <w:p>
            <w:pPr>
              <w:jc w:val="center"/>
              <w:ind w:right="600"/>
              <w:spacing w:after="0"/>
              <w:rPr>
                <w:sz w:val="20"/>
                <w:szCs w:val="20"/>
                <w:color w:val="auto"/>
              </w:rPr>
            </w:pPr>
            <w:r>
              <w:rPr>
                <w:rFonts w:ascii="Arial" w:cs="Arial" w:eastAsia="Arial" w:hAnsi="Arial"/>
                <w:sz w:val="16"/>
                <w:szCs w:val="16"/>
                <w:b w:val="1"/>
                <w:bCs w:val="1"/>
                <w:color w:val="auto"/>
                <w:w w:val="99"/>
              </w:rPr>
              <w:t>BAE Systems*</w:t>
            </w:r>
          </w:p>
        </w:tc>
        <w:tc>
          <w:tcPr>
            <w:tcW w:w="1800" w:type="dxa"/>
            <w:vAlign w:val="bottom"/>
          </w:tcPr>
          <w:p>
            <w:pPr>
              <w:jc w:val="center"/>
              <w:ind w:left="379"/>
              <w:spacing w:after="0"/>
              <w:rPr>
                <w:sz w:val="20"/>
                <w:szCs w:val="20"/>
                <w:color w:val="auto"/>
              </w:rPr>
            </w:pPr>
            <w:r>
              <w:rPr>
                <w:rFonts w:ascii="Arial" w:cs="Arial" w:eastAsia="Arial" w:hAnsi="Arial"/>
                <w:sz w:val="16"/>
                <w:szCs w:val="16"/>
                <w:b w:val="1"/>
                <w:bCs w:val="1"/>
                <w:color w:val="auto"/>
              </w:rPr>
              <w:t>Bureau Veritas</w:t>
            </w: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0" w:type="dxa"/>
            <w:vAlign w:val="bottom"/>
          </w:tcPr>
          <w:p>
            <w:pPr>
              <w:jc w:val="center"/>
              <w:ind w:right="619"/>
              <w:spacing w:after="0"/>
              <w:rPr>
                <w:sz w:val="20"/>
                <w:szCs w:val="20"/>
                <w:color w:val="auto"/>
              </w:rPr>
            </w:pPr>
            <w:r>
              <w:rPr>
                <w:rFonts w:ascii="Arial" w:cs="Arial" w:eastAsia="Arial" w:hAnsi="Arial"/>
                <w:sz w:val="16"/>
                <w:szCs w:val="16"/>
                <w:b w:val="1"/>
                <w:bCs w:val="1"/>
                <w:color w:val="auto"/>
                <w:w w:val="99"/>
              </w:rPr>
              <w:t>TechnipFMC*</w:t>
            </w:r>
          </w:p>
        </w:tc>
        <w:tc>
          <w:tcPr>
            <w:tcW w:w="0" w:type="dxa"/>
            <w:vAlign w:val="bottom"/>
          </w:tcPr>
          <w:p>
            <w:pPr>
              <w:spacing w:after="0"/>
              <w:rPr>
                <w:sz w:val="1"/>
                <w:szCs w:val="1"/>
                <w:color w:val="auto"/>
              </w:rPr>
            </w:pPr>
          </w:p>
        </w:tc>
      </w:tr>
      <w:tr>
        <w:trPr>
          <w:trHeight w:val="220"/>
        </w:trPr>
        <w:tc>
          <w:tcPr>
            <w:tcW w:w="3020" w:type="dxa"/>
            <w:vAlign w:val="bottom"/>
            <w:gridSpan w:val="2"/>
          </w:tcPr>
          <w:p>
            <w:pPr>
              <w:jc w:val="center"/>
              <w:ind w:right="339"/>
              <w:spacing w:after="0"/>
              <w:rPr>
                <w:sz w:val="20"/>
                <w:szCs w:val="20"/>
                <w:color w:val="auto"/>
              </w:rPr>
            </w:pPr>
            <w:r>
              <w:rPr>
                <w:rFonts w:ascii="Arial" w:cs="Arial" w:eastAsia="Arial" w:hAnsi="Arial"/>
                <w:sz w:val="16"/>
                <w:szCs w:val="16"/>
                <w:i w:val="1"/>
                <w:iCs w:val="1"/>
                <w:color w:val="auto"/>
              </w:rPr>
              <w:t>(current CEO)</w:t>
            </w:r>
          </w:p>
        </w:tc>
        <w:tc>
          <w:tcPr>
            <w:tcW w:w="2980" w:type="dxa"/>
            <w:vAlign w:val="bottom"/>
            <w:gridSpan w:val="3"/>
          </w:tcPr>
          <w:p>
            <w:pPr>
              <w:jc w:val="center"/>
              <w:ind w:right="540"/>
              <w:spacing w:after="0"/>
              <w:rPr>
                <w:sz w:val="20"/>
                <w:szCs w:val="20"/>
                <w:color w:val="auto"/>
              </w:rPr>
            </w:pPr>
            <w:r>
              <w:rPr>
                <w:rFonts w:ascii="Arial" w:cs="Arial" w:eastAsia="Arial" w:hAnsi="Arial"/>
                <w:sz w:val="16"/>
                <w:szCs w:val="16"/>
                <w:i w:val="1"/>
                <w:iCs w:val="1"/>
                <w:color w:val="auto"/>
              </w:rPr>
              <w:t>(current CEO, CFO &amp; CHRO)</w:t>
            </w:r>
          </w:p>
        </w:tc>
        <w:tc>
          <w:tcPr>
            <w:tcW w:w="1800" w:type="dxa"/>
            <w:vAlign w:val="bottom"/>
          </w:tcPr>
          <w:p>
            <w:pPr>
              <w:jc w:val="center"/>
              <w:ind w:left="439"/>
              <w:spacing w:after="0"/>
              <w:rPr>
                <w:sz w:val="20"/>
                <w:szCs w:val="20"/>
                <w:color w:val="auto"/>
              </w:rPr>
            </w:pPr>
            <w:r>
              <w:rPr>
                <w:rFonts w:ascii="Arial" w:cs="Arial" w:eastAsia="Arial" w:hAnsi="Arial"/>
                <w:sz w:val="16"/>
                <w:szCs w:val="16"/>
                <w:i w:val="1"/>
                <w:iCs w:val="1"/>
                <w:color w:val="auto"/>
              </w:rPr>
              <w:t>(current CEO)</w:t>
            </w:r>
          </w:p>
        </w:tc>
        <w:tc>
          <w:tcPr>
            <w:tcW w:w="840" w:type="dxa"/>
            <w:vAlign w:val="bottom"/>
          </w:tcPr>
          <w:p>
            <w:pPr>
              <w:spacing w:after="0"/>
              <w:rPr>
                <w:sz w:val="19"/>
                <w:szCs w:val="19"/>
                <w:color w:val="auto"/>
              </w:rPr>
            </w:pPr>
          </w:p>
        </w:tc>
        <w:tc>
          <w:tcPr>
            <w:tcW w:w="2600" w:type="dxa"/>
            <w:vAlign w:val="bottom"/>
            <w:gridSpan w:val="2"/>
          </w:tcPr>
          <w:p>
            <w:pPr>
              <w:jc w:val="center"/>
              <w:ind w:left="60"/>
              <w:spacing w:after="0"/>
              <w:rPr>
                <w:sz w:val="20"/>
                <w:szCs w:val="20"/>
                <w:color w:val="auto"/>
              </w:rPr>
            </w:pPr>
            <w:r>
              <w:rPr>
                <w:rFonts w:ascii="Arial" w:cs="Arial" w:eastAsia="Arial" w:hAnsi="Arial"/>
                <w:sz w:val="16"/>
                <w:szCs w:val="16"/>
                <w:i w:val="1"/>
                <w:iCs w:val="1"/>
                <w:color w:val="auto"/>
              </w:rPr>
              <w:t>(current CEO and CTO)</w:t>
            </w:r>
          </w:p>
        </w:tc>
        <w:tc>
          <w:tcPr>
            <w:tcW w:w="0" w:type="dxa"/>
            <w:vAlign w:val="bottom"/>
          </w:tcPr>
          <w:p>
            <w:pPr>
              <w:spacing w:after="0"/>
              <w:rPr>
                <w:sz w:val="1"/>
                <w:szCs w:val="1"/>
                <w:color w:val="auto"/>
              </w:rPr>
            </w:pPr>
          </w:p>
        </w:tc>
      </w:tr>
      <w:tr>
        <w:trPr>
          <w:trHeight w:val="225"/>
        </w:trPr>
        <w:tc>
          <w:tcPr>
            <w:tcW w:w="3020" w:type="dxa"/>
            <w:vAlign w:val="bottom"/>
            <w:gridSpan w:val="2"/>
            <w:shd w:val="clear" w:color="auto" w:fill="E0E2EA"/>
          </w:tcPr>
          <w:p>
            <w:pPr>
              <w:jc w:val="center"/>
              <w:ind w:right="459"/>
              <w:spacing w:after="0"/>
              <w:rPr>
                <w:sz w:val="20"/>
                <w:szCs w:val="20"/>
                <w:color w:val="auto"/>
              </w:rPr>
            </w:pPr>
            <w:r>
              <w:rPr>
                <w:rFonts w:ascii="Arial" w:cs="Arial" w:eastAsia="Arial" w:hAnsi="Arial"/>
                <w:sz w:val="16"/>
                <w:szCs w:val="16"/>
                <w:b w:val="1"/>
                <w:bCs w:val="1"/>
                <w:color w:val="auto"/>
              </w:rPr>
              <w:t>Baker Hughes*</w:t>
            </w:r>
          </w:p>
        </w:tc>
        <w:tc>
          <w:tcPr>
            <w:tcW w:w="2980" w:type="dxa"/>
            <w:vAlign w:val="bottom"/>
            <w:gridSpan w:val="3"/>
            <w:shd w:val="clear" w:color="auto" w:fill="E0E2EA"/>
          </w:tcPr>
          <w:p>
            <w:pPr>
              <w:jc w:val="center"/>
              <w:ind w:right="600"/>
              <w:spacing w:after="0"/>
              <w:rPr>
                <w:sz w:val="20"/>
                <w:szCs w:val="20"/>
                <w:color w:val="auto"/>
              </w:rPr>
            </w:pPr>
            <w:r>
              <w:rPr>
                <w:rFonts w:ascii="Arial" w:cs="Arial" w:eastAsia="Arial" w:hAnsi="Arial"/>
                <w:sz w:val="16"/>
                <w:szCs w:val="16"/>
                <w:b w:val="1"/>
                <w:bCs w:val="1"/>
                <w:color w:val="auto"/>
              </w:rPr>
              <w:t>Patterson-UTI Energy</w:t>
            </w:r>
          </w:p>
        </w:tc>
        <w:tc>
          <w:tcPr>
            <w:tcW w:w="1800" w:type="dxa"/>
            <w:vAlign w:val="bottom"/>
            <w:shd w:val="clear" w:color="auto" w:fill="E0E2EA"/>
          </w:tcPr>
          <w:p>
            <w:pPr>
              <w:jc w:val="center"/>
              <w:ind w:left="379"/>
              <w:spacing w:after="0"/>
              <w:rPr>
                <w:sz w:val="20"/>
                <w:szCs w:val="20"/>
                <w:color w:val="auto"/>
              </w:rPr>
            </w:pPr>
            <w:r>
              <w:rPr>
                <w:rFonts w:ascii="Arial" w:cs="Arial" w:eastAsia="Arial" w:hAnsi="Arial"/>
                <w:sz w:val="16"/>
                <w:szCs w:val="16"/>
                <w:b w:val="1"/>
                <w:bCs w:val="1"/>
                <w:color w:val="auto"/>
              </w:rPr>
              <w:t>CGG</w:t>
            </w:r>
          </w:p>
        </w:tc>
        <w:tc>
          <w:tcPr>
            <w:tcW w:w="840" w:type="dxa"/>
            <w:vAlign w:val="bottom"/>
            <w:shd w:val="clear" w:color="auto" w:fill="E0E2EA"/>
          </w:tcPr>
          <w:p>
            <w:pPr>
              <w:spacing w:after="0"/>
              <w:rPr>
                <w:sz w:val="19"/>
                <w:szCs w:val="19"/>
                <w:color w:val="auto"/>
              </w:rPr>
            </w:pPr>
          </w:p>
        </w:tc>
        <w:tc>
          <w:tcPr>
            <w:tcW w:w="2600" w:type="dxa"/>
            <w:vAlign w:val="bottom"/>
            <w:gridSpan w:val="2"/>
            <w:shd w:val="clear" w:color="auto" w:fill="E0E2EA"/>
          </w:tcPr>
          <w:p>
            <w:pPr>
              <w:jc w:val="center"/>
              <w:spacing w:after="0"/>
              <w:rPr>
                <w:sz w:val="20"/>
                <w:szCs w:val="20"/>
                <w:color w:val="auto"/>
              </w:rPr>
            </w:pPr>
            <w:r>
              <w:rPr>
                <w:rFonts w:ascii="Arial" w:cs="Arial" w:eastAsia="Arial" w:hAnsi="Arial"/>
                <w:sz w:val="16"/>
                <w:szCs w:val="16"/>
                <w:b w:val="1"/>
                <w:bCs w:val="1"/>
                <w:color w:val="auto"/>
              </w:rPr>
              <w:t>Amazon Web Services</w:t>
            </w:r>
          </w:p>
        </w:tc>
        <w:tc>
          <w:tcPr>
            <w:tcW w:w="0" w:type="dxa"/>
            <w:vAlign w:val="bottom"/>
          </w:tcPr>
          <w:p>
            <w:pPr>
              <w:spacing w:after="0"/>
              <w:rPr>
                <w:sz w:val="1"/>
                <w:szCs w:val="1"/>
                <w:color w:val="auto"/>
              </w:rPr>
            </w:pPr>
          </w:p>
        </w:tc>
      </w:tr>
      <w:tr>
        <w:trPr>
          <w:trHeight w:val="228"/>
        </w:trPr>
        <w:tc>
          <w:tcPr>
            <w:tcW w:w="3020" w:type="dxa"/>
            <w:vAlign w:val="bottom"/>
            <w:gridSpan w:val="2"/>
            <w:shd w:val="clear" w:color="auto" w:fill="E0E2EA"/>
          </w:tcPr>
          <w:p>
            <w:pPr>
              <w:jc w:val="center"/>
              <w:ind w:right="319"/>
              <w:spacing w:after="0"/>
              <w:rPr>
                <w:sz w:val="20"/>
                <w:szCs w:val="20"/>
                <w:color w:val="auto"/>
              </w:rPr>
            </w:pPr>
            <w:r>
              <w:rPr>
                <w:rFonts w:ascii="Arial" w:cs="Arial" w:eastAsia="Arial" w:hAnsi="Arial"/>
                <w:sz w:val="16"/>
                <w:szCs w:val="16"/>
                <w:i w:val="1"/>
                <w:iCs w:val="1"/>
                <w:color w:val="auto"/>
              </w:rPr>
              <w:t>(current CHRO, and past CLO)</w:t>
            </w:r>
          </w:p>
        </w:tc>
        <w:tc>
          <w:tcPr>
            <w:tcW w:w="2980" w:type="dxa"/>
            <w:vAlign w:val="bottom"/>
            <w:gridSpan w:val="3"/>
            <w:shd w:val="clear" w:color="auto" w:fill="E0E2EA"/>
          </w:tcPr>
          <w:p>
            <w:pPr>
              <w:jc w:val="center"/>
              <w:ind w:right="560"/>
              <w:spacing w:after="0"/>
              <w:rPr>
                <w:sz w:val="20"/>
                <w:szCs w:val="20"/>
                <w:color w:val="auto"/>
              </w:rPr>
            </w:pPr>
            <w:r>
              <w:rPr>
                <w:rFonts w:ascii="Arial" w:cs="Arial" w:eastAsia="Arial" w:hAnsi="Arial"/>
                <w:sz w:val="16"/>
                <w:szCs w:val="16"/>
                <w:i w:val="1"/>
                <w:iCs w:val="1"/>
                <w:color w:val="auto"/>
              </w:rPr>
              <w:t>(current CEO)</w:t>
            </w:r>
          </w:p>
        </w:tc>
        <w:tc>
          <w:tcPr>
            <w:tcW w:w="2640" w:type="dxa"/>
            <w:vAlign w:val="bottom"/>
            <w:gridSpan w:val="2"/>
            <w:shd w:val="clear" w:color="auto" w:fill="E0E2EA"/>
          </w:tcPr>
          <w:p>
            <w:pPr>
              <w:jc w:val="center"/>
              <w:ind w:right="268"/>
              <w:spacing w:after="0"/>
              <w:rPr>
                <w:sz w:val="20"/>
                <w:szCs w:val="20"/>
                <w:color w:val="auto"/>
              </w:rPr>
            </w:pPr>
            <w:r>
              <w:rPr>
                <w:rFonts w:ascii="Arial" w:cs="Arial" w:eastAsia="Arial" w:hAnsi="Arial"/>
                <w:sz w:val="16"/>
                <w:szCs w:val="16"/>
                <w:i w:val="1"/>
                <w:iCs w:val="1"/>
                <w:color w:val="auto"/>
              </w:rPr>
              <w:t>(current CEO and past CFO)</w:t>
            </w:r>
          </w:p>
        </w:tc>
        <w:tc>
          <w:tcPr>
            <w:tcW w:w="2600" w:type="dxa"/>
            <w:vAlign w:val="bottom"/>
            <w:gridSpan w:val="2"/>
            <w:shd w:val="clear" w:color="auto" w:fill="E0E2EA"/>
          </w:tcPr>
          <w:p>
            <w:pPr>
              <w:jc w:val="center"/>
              <w:ind w:left="60"/>
              <w:spacing w:after="0"/>
              <w:rPr>
                <w:sz w:val="20"/>
                <w:szCs w:val="20"/>
                <w:color w:val="auto"/>
              </w:rPr>
            </w:pPr>
            <w:r>
              <w:rPr>
                <w:rFonts w:ascii="Arial" w:cs="Arial" w:eastAsia="Arial" w:hAnsi="Arial"/>
                <w:sz w:val="16"/>
                <w:szCs w:val="16"/>
                <w:i w:val="1"/>
                <w:iCs w:val="1"/>
                <w:color w:val="auto"/>
              </w:rPr>
              <w:t>(current senior executive)</w:t>
            </w: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2100" w:type="dxa"/>
            <w:vAlign w:val="bottom"/>
          </w:tcPr>
          <w:p>
            <w:pPr>
              <w:jc w:val="center"/>
              <w:ind w:right="1379"/>
              <w:spacing w:after="0"/>
              <w:rPr>
                <w:sz w:val="20"/>
                <w:szCs w:val="20"/>
                <w:color w:val="auto"/>
              </w:rPr>
            </w:pPr>
            <w:r>
              <w:rPr>
                <w:rFonts w:ascii="Arial" w:cs="Arial" w:eastAsia="Arial" w:hAnsi="Arial"/>
                <w:sz w:val="16"/>
                <w:szCs w:val="16"/>
                <w:b w:val="1"/>
                <w:bCs w:val="1"/>
                <w:color w:val="auto"/>
              </w:rPr>
              <w:t>Nabors</w:t>
            </w:r>
          </w:p>
        </w:tc>
        <w:tc>
          <w:tcPr>
            <w:tcW w:w="2980" w:type="dxa"/>
            <w:vAlign w:val="bottom"/>
            <w:gridSpan w:val="3"/>
          </w:tcPr>
          <w:p>
            <w:pPr>
              <w:jc w:val="center"/>
              <w:ind w:right="600"/>
              <w:spacing w:after="0"/>
              <w:rPr>
                <w:sz w:val="20"/>
                <w:szCs w:val="20"/>
                <w:color w:val="auto"/>
              </w:rPr>
            </w:pPr>
            <w:r>
              <w:rPr>
                <w:rFonts w:ascii="Arial" w:cs="Arial" w:eastAsia="Arial" w:hAnsi="Arial"/>
                <w:sz w:val="16"/>
                <w:szCs w:val="16"/>
                <w:b w:val="1"/>
                <w:bCs w:val="1"/>
                <w:color w:val="auto"/>
              </w:rPr>
              <w:t>NESR</w:t>
            </w:r>
          </w:p>
        </w:tc>
        <w:tc>
          <w:tcPr>
            <w:tcW w:w="1800" w:type="dxa"/>
            <w:vAlign w:val="bottom"/>
          </w:tcPr>
          <w:p>
            <w:pPr>
              <w:jc w:val="center"/>
              <w:ind w:left="399"/>
              <w:spacing w:after="0"/>
              <w:rPr>
                <w:sz w:val="20"/>
                <w:szCs w:val="20"/>
                <w:color w:val="auto"/>
              </w:rPr>
            </w:pPr>
            <w:r>
              <w:rPr>
                <w:rFonts w:ascii="Arial" w:cs="Arial" w:eastAsia="Arial" w:hAnsi="Arial"/>
                <w:sz w:val="16"/>
                <w:szCs w:val="16"/>
                <w:b w:val="1"/>
                <w:bCs w:val="1"/>
                <w:color w:val="auto"/>
              </w:rPr>
              <w:t>Jacobs</w:t>
            </w:r>
          </w:p>
        </w:tc>
        <w:tc>
          <w:tcPr>
            <w:tcW w:w="840" w:type="dxa"/>
            <w:vAlign w:val="bottom"/>
          </w:tcPr>
          <w:p>
            <w:pPr>
              <w:spacing w:after="0"/>
              <w:rPr>
                <w:sz w:val="18"/>
                <w:szCs w:val="18"/>
                <w:color w:val="auto"/>
              </w:rPr>
            </w:pPr>
          </w:p>
        </w:tc>
        <w:tc>
          <w:tcPr>
            <w:tcW w:w="2600" w:type="dxa"/>
            <w:vAlign w:val="bottom"/>
            <w:gridSpan w:val="2"/>
          </w:tcPr>
          <w:p>
            <w:pPr>
              <w:jc w:val="center"/>
              <w:ind w:left="20"/>
              <w:spacing w:after="0"/>
              <w:rPr>
                <w:sz w:val="20"/>
                <w:szCs w:val="20"/>
                <w:color w:val="auto"/>
              </w:rPr>
            </w:pPr>
            <w:r>
              <w:rPr>
                <w:rFonts w:ascii="Arial" w:cs="Arial" w:eastAsia="Arial" w:hAnsi="Arial"/>
                <w:sz w:val="16"/>
                <w:szCs w:val="16"/>
                <w:b w:val="1"/>
                <w:bCs w:val="1"/>
                <w:color w:val="auto"/>
              </w:rPr>
              <w:t>Technip Energies</w:t>
            </w:r>
          </w:p>
        </w:tc>
        <w:tc>
          <w:tcPr>
            <w:tcW w:w="0" w:type="dxa"/>
            <w:vAlign w:val="bottom"/>
          </w:tcPr>
          <w:p>
            <w:pPr>
              <w:spacing w:after="0"/>
              <w:rPr>
                <w:sz w:val="1"/>
                <w:szCs w:val="1"/>
                <w:color w:val="auto"/>
              </w:rPr>
            </w:pPr>
          </w:p>
        </w:tc>
      </w:tr>
      <w:tr>
        <w:trPr>
          <w:trHeight w:val="220"/>
        </w:trPr>
        <w:tc>
          <w:tcPr>
            <w:tcW w:w="3020" w:type="dxa"/>
            <w:vAlign w:val="bottom"/>
            <w:gridSpan w:val="2"/>
          </w:tcPr>
          <w:p>
            <w:pPr>
              <w:jc w:val="center"/>
              <w:ind w:right="339"/>
              <w:spacing w:after="0"/>
              <w:rPr>
                <w:sz w:val="20"/>
                <w:szCs w:val="20"/>
                <w:color w:val="auto"/>
              </w:rPr>
            </w:pPr>
            <w:r>
              <w:rPr>
                <w:rFonts w:ascii="Arial" w:cs="Arial" w:eastAsia="Arial" w:hAnsi="Arial"/>
                <w:sz w:val="16"/>
                <w:szCs w:val="16"/>
                <w:i w:val="1"/>
                <w:iCs w:val="1"/>
                <w:color w:val="auto"/>
              </w:rPr>
              <w:t>(current CFO)</w:t>
            </w:r>
          </w:p>
        </w:tc>
        <w:tc>
          <w:tcPr>
            <w:tcW w:w="2980" w:type="dxa"/>
            <w:vAlign w:val="bottom"/>
            <w:gridSpan w:val="3"/>
          </w:tcPr>
          <w:p>
            <w:pPr>
              <w:jc w:val="center"/>
              <w:ind w:right="560"/>
              <w:spacing w:after="0"/>
              <w:rPr>
                <w:sz w:val="20"/>
                <w:szCs w:val="20"/>
                <w:color w:val="auto"/>
              </w:rPr>
            </w:pPr>
            <w:r>
              <w:rPr>
                <w:rFonts w:ascii="Arial" w:cs="Arial" w:eastAsia="Arial" w:hAnsi="Arial"/>
                <w:sz w:val="16"/>
                <w:szCs w:val="16"/>
                <w:i w:val="1"/>
                <w:iCs w:val="1"/>
                <w:color w:val="auto"/>
              </w:rPr>
              <w:t>(current CEO, CFO and COO)</w:t>
            </w:r>
          </w:p>
        </w:tc>
        <w:tc>
          <w:tcPr>
            <w:tcW w:w="1800" w:type="dxa"/>
            <w:vAlign w:val="bottom"/>
          </w:tcPr>
          <w:p>
            <w:pPr>
              <w:jc w:val="center"/>
              <w:ind w:left="439"/>
              <w:spacing w:after="0"/>
              <w:rPr>
                <w:sz w:val="20"/>
                <w:szCs w:val="20"/>
                <w:color w:val="auto"/>
              </w:rPr>
            </w:pPr>
            <w:r>
              <w:rPr>
                <w:rFonts w:ascii="Arial" w:cs="Arial" w:eastAsia="Arial" w:hAnsi="Arial"/>
                <w:sz w:val="16"/>
                <w:szCs w:val="16"/>
                <w:i w:val="1"/>
                <w:iCs w:val="1"/>
                <w:color w:val="auto"/>
              </w:rPr>
              <w:t>(current CFO)</w:t>
            </w: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0" w:type="dxa"/>
            <w:vAlign w:val="bottom"/>
          </w:tcPr>
          <w:p>
            <w:pPr>
              <w:jc w:val="center"/>
              <w:ind w:right="599"/>
              <w:spacing w:after="0"/>
              <w:rPr>
                <w:sz w:val="20"/>
                <w:szCs w:val="20"/>
                <w:color w:val="auto"/>
              </w:rPr>
            </w:pPr>
            <w:r>
              <w:rPr>
                <w:rFonts w:ascii="Arial" w:cs="Arial" w:eastAsia="Arial" w:hAnsi="Arial"/>
                <w:sz w:val="16"/>
                <w:szCs w:val="16"/>
                <w:i w:val="1"/>
                <w:iCs w:val="1"/>
                <w:color w:val="auto"/>
              </w:rPr>
              <w:t>(current CLO)</w:t>
            </w:r>
          </w:p>
        </w:tc>
        <w:tc>
          <w:tcPr>
            <w:tcW w:w="0" w:type="dxa"/>
            <w:vAlign w:val="bottom"/>
          </w:tcPr>
          <w:p>
            <w:pPr>
              <w:spacing w:after="0"/>
              <w:rPr>
                <w:sz w:val="1"/>
                <w:szCs w:val="1"/>
                <w:color w:val="auto"/>
              </w:rPr>
            </w:pPr>
          </w:p>
        </w:tc>
      </w:tr>
      <w:tr>
        <w:trPr>
          <w:trHeight w:val="225"/>
        </w:trPr>
        <w:tc>
          <w:tcPr>
            <w:tcW w:w="3020" w:type="dxa"/>
            <w:vAlign w:val="bottom"/>
            <w:gridSpan w:val="2"/>
            <w:shd w:val="clear" w:color="auto" w:fill="E0E2EA"/>
          </w:tcPr>
          <w:p>
            <w:pPr>
              <w:jc w:val="center"/>
              <w:ind w:right="479"/>
              <w:spacing w:after="0"/>
              <w:rPr>
                <w:sz w:val="20"/>
                <w:szCs w:val="20"/>
                <w:color w:val="auto"/>
              </w:rPr>
            </w:pPr>
            <w:r>
              <w:rPr>
                <w:rFonts w:ascii="Arial" w:cs="Arial" w:eastAsia="Arial" w:hAnsi="Arial"/>
                <w:sz w:val="16"/>
                <w:szCs w:val="16"/>
                <w:b w:val="1"/>
                <w:bCs w:val="1"/>
                <w:color w:val="auto"/>
              </w:rPr>
              <w:t>Lufkin Industries</w:t>
            </w:r>
          </w:p>
        </w:tc>
        <w:tc>
          <w:tcPr>
            <w:tcW w:w="2980" w:type="dxa"/>
            <w:vAlign w:val="bottom"/>
            <w:gridSpan w:val="3"/>
            <w:shd w:val="clear" w:color="auto" w:fill="E0E2EA"/>
          </w:tcPr>
          <w:p>
            <w:pPr>
              <w:jc w:val="center"/>
              <w:ind w:right="600"/>
              <w:spacing w:after="0"/>
              <w:rPr>
                <w:sz w:val="20"/>
                <w:szCs w:val="20"/>
                <w:color w:val="auto"/>
              </w:rPr>
            </w:pPr>
            <w:r>
              <w:rPr>
                <w:rFonts w:ascii="Arial" w:cs="Arial" w:eastAsia="Arial" w:hAnsi="Arial"/>
                <w:sz w:val="16"/>
                <w:szCs w:val="16"/>
                <w:b w:val="1"/>
                <w:bCs w:val="1"/>
                <w:color w:val="auto"/>
              </w:rPr>
              <w:t>Borr Drilling</w:t>
            </w:r>
          </w:p>
        </w:tc>
        <w:tc>
          <w:tcPr>
            <w:tcW w:w="1800" w:type="dxa"/>
            <w:vAlign w:val="bottom"/>
            <w:shd w:val="clear" w:color="auto" w:fill="E0E2EA"/>
          </w:tcPr>
          <w:p>
            <w:pPr>
              <w:jc w:val="center"/>
              <w:ind w:left="379"/>
              <w:spacing w:after="0"/>
              <w:rPr>
                <w:sz w:val="20"/>
                <w:szCs w:val="20"/>
                <w:color w:val="auto"/>
              </w:rPr>
            </w:pPr>
            <w:r>
              <w:rPr>
                <w:rFonts w:ascii="Arial" w:cs="Arial" w:eastAsia="Arial" w:hAnsi="Arial"/>
                <w:sz w:val="16"/>
                <w:szCs w:val="16"/>
                <w:b w:val="1"/>
                <w:bCs w:val="1"/>
                <w:color w:val="auto"/>
              </w:rPr>
              <w:t>ADM</w:t>
            </w:r>
          </w:p>
        </w:tc>
        <w:tc>
          <w:tcPr>
            <w:tcW w:w="840" w:type="dxa"/>
            <w:vAlign w:val="bottom"/>
            <w:shd w:val="clear" w:color="auto" w:fill="E0E2EA"/>
          </w:tcPr>
          <w:p>
            <w:pPr>
              <w:spacing w:after="0"/>
              <w:rPr>
                <w:sz w:val="19"/>
                <w:szCs w:val="19"/>
                <w:color w:val="auto"/>
              </w:rPr>
            </w:pPr>
          </w:p>
        </w:tc>
        <w:tc>
          <w:tcPr>
            <w:tcW w:w="800" w:type="dxa"/>
            <w:vAlign w:val="bottom"/>
            <w:shd w:val="clear" w:color="auto" w:fill="E0E2EA"/>
          </w:tcPr>
          <w:p>
            <w:pPr>
              <w:spacing w:after="0"/>
              <w:rPr>
                <w:sz w:val="19"/>
                <w:szCs w:val="19"/>
                <w:color w:val="auto"/>
              </w:rPr>
            </w:pPr>
          </w:p>
        </w:tc>
        <w:tc>
          <w:tcPr>
            <w:tcW w:w="1800" w:type="dxa"/>
            <w:vAlign w:val="bottom"/>
            <w:shd w:val="clear" w:color="auto" w:fill="E0E2EA"/>
          </w:tcPr>
          <w:p>
            <w:pPr>
              <w:jc w:val="center"/>
              <w:ind w:right="639"/>
              <w:spacing w:after="0"/>
              <w:rPr>
                <w:sz w:val="20"/>
                <w:szCs w:val="20"/>
                <w:color w:val="auto"/>
              </w:rPr>
            </w:pPr>
            <w:r>
              <w:rPr>
                <w:rFonts w:ascii="Arial" w:cs="Arial" w:eastAsia="Arial" w:hAnsi="Arial"/>
                <w:sz w:val="16"/>
                <w:szCs w:val="16"/>
                <w:b w:val="1"/>
                <w:bCs w:val="1"/>
                <w:color w:val="auto"/>
              </w:rPr>
              <w:t>Air Liquide</w:t>
            </w:r>
          </w:p>
        </w:tc>
        <w:tc>
          <w:tcPr>
            <w:tcW w:w="0" w:type="dxa"/>
            <w:vAlign w:val="bottom"/>
          </w:tcPr>
          <w:p>
            <w:pPr>
              <w:spacing w:after="0"/>
              <w:rPr>
                <w:sz w:val="1"/>
                <w:szCs w:val="1"/>
                <w:color w:val="auto"/>
              </w:rPr>
            </w:pPr>
          </w:p>
        </w:tc>
      </w:tr>
      <w:tr>
        <w:trPr>
          <w:trHeight w:val="228"/>
        </w:trPr>
        <w:tc>
          <w:tcPr>
            <w:tcW w:w="3020" w:type="dxa"/>
            <w:vAlign w:val="bottom"/>
            <w:gridSpan w:val="2"/>
            <w:shd w:val="clear" w:color="auto" w:fill="E0E2EA"/>
          </w:tcPr>
          <w:p>
            <w:pPr>
              <w:jc w:val="center"/>
              <w:ind w:right="339"/>
              <w:spacing w:after="0"/>
              <w:rPr>
                <w:sz w:val="20"/>
                <w:szCs w:val="20"/>
                <w:color w:val="auto"/>
              </w:rPr>
            </w:pPr>
            <w:r>
              <w:rPr>
                <w:rFonts w:ascii="Arial" w:cs="Arial" w:eastAsia="Arial" w:hAnsi="Arial"/>
                <w:sz w:val="16"/>
                <w:szCs w:val="16"/>
                <w:i w:val="1"/>
                <w:iCs w:val="1"/>
                <w:color w:val="auto"/>
              </w:rPr>
              <w:t>(current CEO)</w:t>
            </w:r>
          </w:p>
        </w:tc>
        <w:tc>
          <w:tcPr>
            <w:tcW w:w="2980" w:type="dxa"/>
            <w:vAlign w:val="bottom"/>
            <w:gridSpan w:val="3"/>
            <w:shd w:val="clear" w:color="auto" w:fill="E0E2EA"/>
          </w:tcPr>
          <w:p>
            <w:pPr>
              <w:jc w:val="center"/>
              <w:ind w:right="560"/>
              <w:spacing w:after="0"/>
              <w:rPr>
                <w:sz w:val="20"/>
                <w:szCs w:val="20"/>
                <w:color w:val="auto"/>
              </w:rPr>
            </w:pPr>
            <w:r>
              <w:rPr>
                <w:rFonts w:ascii="Arial" w:cs="Arial" w:eastAsia="Arial" w:hAnsi="Arial"/>
                <w:sz w:val="16"/>
                <w:szCs w:val="16"/>
                <w:i w:val="1"/>
                <w:iCs w:val="1"/>
                <w:color w:val="auto"/>
              </w:rPr>
              <w:t>(current CEO)</w:t>
            </w:r>
          </w:p>
        </w:tc>
        <w:tc>
          <w:tcPr>
            <w:tcW w:w="1800" w:type="dxa"/>
            <w:vAlign w:val="bottom"/>
            <w:shd w:val="clear" w:color="auto" w:fill="E0E2EA"/>
          </w:tcPr>
          <w:p>
            <w:pPr>
              <w:jc w:val="center"/>
              <w:ind w:left="439"/>
              <w:spacing w:after="0"/>
              <w:rPr>
                <w:sz w:val="20"/>
                <w:szCs w:val="20"/>
                <w:color w:val="auto"/>
              </w:rPr>
            </w:pPr>
            <w:r>
              <w:rPr>
                <w:rFonts w:ascii="Arial" w:cs="Arial" w:eastAsia="Arial" w:hAnsi="Arial"/>
                <w:sz w:val="16"/>
                <w:szCs w:val="16"/>
                <w:i w:val="1"/>
                <w:iCs w:val="1"/>
                <w:color w:val="auto"/>
              </w:rPr>
              <w:t>(current CLO)</w:t>
            </w:r>
          </w:p>
        </w:tc>
        <w:tc>
          <w:tcPr>
            <w:tcW w:w="840" w:type="dxa"/>
            <w:vAlign w:val="bottom"/>
            <w:shd w:val="clear" w:color="auto" w:fill="E0E2EA"/>
          </w:tcPr>
          <w:p>
            <w:pPr>
              <w:spacing w:after="0"/>
              <w:rPr>
                <w:sz w:val="19"/>
                <w:szCs w:val="19"/>
                <w:color w:val="auto"/>
              </w:rPr>
            </w:pPr>
          </w:p>
        </w:tc>
        <w:tc>
          <w:tcPr>
            <w:tcW w:w="2600" w:type="dxa"/>
            <w:vAlign w:val="bottom"/>
            <w:gridSpan w:val="2"/>
            <w:shd w:val="clear" w:color="auto" w:fill="E0E2EA"/>
          </w:tcPr>
          <w:p>
            <w:pPr>
              <w:jc w:val="center"/>
              <w:ind w:left="60"/>
              <w:spacing w:after="0"/>
              <w:rPr>
                <w:sz w:val="20"/>
                <w:szCs w:val="20"/>
                <w:color w:val="auto"/>
              </w:rPr>
            </w:pPr>
            <w:r>
              <w:rPr>
                <w:rFonts w:ascii="Arial" w:cs="Arial" w:eastAsia="Arial" w:hAnsi="Arial"/>
                <w:sz w:val="16"/>
                <w:szCs w:val="16"/>
                <w:i w:val="1"/>
                <w:iCs w:val="1"/>
                <w:color w:val="auto"/>
              </w:rPr>
              <w:t>(current CHRO)</w:t>
            </w:r>
          </w:p>
        </w:tc>
        <w:tc>
          <w:tcPr>
            <w:tcW w:w="0" w:type="dxa"/>
            <w:vAlign w:val="bottom"/>
          </w:tcPr>
          <w:p>
            <w:pPr>
              <w:spacing w:after="0"/>
              <w:rPr>
                <w:sz w:val="1"/>
                <w:szCs w:val="1"/>
                <w:color w:val="auto"/>
              </w:rPr>
            </w:pPr>
          </w:p>
        </w:tc>
      </w:tr>
      <w:tr>
        <w:trPr>
          <w:trHeight w:val="217"/>
        </w:trPr>
        <w:tc>
          <w:tcPr>
            <w:tcW w:w="3020" w:type="dxa"/>
            <w:vAlign w:val="bottom"/>
            <w:gridSpan w:val="2"/>
          </w:tcPr>
          <w:p>
            <w:pPr>
              <w:jc w:val="center"/>
              <w:ind w:right="459"/>
              <w:spacing w:after="0"/>
              <w:rPr>
                <w:sz w:val="20"/>
                <w:szCs w:val="20"/>
                <w:color w:val="auto"/>
              </w:rPr>
            </w:pPr>
            <w:r>
              <w:rPr>
                <w:rFonts w:ascii="Arial" w:cs="Arial" w:eastAsia="Arial" w:hAnsi="Arial"/>
                <w:sz w:val="16"/>
                <w:szCs w:val="16"/>
                <w:b w:val="1"/>
                <w:bCs w:val="1"/>
                <w:color w:val="auto"/>
              </w:rPr>
              <w:t>ConocoPhillips*</w:t>
            </w:r>
          </w:p>
        </w:tc>
        <w:tc>
          <w:tcPr>
            <w:tcW w:w="2980" w:type="dxa"/>
            <w:vAlign w:val="bottom"/>
            <w:gridSpan w:val="3"/>
          </w:tcPr>
          <w:p>
            <w:pPr>
              <w:jc w:val="center"/>
              <w:ind w:right="600"/>
              <w:spacing w:after="0"/>
              <w:rPr>
                <w:sz w:val="20"/>
                <w:szCs w:val="20"/>
                <w:color w:val="auto"/>
              </w:rPr>
            </w:pPr>
            <w:r>
              <w:rPr>
                <w:rFonts w:ascii="Arial" w:cs="Arial" w:eastAsia="Arial" w:hAnsi="Arial"/>
                <w:sz w:val="16"/>
                <w:szCs w:val="16"/>
                <w:b w:val="1"/>
                <w:bCs w:val="1"/>
                <w:color w:val="auto"/>
              </w:rPr>
              <w:t>Expro</w:t>
            </w:r>
          </w:p>
        </w:tc>
        <w:tc>
          <w:tcPr>
            <w:tcW w:w="1800" w:type="dxa"/>
            <w:vAlign w:val="bottom"/>
          </w:tcPr>
          <w:p>
            <w:pPr>
              <w:jc w:val="center"/>
              <w:ind w:left="379"/>
              <w:spacing w:after="0"/>
              <w:rPr>
                <w:sz w:val="20"/>
                <w:szCs w:val="20"/>
                <w:color w:val="auto"/>
              </w:rPr>
            </w:pPr>
            <w:r>
              <w:rPr>
                <w:rFonts w:ascii="Arial" w:cs="Arial" w:eastAsia="Arial" w:hAnsi="Arial"/>
                <w:sz w:val="16"/>
                <w:szCs w:val="16"/>
                <w:b w:val="1"/>
                <w:bCs w:val="1"/>
                <w:color w:val="auto"/>
                <w:w w:val="99"/>
              </w:rPr>
              <w:t>Flowserve</w:t>
            </w: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0" w:type="dxa"/>
            <w:vAlign w:val="bottom"/>
          </w:tcPr>
          <w:p>
            <w:pPr>
              <w:jc w:val="center"/>
              <w:ind w:right="639"/>
              <w:spacing w:after="0"/>
              <w:rPr>
                <w:sz w:val="20"/>
                <w:szCs w:val="20"/>
                <w:color w:val="auto"/>
              </w:rPr>
            </w:pPr>
            <w:r>
              <w:rPr>
                <w:rFonts w:ascii="Arial" w:cs="Arial" w:eastAsia="Arial" w:hAnsi="Arial"/>
                <w:sz w:val="16"/>
                <w:szCs w:val="16"/>
                <w:b w:val="1"/>
                <w:bCs w:val="1"/>
                <w:color w:val="auto"/>
              </w:rPr>
              <w:t>Archer</w:t>
            </w:r>
          </w:p>
        </w:tc>
        <w:tc>
          <w:tcPr>
            <w:tcW w:w="0" w:type="dxa"/>
            <w:vAlign w:val="bottom"/>
          </w:tcPr>
          <w:p>
            <w:pPr>
              <w:spacing w:after="0"/>
              <w:rPr>
                <w:sz w:val="1"/>
                <w:szCs w:val="1"/>
                <w:color w:val="auto"/>
              </w:rPr>
            </w:pPr>
          </w:p>
        </w:tc>
      </w:tr>
      <w:tr>
        <w:trPr>
          <w:trHeight w:val="220"/>
        </w:trPr>
        <w:tc>
          <w:tcPr>
            <w:tcW w:w="3020" w:type="dxa"/>
            <w:vAlign w:val="bottom"/>
            <w:gridSpan w:val="2"/>
          </w:tcPr>
          <w:p>
            <w:pPr>
              <w:jc w:val="center"/>
              <w:ind w:right="339"/>
              <w:spacing w:after="0"/>
              <w:rPr>
                <w:sz w:val="20"/>
                <w:szCs w:val="20"/>
                <w:color w:val="auto"/>
              </w:rPr>
            </w:pPr>
            <w:r>
              <w:rPr>
                <w:rFonts w:ascii="Arial" w:cs="Arial" w:eastAsia="Arial" w:hAnsi="Arial"/>
                <w:sz w:val="16"/>
                <w:szCs w:val="16"/>
                <w:i w:val="1"/>
                <w:iCs w:val="1"/>
                <w:color w:val="auto"/>
              </w:rPr>
              <w:t>(past CTO)</w:t>
            </w:r>
          </w:p>
        </w:tc>
        <w:tc>
          <w:tcPr>
            <w:tcW w:w="2980" w:type="dxa"/>
            <w:vAlign w:val="bottom"/>
            <w:gridSpan w:val="3"/>
          </w:tcPr>
          <w:p>
            <w:pPr>
              <w:jc w:val="center"/>
              <w:ind w:right="560"/>
              <w:spacing w:after="0"/>
              <w:rPr>
                <w:sz w:val="20"/>
                <w:szCs w:val="20"/>
                <w:color w:val="auto"/>
              </w:rPr>
            </w:pPr>
            <w:r>
              <w:rPr>
                <w:rFonts w:ascii="Arial" w:cs="Arial" w:eastAsia="Arial" w:hAnsi="Arial"/>
                <w:sz w:val="16"/>
                <w:szCs w:val="16"/>
                <w:i w:val="1"/>
                <w:iCs w:val="1"/>
                <w:color w:val="auto"/>
              </w:rPr>
              <w:t>(current CEO)</w:t>
            </w:r>
          </w:p>
        </w:tc>
        <w:tc>
          <w:tcPr>
            <w:tcW w:w="1800" w:type="dxa"/>
            <w:vAlign w:val="bottom"/>
          </w:tcPr>
          <w:p>
            <w:pPr>
              <w:jc w:val="center"/>
              <w:ind w:left="439"/>
              <w:spacing w:after="0"/>
              <w:rPr>
                <w:sz w:val="20"/>
                <w:szCs w:val="20"/>
                <w:color w:val="auto"/>
              </w:rPr>
            </w:pPr>
            <w:r>
              <w:rPr>
                <w:rFonts w:ascii="Arial" w:cs="Arial" w:eastAsia="Arial" w:hAnsi="Arial"/>
                <w:sz w:val="16"/>
                <w:szCs w:val="16"/>
                <w:i w:val="1"/>
                <w:iCs w:val="1"/>
                <w:color w:val="auto"/>
              </w:rPr>
              <w:t>(current CEO)</w:t>
            </w: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0" w:type="dxa"/>
            <w:vAlign w:val="bottom"/>
          </w:tcPr>
          <w:p>
            <w:pPr>
              <w:jc w:val="center"/>
              <w:ind w:right="599"/>
              <w:spacing w:after="0"/>
              <w:rPr>
                <w:sz w:val="20"/>
                <w:szCs w:val="20"/>
                <w:color w:val="auto"/>
              </w:rPr>
            </w:pPr>
            <w:r>
              <w:rPr>
                <w:rFonts w:ascii="Arial" w:cs="Arial" w:eastAsia="Arial" w:hAnsi="Arial"/>
                <w:sz w:val="16"/>
                <w:szCs w:val="16"/>
                <w:i w:val="1"/>
                <w:iCs w:val="1"/>
                <w:color w:val="auto"/>
              </w:rPr>
              <w:t>(current CEO)</w:t>
            </w:r>
          </w:p>
        </w:tc>
        <w:tc>
          <w:tcPr>
            <w:tcW w:w="0" w:type="dxa"/>
            <w:vAlign w:val="bottom"/>
          </w:tcPr>
          <w:p>
            <w:pPr>
              <w:spacing w:after="0"/>
              <w:rPr>
                <w:sz w:val="1"/>
                <w:szCs w:val="1"/>
                <w:color w:val="auto"/>
              </w:rPr>
            </w:pPr>
          </w:p>
        </w:tc>
      </w:tr>
      <w:tr>
        <w:trPr>
          <w:trHeight w:val="225"/>
        </w:trPr>
        <w:tc>
          <w:tcPr>
            <w:tcW w:w="3020" w:type="dxa"/>
            <w:vAlign w:val="bottom"/>
            <w:gridSpan w:val="2"/>
            <w:shd w:val="clear" w:color="auto" w:fill="E0E2EA"/>
          </w:tcPr>
          <w:p>
            <w:pPr>
              <w:jc w:val="center"/>
              <w:ind w:right="479"/>
              <w:spacing w:after="0"/>
              <w:rPr>
                <w:sz w:val="20"/>
                <w:szCs w:val="20"/>
                <w:color w:val="auto"/>
              </w:rPr>
            </w:pPr>
            <w:r>
              <w:rPr>
                <w:rFonts w:ascii="Arial" w:cs="Arial" w:eastAsia="Arial" w:hAnsi="Arial"/>
                <w:sz w:val="16"/>
                <w:szCs w:val="16"/>
                <w:b w:val="1"/>
                <w:bCs w:val="1"/>
                <w:color w:val="auto"/>
              </w:rPr>
              <w:t>TotalEnergies</w:t>
            </w:r>
          </w:p>
        </w:tc>
        <w:tc>
          <w:tcPr>
            <w:tcW w:w="2980" w:type="dxa"/>
            <w:vAlign w:val="bottom"/>
            <w:gridSpan w:val="3"/>
            <w:shd w:val="clear" w:color="auto" w:fill="E0E2EA"/>
          </w:tcPr>
          <w:p>
            <w:pPr>
              <w:jc w:val="center"/>
              <w:ind w:right="600"/>
              <w:spacing w:after="0"/>
              <w:rPr>
                <w:sz w:val="20"/>
                <w:szCs w:val="20"/>
                <w:color w:val="auto"/>
              </w:rPr>
            </w:pPr>
            <w:r>
              <w:rPr>
                <w:rFonts w:ascii="Arial" w:cs="Arial" w:eastAsia="Arial" w:hAnsi="Arial"/>
                <w:sz w:val="16"/>
                <w:szCs w:val="16"/>
                <w:b w:val="1"/>
                <w:bCs w:val="1"/>
                <w:color w:val="auto"/>
                <w:w w:val="96"/>
              </w:rPr>
              <w:t>YPF</w:t>
            </w:r>
          </w:p>
        </w:tc>
        <w:tc>
          <w:tcPr>
            <w:tcW w:w="1800" w:type="dxa"/>
            <w:vAlign w:val="bottom"/>
            <w:shd w:val="clear" w:color="auto" w:fill="E0E2EA"/>
          </w:tcPr>
          <w:p>
            <w:pPr>
              <w:jc w:val="center"/>
              <w:ind w:left="379"/>
              <w:spacing w:after="0"/>
              <w:rPr>
                <w:sz w:val="20"/>
                <w:szCs w:val="20"/>
                <w:color w:val="auto"/>
              </w:rPr>
            </w:pPr>
            <w:r>
              <w:rPr>
                <w:rFonts w:ascii="Arial" w:cs="Arial" w:eastAsia="Arial" w:hAnsi="Arial"/>
                <w:sz w:val="16"/>
                <w:szCs w:val="16"/>
                <w:b w:val="1"/>
                <w:bCs w:val="1"/>
                <w:color w:val="auto"/>
                <w:w w:val="99"/>
              </w:rPr>
              <w:t>Weatherford</w:t>
            </w:r>
          </w:p>
        </w:tc>
        <w:tc>
          <w:tcPr>
            <w:tcW w:w="840" w:type="dxa"/>
            <w:vAlign w:val="bottom"/>
            <w:shd w:val="clear" w:color="auto" w:fill="E0E2EA"/>
          </w:tcPr>
          <w:p>
            <w:pPr>
              <w:spacing w:after="0"/>
              <w:rPr>
                <w:sz w:val="19"/>
                <w:szCs w:val="19"/>
                <w:color w:val="auto"/>
              </w:rPr>
            </w:pPr>
          </w:p>
        </w:tc>
        <w:tc>
          <w:tcPr>
            <w:tcW w:w="2600" w:type="dxa"/>
            <w:vAlign w:val="bottom"/>
            <w:gridSpan w:val="2"/>
            <w:shd w:val="clear" w:color="auto" w:fill="E0E2EA"/>
          </w:tcPr>
          <w:p>
            <w:pPr>
              <w:jc w:val="center"/>
              <w:spacing w:after="0"/>
              <w:rPr>
                <w:sz w:val="20"/>
                <w:szCs w:val="20"/>
                <w:color w:val="auto"/>
              </w:rPr>
            </w:pPr>
            <w:r>
              <w:rPr>
                <w:rFonts w:ascii="Arial" w:cs="Arial" w:eastAsia="Arial" w:hAnsi="Arial"/>
                <w:sz w:val="16"/>
                <w:szCs w:val="16"/>
                <w:b w:val="1"/>
                <w:bCs w:val="1"/>
                <w:color w:val="auto"/>
              </w:rPr>
              <w:t>Kuwait Airways</w:t>
            </w:r>
          </w:p>
        </w:tc>
        <w:tc>
          <w:tcPr>
            <w:tcW w:w="0" w:type="dxa"/>
            <w:vAlign w:val="bottom"/>
          </w:tcPr>
          <w:p>
            <w:pPr>
              <w:spacing w:after="0"/>
              <w:rPr>
                <w:sz w:val="1"/>
                <w:szCs w:val="1"/>
                <w:color w:val="auto"/>
              </w:rPr>
            </w:pPr>
          </w:p>
        </w:tc>
      </w:tr>
      <w:tr>
        <w:trPr>
          <w:trHeight w:val="228"/>
        </w:trPr>
        <w:tc>
          <w:tcPr>
            <w:tcW w:w="3020" w:type="dxa"/>
            <w:vAlign w:val="bottom"/>
            <w:gridSpan w:val="2"/>
            <w:shd w:val="clear" w:color="auto" w:fill="E0E2EA"/>
          </w:tcPr>
          <w:p>
            <w:pPr>
              <w:jc w:val="center"/>
              <w:ind w:right="319"/>
              <w:spacing w:after="0"/>
              <w:rPr>
                <w:sz w:val="20"/>
                <w:szCs w:val="20"/>
                <w:color w:val="auto"/>
              </w:rPr>
            </w:pPr>
            <w:r>
              <w:rPr>
                <w:rFonts w:ascii="Arial" w:cs="Arial" w:eastAsia="Arial" w:hAnsi="Arial"/>
                <w:sz w:val="16"/>
                <w:szCs w:val="16"/>
                <w:i w:val="1"/>
                <w:iCs w:val="1"/>
                <w:color w:val="auto"/>
              </w:rPr>
              <w:t>(past CHRO)</w:t>
            </w:r>
          </w:p>
        </w:tc>
        <w:tc>
          <w:tcPr>
            <w:tcW w:w="2980" w:type="dxa"/>
            <w:vAlign w:val="bottom"/>
            <w:gridSpan w:val="3"/>
            <w:shd w:val="clear" w:color="auto" w:fill="E0E2EA"/>
          </w:tcPr>
          <w:p>
            <w:pPr>
              <w:jc w:val="center"/>
              <w:ind w:right="560"/>
              <w:spacing w:after="0"/>
              <w:rPr>
                <w:sz w:val="20"/>
                <w:szCs w:val="20"/>
                <w:color w:val="auto"/>
              </w:rPr>
            </w:pPr>
            <w:r>
              <w:rPr>
                <w:rFonts w:ascii="Arial" w:cs="Arial" w:eastAsia="Arial" w:hAnsi="Arial"/>
                <w:sz w:val="16"/>
                <w:szCs w:val="16"/>
                <w:i w:val="1"/>
                <w:iCs w:val="1"/>
                <w:color w:val="auto"/>
              </w:rPr>
              <w:t>(past CEO)</w:t>
            </w:r>
          </w:p>
        </w:tc>
        <w:tc>
          <w:tcPr>
            <w:tcW w:w="2640" w:type="dxa"/>
            <w:vAlign w:val="bottom"/>
            <w:gridSpan w:val="2"/>
            <w:shd w:val="clear" w:color="auto" w:fill="E0E2EA"/>
          </w:tcPr>
          <w:p>
            <w:pPr>
              <w:jc w:val="center"/>
              <w:ind w:right="248"/>
              <w:spacing w:after="0"/>
              <w:rPr>
                <w:sz w:val="20"/>
                <w:szCs w:val="20"/>
                <w:color w:val="auto"/>
              </w:rPr>
            </w:pPr>
            <w:r>
              <w:rPr>
                <w:rFonts w:ascii="Arial" w:cs="Arial" w:eastAsia="Arial" w:hAnsi="Arial"/>
                <w:sz w:val="16"/>
                <w:szCs w:val="16"/>
                <w:i w:val="1"/>
                <w:iCs w:val="1"/>
                <w:color w:val="auto"/>
              </w:rPr>
              <w:t>(past acting CEO and CFO)</w:t>
            </w:r>
          </w:p>
        </w:tc>
        <w:tc>
          <w:tcPr>
            <w:tcW w:w="800" w:type="dxa"/>
            <w:vAlign w:val="bottom"/>
            <w:shd w:val="clear" w:color="auto" w:fill="E0E2EA"/>
          </w:tcPr>
          <w:p>
            <w:pPr>
              <w:spacing w:after="0"/>
              <w:rPr>
                <w:sz w:val="19"/>
                <w:szCs w:val="19"/>
                <w:color w:val="auto"/>
              </w:rPr>
            </w:pPr>
          </w:p>
        </w:tc>
        <w:tc>
          <w:tcPr>
            <w:tcW w:w="1800" w:type="dxa"/>
            <w:vAlign w:val="bottom"/>
            <w:shd w:val="clear" w:color="auto" w:fill="E0E2EA"/>
          </w:tcPr>
          <w:p>
            <w:pPr>
              <w:jc w:val="center"/>
              <w:ind w:right="579"/>
              <w:spacing w:after="0"/>
              <w:rPr>
                <w:sz w:val="20"/>
                <w:szCs w:val="20"/>
                <w:color w:val="auto"/>
              </w:rPr>
            </w:pPr>
            <w:r>
              <w:rPr>
                <w:rFonts w:ascii="Arial" w:cs="Arial" w:eastAsia="Arial" w:hAnsi="Arial"/>
                <w:sz w:val="16"/>
                <w:szCs w:val="16"/>
                <w:i w:val="1"/>
                <w:iCs w:val="1"/>
                <w:color w:val="auto"/>
              </w:rPr>
              <w:t>(past CEO)</w:t>
            </w:r>
          </w:p>
        </w:tc>
        <w:tc>
          <w:tcPr>
            <w:tcW w:w="0" w:type="dxa"/>
            <w:vAlign w:val="bottom"/>
          </w:tcPr>
          <w:p>
            <w:pPr>
              <w:spacing w:after="0"/>
              <w:rPr>
                <w:sz w:val="1"/>
                <w:szCs w:val="1"/>
                <w:color w:val="auto"/>
              </w:rPr>
            </w:pPr>
          </w:p>
        </w:tc>
      </w:tr>
      <w:tr>
        <w:trPr>
          <w:trHeight w:val="220"/>
        </w:trPr>
        <w:tc>
          <w:tcPr>
            <w:tcW w:w="3020" w:type="dxa"/>
            <w:vAlign w:val="bottom"/>
            <w:gridSpan w:val="2"/>
          </w:tcPr>
          <w:p>
            <w:pPr>
              <w:ind w:left="60"/>
              <w:spacing w:after="0"/>
              <w:rPr>
                <w:sz w:val="20"/>
                <w:szCs w:val="20"/>
                <w:color w:val="auto"/>
              </w:rPr>
            </w:pPr>
            <w:r>
              <w:rPr>
                <w:rFonts w:ascii="Arial" w:cs="Arial" w:eastAsia="Arial" w:hAnsi="Arial"/>
                <w:sz w:val="14"/>
                <w:szCs w:val="14"/>
                <w:color w:val="auto"/>
              </w:rPr>
              <w:t>CEO = Chief Executive Officer</w:t>
            </w:r>
          </w:p>
        </w:tc>
        <w:tc>
          <w:tcPr>
            <w:tcW w:w="2980" w:type="dxa"/>
            <w:vAlign w:val="bottom"/>
            <w:gridSpan w:val="3"/>
          </w:tcPr>
          <w:p>
            <w:pPr>
              <w:ind w:left="800"/>
              <w:spacing w:after="0"/>
              <w:rPr>
                <w:sz w:val="20"/>
                <w:szCs w:val="20"/>
                <w:color w:val="auto"/>
              </w:rPr>
            </w:pPr>
            <w:r>
              <w:rPr>
                <w:rFonts w:ascii="Arial" w:cs="Arial" w:eastAsia="Arial" w:hAnsi="Arial"/>
                <w:sz w:val="14"/>
                <w:szCs w:val="14"/>
                <w:color w:val="auto"/>
              </w:rPr>
              <w:t>CTO = Chief Technology Officer</w:t>
            </w:r>
          </w:p>
        </w:tc>
        <w:tc>
          <w:tcPr>
            <w:tcW w:w="1800" w:type="dxa"/>
            <w:vAlign w:val="bottom"/>
          </w:tcPr>
          <w:p>
            <w:pPr>
              <w:spacing w:after="0"/>
              <w:rPr>
                <w:sz w:val="19"/>
                <w:szCs w:val="19"/>
                <w:color w:val="auto"/>
              </w:rPr>
            </w:pPr>
          </w:p>
        </w:tc>
        <w:tc>
          <w:tcPr>
            <w:tcW w:w="3440" w:type="dxa"/>
            <w:vAlign w:val="bottom"/>
            <w:gridSpan w:val="3"/>
            <w:vMerge w:val="restart"/>
          </w:tcPr>
          <w:p>
            <w:pPr>
              <w:jc w:val="center"/>
              <w:ind w:left="8"/>
              <w:spacing w:after="0"/>
              <w:rPr>
                <w:sz w:val="20"/>
                <w:szCs w:val="20"/>
                <w:color w:val="auto"/>
              </w:rPr>
            </w:pPr>
            <w:r>
              <w:rPr>
                <w:rFonts w:ascii="Arial" w:cs="Arial" w:eastAsia="Arial" w:hAnsi="Arial"/>
                <w:sz w:val="14"/>
                <w:szCs w:val="14"/>
                <w:i w:val="1"/>
                <w:iCs w:val="1"/>
                <w:color w:val="auto"/>
              </w:rPr>
              <w:t>* Included in our main executive compensation peer</w:t>
            </w:r>
          </w:p>
        </w:tc>
        <w:tc>
          <w:tcPr>
            <w:tcW w:w="0" w:type="dxa"/>
            <w:vAlign w:val="bottom"/>
          </w:tcPr>
          <w:p>
            <w:pPr>
              <w:spacing w:after="0"/>
              <w:rPr>
                <w:sz w:val="1"/>
                <w:szCs w:val="1"/>
                <w:color w:val="auto"/>
              </w:rPr>
            </w:pPr>
          </w:p>
        </w:tc>
      </w:tr>
      <w:tr>
        <w:trPr>
          <w:trHeight w:val="83"/>
        </w:trPr>
        <w:tc>
          <w:tcPr>
            <w:tcW w:w="3020" w:type="dxa"/>
            <w:vAlign w:val="bottom"/>
            <w:gridSpan w:val="2"/>
            <w:vMerge w:val="restart"/>
          </w:tcPr>
          <w:p>
            <w:pPr>
              <w:ind w:left="60"/>
              <w:spacing w:after="0"/>
              <w:rPr>
                <w:sz w:val="20"/>
                <w:szCs w:val="20"/>
                <w:color w:val="auto"/>
              </w:rPr>
            </w:pPr>
            <w:r>
              <w:rPr>
                <w:rFonts w:ascii="Arial" w:cs="Arial" w:eastAsia="Arial" w:hAnsi="Arial"/>
                <w:sz w:val="14"/>
                <w:szCs w:val="14"/>
                <w:color w:val="auto"/>
              </w:rPr>
              <w:t>CFO = Chief Financial Officer</w:t>
            </w:r>
          </w:p>
        </w:tc>
        <w:tc>
          <w:tcPr>
            <w:tcW w:w="4780" w:type="dxa"/>
            <w:vAlign w:val="bottom"/>
            <w:gridSpan w:val="4"/>
            <w:vMerge w:val="restart"/>
          </w:tcPr>
          <w:p>
            <w:pPr>
              <w:ind w:left="800"/>
              <w:spacing w:after="0"/>
              <w:rPr>
                <w:sz w:val="20"/>
                <w:szCs w:val="20"/>
                <w:color w:val="auto"/>
              </w:rPr>
            </w:pPr>
            <w:r>
              <w:rPr>
                <w:rFonts w:ascii="Arial" w:cs="Arial" w:eastAsia="Arial" w:hAnsi="Arial"/>
                <w:sz w:val="14"/>
                <w:szCs w:val="14"/>
                <w:color w:val="auto"/>
              </w:rPr>
              <w:t>CLO = Chief Legal Officer / General Counsel</w:t>
            </w:r>
          </w:p>
        </w:tc>
        <w:tc>
          <w:tcPr>
            <w:tcW w:w="34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3020" w:type="dxa"/>
            <w:vAlign w:val="bottom"/>
            <w:gridSpan w:val="2"/>
            <w:vMerge w:val="continue"/>
          </w:tcPr>
          <w:p>
            <w:pPr>
              <w:spacing w:after="0"/>
              <w:rPr>
                <w:sz w:val="6"/>
                <w:szCs w:val="6"/>
                <w:color w:val="auto"/>
              </w:rPr>
            </w:pPr>
          </w:p>
        </w:tc>
        <w:tc>
          <w:tcPr>
            <w:tcW w:w="4780" w:type="dxa"/>
            <w:vAlign w:val="bottom"/>
            <w:gridSpan w:val="4"/>
            <w:vMerge w:val="continue"/>
          </w:tcPr>
          <w:p>
            <w:pPr>
              <w:spacing w:after="0"/>
              <w:rPr>
                <w:sz w:val="6"/>
                <w:szCs w:val="6"/>
                <w:color w:val="auto"/>
              </w:rPr>
            </w:pPr>
          </w:p>
        </w:tc>
        <w:tc>
          <w:tcPr>
            <w:tcW w:w="840" w:type="dxa"/>
            <w:vAlign w:val="bottom"/>
          </w:tcPr>
          <w:p>
            <w:pPr>
              <w:spacing w:after="0"/>
              <w:rPr>
                <w:sz w:val="6"/>
                <w:szCs w:val="6"/>
                <w:color w:val="auto"/>
              </w:rPr>
            </w:pPr>
          </w:p>
        </w:tc>
        <w:tc>
          <w:tcPr>
            <w:tcW w:w="2600" w:type="dxa"/>
            <w:vAlign w:val="bottom"/>
            <w:gridSpan w:val="2"/>
            <w:vMerge w:val="restart"/>
          </w:tcPr>
          <w:p>
            <w:pPr>
              <w:jc w:val="center"/>
              <w:ind w:right="679"/>
              <w:spacing w:after="0"/>
              <w:rPr>
                <w:sz w:val="20"/>
                <w:szCs w:val="20"/>
                <w:color w:val="auto"/>
              </w:rPr>
            </w:pPr>
            <w:r>
              <w:rPr>
                <w:rFonts w:ascii="Arial" w:cs="Arial" w:eastAsia="Arial" w:hAnsi="Arial"/>
                <w:sz w:val="14"/>
                <w:szCs w:val="14"/>
                <w:i w:val="1"/>
                <w:iCs w:val="1"/>
                <w:color w:val="auto"/>
              </w:rPr>
              <w:t>groups</w:t>
            </w:r>
          </w:p>
        </w:tc>
        <w:tc>
          <w:tcPr>
            <w:tcW w:w="0" w:type="dxa"/>
            <w:vAlign w:val="bottom"/>
          </w:tcPr>
          <w:p>
            <w:pPr>
              <w:spacing w:after="0"/>
              <w:rPr>
                <w:sz w:val="1"/>
                <w:szCs w:val="1"/>
                <w:color w:val="auto"/>
              </w:rPr>
            </w:pPr>
          </w:p>
        </w:tc>
      </w:tr>
      <w:tr>
        <w:trPr>
          <w:trHeight w:val="109"/>
        </w:trPr>
        <w:tc>
          <w:tcPr>
            <w:tcW w:w="3020" w:type="dxa"/>
            <w:vAlign w:val="bottom"/>
            <w:gridSpan w:val="2"/>
            <w:vMerge w:val="restart"/>
          </w:tcPr>
          <w:p>
            <w:pPr>
              <w:ind w:left="60"/>
              <w:spacing w:after="0"/>
              <w:rPr>
                <w:sz w:val="20"/>
                <w:szCs w:val="20"/>
                <w:color w:val="auto"/>
              </w:rPr>
            </w:pPr>
            <w:r>
              <w:rPr>
                <w:rFonts w:ascii="Arial" w:cs="Arial" w:eastAsia="Arial" w:hAnsi="Arial"/>
                <w:sz w:val="14"/>
                <w:szCs w:val="14"/>
                <w:color w:val="auto"/>
              </w:rPr>
              <w:t>COO = Chief Operating / Commercial Officer</w:t>
            </w:r>
          </w:p>
        </w:tc>
        <w:tc>
          <w:tcPr>
            <w:tcW w:w="4780" w:type="dxa"/>
            <w:vAlign w:val="bottom"/>
            <w:gridSpan w:val="4"/>
            <w:vMerge w:val="restart"/>
          </w:tcPr>
          <w:p>
            <w:pPr>
              <w:ind w:left="800"/>
              <w:spacing w:after="0"/>
              <w:rPr>
                <w:sz w:val="20"/>
                <w:szCs w:val="20"/>
                <w:color w:val="auto"/>
              </w:rPr>
            </w:pPr>
            <w:r>
              <w:rPr>
                <w:rFonts w:ascii="Arial" w:cs="Arial" w:eastAsia="Arial" w:hAnsi="Arial"/>
                <w:sz w:val="14"/>
                <w:szCs w:val="14"/>
                <w:color w:val="auto"/>
              </w:rPr>
              <w:t>CHRO = Chief Human Resources Officer</w:t>
            </w:r>
          </w:p>
        </w:tc>
        <w:tc>
          <w:tcPr>
            <w:tcW w:w="840" w:type="dxa"/>
            <w:vAlign w:val="bottom"/>
          </w:tcPr>
          <w:p>
            <w:pPr>
              <w:spacing w:after="0"/>
              <w:rPr>
                <w:sz w:val="9"/>
                <w:szCs w:val="9"/>
                <w:color w:val="auto"/>
              </w:rPr>
            </w:pPr>
          </w:p>
        </w:tc>
        <w:tc>
          <w:tcPr>
            <w:tcW w:w="26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020" w:type="dxa"/>
            <w:vAlign w:val="bottom"/>
            <w:gridSpan w:val="2"/>
            <w:vMerge w:val="continue"/>
          </w:tcPr>
          <w:p>
            <w:pPr>
              <w:spacing w:after="0"/>
              <w:rPr>
                <w:sz w:val="7"/>
                <w:szCs w:val="7"/>
                <w:color w:val="auto"/>
              </w:rPr>
            </w:pPr>
          </w:p>
        </w:tc>
        <w:tc>
          <w:tcPr>
            <w:tcW w:w="4780" w:type="dxa"/>
            <w:vAlign w:val="bottom"/>
            <w:gridSpan w:val="4"/>
            <w:vMerge w:val="continue"/>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5"/>
        </w:trPr>
        <w:tc>
          <w:tcPr>
            <w:tcW w:w="920" w:type="dxa"/>
            <w:vAlign w:val="bottom"/>
            <w:tcBorders>
              <w:bottom w:val="single" w:sz="8" w:color="0233A1"/>
            </w:tcBorders>
          </w:tcPr>
          <w:p>
            <w:pPr>
              <w:spacing w:after="0"/>
              <w:rPr>
                <w:sz w:val="4"/>
                <w:szCs w:val="4"/>
                <w:color w:val="auto"/>
              </w:rPr>
            </w:pPr>
          </w:p>
        </w:tc>
        <w:tc>
          <w:tcPr>
            <w:tcW w:w="2100" w:type="dxa"/>
            <w:vAlign w:val="bottom"/>
            <w:tcBorders>
              <w:bottom w:val="single" w:sz="8" w:color="0233A1"/>
            </w:tcBorders>
          </w:tcPr>
          <w:p>
            <w:pPr>
              <w:spacing w:after="0"/>
              <w:rPr>
                <w:sz w:val="4"/>
                <w:szCs w:val="4"/>
                <w:color w:val="auto"/>
              </w:rPr>
            </w:pPr>
          </w:p>
        </w:tc>
        <w:tc>
          <w:tcPr>
            <w:tcW w:w="2380" w:type="dxa"/>
            <w:vAlign w:val="bottom"/>
            <w:tcBorders>
              <w:bottom w:val="single" w:sz="8" w:color="0233A1"/>
            </w:tcBorders>
          </w:tcPr>
          <w:p>
            <w:pPr>
              <w:spacing w:after="0"/>
              <w:rPr>
                <w:sz w:val="4"/>
                <w:szCs w:val="4"/>
                <w:color w:val="auto"/>
              </w:rPr>
            </w:pPr>
          </w:p>
        </w:tc>
        <w:tc>
          <w:tcPr>
            <w:tcW w:w="460" w:type="dxa"/>
            <w:vAlign w:val="bottom"/>
            <w:tcBorders>
              <w:bottom w:val="single" w:sz="8" w:color="0233A1"/>
            </w:tcBorders>
          </w:tcPr>
          <w:p>
            <w:pPr>
              <w:spacing w:after="0"/>
              <w:rPr>
                <w:sz w:val="4"/>
                <w:szCs w:val="4"/>
                <w:color w:val="auto"/>
              </w:rPr>
            </w:pPr>
          </w:p>
        </w:tc>
        <w:tc>
          <w:tcPr>
            <w:tcW w:w="140" w:type="dxa"/>
            <w:vAlign w:val="bottom"/>
            <w:tcBorders>
              <w:bottom w:val="single" w:sz="8" w:color="0233A1"/>
            </w:tcBorders>
          </w:tcPr>
          <w:p>
            <w:pPr>
              <w:spacing w:after="0"/>
              <w:rPr>
                <w:sz w:val="4"/>
                <w:szCs w:val="4"/>
                <w:color w:val="auto"/>
              </w:rPr>
            </w:pPr>
          </w:p>
        </w:tc>
        <w:tc>
          <w:tcPr>
            <w:tcW w:w="1800" w:type="dxa"/>
            <w:vAlign w:val="bottom"/>
            <w:tcBorders>
              <w:bottom w:val="single" w:sz="8" w:color="0233A1"/>
            </w:tcBorders>
          </w:tcPr>
          <w:p>
            <w:pPr>
              <w:spacing w:after="0"/>
              <w:rPr>
                <w:sz w:val="4"/>
                <w:szCs w:val="4"/>
                <w:color w:val="auto"/>
              </w:rPr>
            </w:pPr>
          </w:p>
        </w:tc>
        <w:tc>
          <w:tcPr>
            <w:tcW w:w="840" w:type="dxa"/>
            <w:vAlign w:val="bottom"/>
            <w:tcBorders>
              <w:bottom w:val="single" w:sz="8" w:color="0233A1"/>
            </w:tcBorders>
          </w:tcPr>
          <w:p>
            <w:pPr>
              <w:spacing w:after="0"/>
              <w:rPr>
                <w:sz w:val="4"/>
                <w:szCs w:val="4"/>
                <w:color w:val="auto"/>
              </w:rPr>
            </w:pPr>
          </w:p>
        </w:tc>
        <w:tc>
          <w:tcPr>
            <w:tcW w:w="800" w:type="dxa"/>
            <w:vAlign w:val="bottom"/>
            <w:tcBorders>
              <w:bottom w:val="single" w:sz="8" w:color="0233A1"/>
            </w:tcBorders>
          </w:tcPr>
          <w:p>
            <w:pPr>
              <w:spacing w:after="0"/>
              <w:rPr>
                <w:sz w:val="4"/>
                <w:szCs w:val="4"/>
                <w:color w:val="auto"/>
              </w:rPr>
            </w:pPr>
          </w:p>
        </w:tc>
        <w:tc>
          <w:tcPr>
            <w:tcW w:w="1800" w:type="dxa"/>
            <w:vAlign w:val="bottom"/>
            <w:tcBorders>
              <w:bottom w:val="single" w:sz="8" w:color="0233A1"/>
            </w:tcBorders>
          </w:tcPr>
          <w:p>
            <w:pPr>
              <w:spacing w:after="0"/>
              <w:rPr>
                <w:sz w:val="4"/>
                <w:szCs w:val="4"/>
                <w:color w:val="auto"/>
              </w:rPr>
            </w:pPr>
          </w:p>
        </w:tc>
        <w:tc>
          <w:tcPr>
            <w:tcW w:w="0" w:type="dxa"/>
            <w:vAlign w:val="bottom"/>
          </w:tcPr>
          <w:p>
            <w:pPr>
              <w:spacing w:after="0"/>
              <w:rPr>
                <w:sz w:val="1"/>
                <w:szCs w:val="1"/>
                <w:color w:val="auto"/>
              </w:rPr>
            </w:pPr>
          </w:p>
        </w:tc>
      </w:tr>
      <w:tr>
        <w:trPr>
          <w:trHeight w:val="641"/>
        </w:trPr>
        <w:tc>
          <w:tcPr>
            <w:tcW w:w="92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46</w:t>
            </w:r>
          </w:p>
        </w:tc>
        <w:tc>
          <w:tcPr>
            <w:tcW w:w="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0" w:type="dxa"/>
            <w:vAlign w:val="bottom"/>
            <w:vMerge w:val="restart"/>
          </w:tcPr>
          <w:p>
            <w:pPr>
              <w:ind w:left="120"/>
              <w:spacing w:after="0"/>
              <w:rPr>
                <w:sz w:val="20"/>
                <w:szCs w:val="20"/>
                <w:color w:val="auto"/>
              </w:rPr>
            </w:pPr>
            <w:r>
              <w:rPr>
                <w:rFonts w:ascii="Arial" w:cs="Arial" w:eastAsia="Arial" w:hAnsi="Arial"/>
                <w:sz w:val="16"/>
                <w:szCs w:val="16"/>
                <w:b w:val="1"/>
                <w:bCs w:val="1"/>
                <w:color w:val="636466"/>
                <w:w w:val="99"/>
              </w:rPr>
              <w:t>2024 Proxy Statement</w:t>
            </w:r>
          </w:p>
        </w:tc>
        <w:tc>
          <w:tcPr>
            <w:tcW w:w="0" w:type="dxa"/>
            <w:vAlign w:val="bottom"/>
          </w:tcPr>
          <w:p>
            <w:pPr>
              <w:spacing w:after="0"/>
              <w:rPr>
                <w:sz w:val="1"/>
                <w:szCs w:val="1"/>
                <w:color w:val="auto"/>
              </w:rPr>
            </w:pPr>
          </w:p>
        </w:tc>
      </w:tr>
      <w:tr>
        <w:trPr>
          <w:trHeight w:val="74"/>
        </w:trPr>
        <w:tc>
          <w:tcPr>
            <w:tcW w:w="920" w:type="dxa"/>
            <w:vAlign w:val="bottom"/>
          </w:tcPr>
          <w:p>
            <w:pPr>
              <w:spacing w:after="0"/>
              <w:rPr>
                <w:sz w:val="6"/>
                <w:szCs w:val="6"/>
                <w:color w:val="auto"/>
              </w:rPr>
            </w:pPr>
          </w:p>
        </w:tc>
        <w:tc>
          <w:tcPr>
            <w:tcW w:w="2100" w:type="dxa"/>
            <w:vAlign w:val="bottom"/>
          </w:tcPr>
          <w:p>
            <w:pPr>
              <w:spacing w:after="0"/>
              <w:rPr>
                <w:sz w:val="6"/>
                <w:szCs w:val="6"/>
                <w:color w:val="auto"/>
              </w:rPr>
            </w:pPr>
          </w:p>
        </w:tc>
        <w:tc>
          <w:tcPr>
            <w:tcW w:w="238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46"/>
        </w:trPr>
        <w:tc>
          <w:tcPr>
            <w:tcW w:w="920" w:type="dxa"/>
            <w:vAlign w:val="bottom"/>
            <w:tcBorders>
              <w:bottom w:val="single" w:sz="8" w:color="C0C0C0"/>
            </w:tcBorders>
          </w:tcPr>
          <w:p>
            <w:pPr>
              <w:spacing w:after="0"/>
              <w:rPr>
                <w:sz w:val="24"/>
                <w:szCs w:val="24"/>
                <w:color w:val="auto"/>
              </w:rPr>
            </w:pPr>
          </w:p>
        </w:tc>
        <w:tc>
          <w:tcPr>
            <w:tcW w:w="2100" w:type="dxa"/>
            <w:vAlign w:val="bottom"/>
            <w:tcBorders>
              <w:bottom w:val="single" w:sz="8" w:color="C0C0C0"/>
            </w:tcBorders>
          </w:tcPr>
          <w:p>
            <w:pPr>
              <w:spacing w:after="0"/>
              <w:rPr>
                <w:sz w:val="24"/>
                <w:szCs w:val="24"/>
                <w:color w:val="auto"/>
              </w:rPr>
            </w:pPr>
          </w:p>
        </w:tc>
        <w:tc>
          <w:tcPr>
            <w:tcW w:w="238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140" w:type="dxa"/>
            <w:vAlign w:val="bottom"/>
            <w:tcBorders>
              <w:bottom w:val="single" w:sz="8" w:color="C0C0C0"/>
            </w:tcBorders>
          </w:tcPr>
          <w:p>
            <w:pPr>
              <w:spacing w:after="0"/>
              <w:rPr>
                <w:sz w:val="24"/>
                <w:szCs w:val="24"/>
                <w:color w:val="auto"/>
              </w:rPr>
            </w:pPr>
          </w:p>
        </w:tc>
        <w:tc>
          <w:tcPr>
            <w:tcW w:w="1800" w:type="dxa"/>
            <w:vAlign w:val="bottom"/>
            <w:tcBorders>
              <w:bottom w:val="single" w:sz="8" w:color="C0C0C0"/>
            </w:tcBorders>
          </w:tcPr>
          <w:p>
            <w:pPr>
              <w:spacing w:after="0"/>
              <w:rPr>
                <w:sz w:val="24"/>
                <w:szCs w:val="24"/>
                <w:color w:val="auto"/>
              </w:rPr>
            </w:pPr>
          </w:p>
        </w:tc>
        <w:tc>
          <w:tcPr>
            <w:tcW w:w="840" w:type="dxa"/>
            <w:vAlign w:val="bottom"/>
            <w:tcBorders>
              <w:bottom w:val="single" w:sz="8" w:color="C0C0C0"/>
            </w:tcBorders>
          </w:tcPr>
          <w:p>
            <w:pPr>
              <w:spacing w:after="0"/>
              <w:rPr>
                <w:sz w:val="24"/>
                <w:szCs w:val="24"/>
                <w:color w:val="auto"/>
              </w:rPr>
            </w:pPr>
          </w:p>
        </w:tc>
        <w:tc>
          <w:tcPr>
            <w:tcW w:w="800" w:type="dxa"/>
            <w:vAlign w:val="bottom"/>
            <w:tcBorders>
              <w:bottom w:val="single" w:sz="8" w:color="C0C0C0"/>
            </w:tcBorders>
          </w:tcPr>
          <w:p>
            <w:pPr>
              <w:spacing w:after="0"/>
              <w:rPr>
                <w:sz w:val="24"/>
                <w:szCs w:val="24"/>
                <w:color w:val="auto"/>
              </w:rPr>
            </w:pPr>
          </w:p>
        </w:tc>
        <w:tc>
          <w:tcPr>
            <w:tcW w:w="18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-1173480</wp:posOffset>
            </wp:positionV>
            <wp:extent cx="7132320" cy="8255"/>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-1456690</wp:posOffset>
            </wp:positionV>
            <wp:extent cx="7132320" cy="8255"/>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-1739265</wp:posOffset>
            </wp:positionV>
            <wp:extent cx="7132320" cy="8255"/>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-2022475</wp:posOffset>
            </wp:positionV>
            <wp:extent cx="7132320" cy="8255"/>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-2305050</wp:posOffset>
            </wp:positionV>
            <wp:extent cx="7132320" cy="8890"/>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-2588260</wp:posOffset>
            </wp:positionV>
            <wp:extent cx="7132320" cy="8890"/>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-530860</wp:posOffset>
            </wp:positionV>
            <wp:extent cx="471170" cy="282575"/>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471170" cy="28257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51" w:name="page52"/>
    <w:bookmarkEnd w:id="51"/>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3" w:lineRule="exact"/>
        <w:rPr>
          <w:sz w:val="20"/>
          <w:szCs w:val="20"/>
          <w:color w:val="auto"/>
        </w:rPr>
      </w:pPr>
    </w:p>
    <w:p>
      <w:pPr>
        <w:spacing w:after="0"/>
        <w:rPr>
          <w:sz w:val="20"/>
          <w:szCs w:val="20"/>
          <w:color w:val="auto"/>
        </w:rPr>
      </w:pPr>
      <w:r>
        <w:rPr>
          <w:rFonts w:ascii="Arial" w:cs="Arial" w:eastAsia="Arial" w:hAnsi="Arial"/>
          <w:sz w:val="25"/>
          <w:szCs w:val="25"/>
          <w:color w:val="0233A1"/>
        </w:rPr>
        <w:t>Our Peer Group Companies</w:t>
      </w:r>
    </w:p>
    <w:p>
      <w:pPr>
        <w:spacing w:after="0" w:line="207" w:lineRule="exact"/>
        <w:rPr>
          <w:sz w:val="20"/>
          <w:szCs w:val="20"/>
          <w:color w:val="auto"/>
        </w:rPr>
      </w:pPr>
    </w:p>
    <w:p>
      <w:pPr>
        <w:jc w:val="both"/>
        <w:ind w:firstLine="180"/>
        <w:spacing w:after="0" w:line="252" w:lineRule="auto"/>
        <w:rPr>
          <w:sz w:val="20"/>
          <w:szCs w:val="20"/>
          <w:color w:val="auto"/>
        </w:rPr>
      </w:pPr>
      <w:r>
        <w:rPr>
          <w:rFonts w:ascii="Arial" w:cs="Arial" w:eastAsia="Arial" w:hAnsi="Arial"/>
          <w:sz w:val="16"/>
          <w:szCs w:val="16"/>
          <w:color w:val="auto"/>
        </w:rPr>
        <w:t>Our Compensation Committee considers formal executive compensation survey data prepared by Pay Governance when it reviews and determines executive compensation, and when considering changes to our executive compensation program. The Committee considers data for the companies comprising our two main executive compensation peer groups—our core industry peer group and our general industry peer group. The Committee believes these peer groups together provide the robust market data necessary to assess the current and future talent markets available to our executive officers, both in the oil and gas sector and in other advanced extractive, technology-driven manufacturing, and industrial engineering-focused sectors. General industry peer group comparisons are particularly relevant for non-operations positions, where skills and experience may be easily transferable to other industries. In addition, the evolving energy industry environment creates challenges in maintaining a robust peer group comprising solely oilfield services and upstream companies following consolidations and bankruptcies, as well as diversification into new energy investments.</w:t>
      </w:r>
    </w:p>
    <w:p>
      <w:pPr>
        <w:spacing w:after="0" w:line="156" w:lineRule="exact"/>
        <w:rPr>
          <w:sz w:val="20"/>
          <w:szCs w:val="20"/>
          <w:color w:val="auto"/>
        </w:rPr>
      </w:pPr>
    </w:p>
    <w:p>
      <w:pPr>
        <w:jc w:val="both"/>
        <w:ind w:firstLine="180"/>
        <w:spacing w:after="0" w:line="254" w:lineRule="auto"/>
        <w:rPr>
          <w:sz w:val="20"/>
          <w:szCs w:val="20"/>
          <w:color w:val="auto"/>
        </w:rPr>
      </w:pPr>
      <w:r>
        <w:rPr>
          <w:rFonts w:ascii="Arial" w:cs="Arial" w:eastAsia="Arial" w:hAnsi="Arial"/>
          <w:sz w:val="16"/>
          <w:szCs w:val="16"/>
          <w:color w:val="auto"/>
        </w:rPr>
        <w:t>The Committee annually reviews the specific selection criteria for our main executive compensation peer groups, such as competition for business or executive talent, revenue, market capitalization, and scope of international operations. Pay Governance annually recommends for the Committee’s review the addition or removal of companies from these peer groups, based on the Committee’s selection criteria. As a general matter, the Committee selects suitable comparator companies such that the companies in these peer groups, at the median, approximate SLB’s estimated revenue in the then-current year and its then-current market capitalization. The Committee modifies its peer group criteria as appropriate while seeking a satisfactory degree of stability, to provide a consistent basis for comparison.</w:t>
      </w:r>
    </w:p>
    <w:p>
      <w:pPr>
        <w:spacing w:after="0" w:line="155" w:lineRule="exact"/>
        <w:rPr>
          <w:sz w:val="20"/>
          <w:szCs w:val="20"/>
          <w:color w:val="auto"/>
        </w:rPr>
      </w:pPr>
    </w:p>
    <w:p>
      <w:pPr>
        <w:jc w:val="both"/>
        <w:ind w:firstLine="180"/>
        <w:spacing w:after="0" w:line="286" w:lineRule="auto"/>
        <w:rPr>
          <w:sz w:val="20"/>
          <w:szCs w:val="20"/>
          <w:color w:val="auto"/>
        </w:rPr>
      </w:pPr>
      <w:r>
        <w:rPr>
          <w:rFonts w:ascii="Arial" w:cs="Arial" w:eastAsia="Arial" w:hAnsi="Arial"/>
          <w:sz w:val="16"/>
          <w:szCs w:val="16"/>
          <w:color w:val="auto"/>
        </w:rPr>
        <w:t>In July 2022, our Compensation Committee reviewed and approved the companies listed below to comprise our two main executive compensation peer groups, effective for 2023 executive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188595"/>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183" w:lineRule="exact"/>
        <w:rPr>
          <w:sz w:val="20"/>
          <w:szCs w:val="20"/>
          <w:color w:val="auto"/>
        </w:rPr>
      </w:pPr>
    </w:p>
    <w:p>
      <w:pPr>
        <w:ind w:left="4640"/>
        <w:spacing w:after="0"/>
        <w:rPr>
          <w:sz w:val="20"/>
          <w:szCs w:val="20"/>
          <w:color w:val="auto"/>
        </w:rPr>
      </w:pPr>
      <w:r>
        <w:rPr>
          <w:rFonts w:ascii="Arial" w:cs="Arial" w:eastAsia="Arial" w:hAnsi="Arial"/>
          <w:sz w:val="16"/>
          <w:szCs w:val="16"/>
          <w:b w:val="1"/>
          <w:bCs w:val="1"/>
          <w:color w:val="FFFFFF"/>
        </w:rPr>
        <w:t>Core Industry Peer Group</w:t>
      </w:r>
    </w:p>
    <w:p>
      <w:pPr>
        <w:spacing w:after="0" w:line="248" w:lineRule="exact"/>
        <w:rPr>
          <w:sz w:val="20"/>
          <w:szCs w:val="20"/>
          <w:color w:val="auto"/>
        </w:rPr>
      </w:pPr>
    </w:p>
    <w:p>
      <w:pPr>
        <w:jc w:val="both"/>
        <w:ind w:right="1320" w:firstLine="180"/>
        <w:spacing w:after="0" w:line="252" w:lineRule="auto"/>
        <w:rPr>
          <w:sz w:val="20"/>
          <w:szCs w:val="20"/>
          <w:color w:val="auto"/>
        </w:rPr>
      </w:pPr>
      <w:r>
        <w:rPr>
          <w:rFonts w:ascii="Arial" w:cs="Arial" w:eastAsia="Arial" w:hAnsi="Arial"/>
          <w:sz w:val="16"/>
          <w:szCs w:val="16"/>
          <w:color w:val="auto"/>
        </w:rPr>
        <w:t>This peer group comprises ten companies in the energy sector, primarily in the oilfield services and equipment and upstream oil and gas industries, with 2022 estimated revenues (as of July 2022) between $6.7 billion and $73.7 billion. The Committee identified the companies in this peer group as being broadly comparable to SLB in terms of revenue and market value, and also competing with us for business and executive talent. Several members of this peer group frequently seek to recruit SLB executives for their senior executive roles. See “—Competition for Our Executive Talent” on page 46.</w:t>
      </w:r>
    </w:p>
    <w:p>
      <w:pPr>
        <w:spacing w:after="0" w:line="156" w:lineRule="exact"/>
        <w:rPr>
          <w:sz w:val="20"/>
          <w:szCs w:val="20"/>
          <w:color w:val="auto"/>
        </w:rPr>
      </w:pPr>
    </w:p>
    <w:p>
      <w:pPr>
        <w:jc w:val="both"/>
        <w:ind w:right="1320" w:firstLine="180"/>
        <w:spacing w:after="0" w:line="252" w:lineRule="auto"/>
        <w:rPr>
          <w:sz w:val="20"/>
          <w:szCs w:val="20"/>
          <w:color w:val="auto"/>
        </w:rPr>
      </w:pPr>
      <w:r>
        <w:rPr>
          <w:rFonts w:ascii="Arial" w:cs="Arial" w:eastAsia="Arial" w:hAnsi="Arial"/>
          <w:sz w:val="16"/>
          <w:szCs w:val="16"/>
          <w:color w:val="auto"/>
        </w:rPr>
        <w:t>In July 2022, applying the selection criteria above, our Compensation Committee removed Imperial Oil from this peer group and added Enbridge, after considering Enbridge’s growing renewable energy segment. As a result,</w:t>
      </w:r>
    </w:p>
    <w:p>
      <w:pPr>
        <w:spacing w:after="0" w:line="184" w:lineRule="auto"/>
        <w:rPr>
          <w:sz w:val="20"/>
          <w:szCs w:val="20"/>
          <w:color w:val="auto"/>
        </w:rPr>
      </w:pPr>
      <w:r>
        <w:rPr>
          <w:rFonts w:ascii="Arial" w:cs="Arial" w:eastAsia="Arial" w:hAnsi="Arial"/>
          <w:sz w:val="16"/>
          <w:szCs w:val="16"/>
          <w:color w:val="auto"/>
        </w:rPr>
        <w:t>SLB was positioned at the 47</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of this peer group in terms of</w:t>
      </w:r>
    </w:p>
    <w:p>
      <w:pPr>
        <w:spacing w:after="0" w:line="1" w:lineRule="exact"/>
        <w:rPr>
          <w:sz w:val="20"/>
          <w:szCs w:val="20"/>
          <w:color w:val="auto"/>
        </w:rPr>
      </w:pPr>
    </w:p>
    <w:p>
      <w:pPr>
        <w:jc w:val="both"/>
        <w:ind w:right="1320"/>
        <w:spacing w:after="0" w:line="214" w:lineRule="auto"/>
        <w:rPr>
          <w:sz w:val="20"/>
          <w:szCs w:val="20"/>
          <w:color w:val="auto"/>
        </w:rPr>
      </w:pPr>
      <w:r>
        <w:rPr>
          <w:rFonts w:ascii="Arial" w:cs="Arial" w:eastAsia="Arial" w:hAnsi="Arial"/>
          <w:sz w:val="16"/>
          <w:szCs w:val="16"/>
          <w:color w:val="auto"/>
        </w:rPr>
        <w:t>estimated 2022 revenue as of July 2022, and at the 59</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of this peer group in terms of market capitalization as of April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88595"/>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040"/>
        <w:spacing w:after="0"/>
        <w:rPr>
          <w:sz w:val="20"/>
          <w:szCs w:val="20"/>
          <w:color w:val="auto"/>
        </w:rPr>
      </w:pPr>
      <w:r>
        <w:rPr>
          <w:rFonts w:ascii="Arial" w:cs="Arial" w:eastAsia="Arial" w:hAnsi="Arial"/>
          <w:sz w:val="16"/>
          <w:szCs w:val="16"/>
          <w:color w:val="auto"/>
        </w:rPr>
        <w:t>Baker Hughes</w:t>
      </w:r>
    </w:p>
    <w:p>
      <w:pPr>
        <w:spacing w:after="0" w:line="113" w:lineRule="exact"/>
        <w:rPr>
          <w:sz w:val="20"/>
          <w:szCs w:val="20"/>
          <w:color w:val="auto"/>
        </w:rPr>
      </w:pPr>
    </w:p>
    <w:p>
      <w:pPr>
        <w:jc w:val="center"/>
        <w:ind w:right="2040"/>
        <w:spacing w:after="0"/>
        <w:rPr>
          <w:sz w:val="20"/>
          <w:szCs w:val="20"/>
          <w:color w:val="auto"/>
        </w:rPr>
      </w:pPr>
      <w:r>
        <w:rPr>
          <w:rFonts w:ascii="Arial" w:cs="Arial" w:eastAsia="Arial" w:hAnsi="Arial"/>
          <w:sz w:val="16"/>
          <w:szCs w:val="16"/>
          <w:color w:val="auto"/>
        </w:rPr>
        <w:t>BHP Group</w:t>
      </w:r>
    </w:p>
    <w:p>
      <w:pPr>
        <w:spacing w:after="0" w:line="113" w:lineRule="exact"/>
        <w:rPr>
          <w:sz w:val="20"/>
          <w:szCs w:val="20"/>
          <w:color w:val="auto"/>
        </w:rPr>
      </w:pPr>
    </w:p>
    <w:p>
      <w:pPr>
        <w:jc w:val="center"/>
        <w:ind w:right="2040"/>
        <w:spacing w:after="0"/>
        <w:rPr>
          <w:sz w:val="20"/>
          <w:szCs w:val="20"/>
          <w:color w:val="auto"/>
        </w:rPr>
      </w:pPr>
      <w:r>
        <w:rPr>
          <w:rFonts w:ascii="Arial" w:cs="Arial" w:eastAsia="Arial" w:hAnsi="Arial"/>
          <w:sz w:val="16"/>
          <w:szCs w:val="16"/>
          <w:color w:val="auto"/>
        </w:rPr>
        <w:t>ConocoPhillips</w:t>
      </w:r>
    </w:p>
    <w:p>
      <w:pPr>
        <w:spacing w:after="0" w:line="113" w:lineRule="exact"/>
        <w:rPr>
          <w:sz w:val="20"/>
          <w:szCs w:val="20"/>
          <w:color w:val="auto"/>
        </w:rPr>
      </w:pPr>
    </w:p>
    <w:p>
      <w:pPr>
        <w:jc w:val="center"/>
        <w:ind w:right="2040"/>
        <w:spacing w:after="0"/>
        <w:rPr>
          <w:sz w:val="20"/>
          <w:szCs w:val="20"/>
          <w:color w:val="auto"/>
        </w:rPr>
      </w:pPr>
      <w:r>
        <w:rPr>
          <w:rFonts w:ascii="Arial" w:cs="Arial" w:eastAsia="Arial" w:hAnsi="Arial"/>
          <w:sz w:val="16"/>
          <w:szCs w:val="16"/>
          <w:color w:val="auto"/>
        </w:rPr>
        <w:t>Enbridge</w:t>
      </w:r>
    </w:p>
    <w:p>
      <w:pPr>
        <w:spacing w:after="0" w:line="113" w:lineRule="exact"/>
        <w:rPr>
          <w:sz w:val="20"/>
          <w:szCs w:val="20"/>
          <w:color w:val="auto"/>
        </w:rPr>
      </w:pPr>
    </w:p>
    <w:p>
      <w:pPr>
        <w:jc w:val="center"/>
        <w:ind w:right="2040"/>
        <w:spacing w:after="0"/>
        <w:rPr>
          <w:sz w:val="20"/>
          <w:szCs w:val="20"/>
          <w:color w:val="auto"/>
        </w:rPr>
      </w:pPr>
      <w:r>
        <w:rPr>
          <w:rFonts w:ascii="Arial" w:cs="Arial" w:eastAsia="Arial" w:hAnsi="Arial"/>
          <w:sz w:val="16"/>
          <w:szCs w:val="16"/>
          <w:color w:val="auto"/>
        </w:rPr>
        <w:t>EOG Resources</w:t>
      </w:r>
    </w:p>
    <w:p>
      <w:pPr>
        <w:spacing w:after="0" w:line="113" w:lineRule="exact"/>
        <w:rPr>
          <w:sz w:val="20"/>
          <w:szCs w:val="20"/>
          <w:color w:val="auto"/>
        </w:rPr>
      </w:pPr>
    </w:p>
    <w:p>
      <w:pPr>
        <w:jc w:val="center"/>
        <w:ind w:right="2040"/>
        <w:spacing w:after="0"/>
        <w:rPr>
          <w:sz w:val="20"/>
          <w:szCs w:val="20"/>
          <w:color w:val="auto"/>
        </w:rPr>
      </w:pPr>
      <w:r>
        <w:rPr>
          <w:rFonts w:ascii="Arial" w:cs="Arial" w:eastAsia="Arial" w:hAnsi="Arial"/>
          <w:sz w:val="16"/>
          <w:szCs w:val="16"/>
          <w:color w:val="auto"/>
        </w:rPr>
        <w:t>Halliburton</w:t>
      </w:r>
    </w:p>
    <w:p>
      <w:pPr>
        <w:spacing w:after="0" w:line="113" w:lineRule="exact"/>
        <w:rPr>
          <w:sz w:val="20"/>
          <w:szCs w:val="20"/>
          <w:color w:val="auto"/>
        </w:rPr>
      </w:pPr>
    </w:p>
    <w:p>
      <w:pPr>
        <w:jc w:val="center"/>
        <w:ind w:right="2040"/>
        <w:spacing w:after="0"/>
        <w:rPr>
          <w:sz w:val="20"/>
          <w:szCs w:val="20"/>
          <w:color w:val="auto"/>
        </w:rPr>
      </w:pPr>
      <w:r>
        <w:rPr>
          <w:rFonts w:ascii="Arial" w:cs="Arial" w:eastAsia="Arial" w:hAnsi="Arial"/>
          <w:sz w:val="16"/>
          <w:szCs w:val="16"/>
          <w:color w:val="auto"/>
        </w:rPr>
        <w:t>NOV</w:t>
      </w:r>
    </w:p>
    <w:p>
      <w:pPr>
        <w:spacing w:after="0" w:line="113" w:lineRule="exact"/>
        <w:rPr>
          <w:sz w:val="20"/>
          <w:szCs w:val="20"/>
          <w:color w:val="auto"/>
        </w:rPr>
      </w:pPr>
    </w:p>
    <w:p>
      <w:pPr>
        <w:jc w:val="center"/>
        <w:ind w:right="2040"/>
        <w:spacing w:after="0"/>
        <w:rPr>
          <w:sz w:val="20"/>
          <w:szCs w:val="20"/>
          <w:color w:val="auto"/>
        </w:rPr>
      </w:pPr>
      <w:r>
        <w:rPr>
          <w:rFonts w:ascii="Arial" w:cs="Arial" w:eastAsia="Arial" w:hAnsi="Arial"/>
          <w:sz w:val="16"/>
          <w:szCs w:val="16"/>
          <w:color w:val="auto"/>
        </w:rPr>
        <w:t>Occidental Petroleum</w:t>
      </w:r>
    </w:p>
    <w:p>
      <w:pPr>
        <w:spacing w:after="0" w:line="113" w:lineRule="exact"/>
        <w:rPr>
          <w:sz w:val="20"/>
          <w:szCs w:val="20"/>
          <w:color w:val="auto"/>
        </w:rPr>
      </w:pPr>
    </w:p>
    <w:p>
      <w:pPr>
        <w:jc w:val="center"/>
        <w:ind w:right="2040"/>
        <w:spacing w:after="0"/>
        <w:rPr>
          <w:sz w:val="20"/>
          <w:szCs w:val="20"/>
          <w:color w:val="auto"/>
        </w:rPr>
      </w:pPr>
      <w:r>
        <w:rPr>
          <w:rFonts w:ascii="Arial" w:cs="Arial" w:eastAsia="Arial" w:hAnsi="Arial"/>
          <w:sz w:val="16"/>
          <w:szCs w:val="16"/>
          <w:color w:val="auto"/>
        </w:rPr>
        <w:t>Suncor Energy</w:t>
      </w:r>
    </w:p>
    <w:p>
      <w:pPr>
        <w:spacing w:after="0" w:line="113" w:lineRule="exact"/>
        <w:rPr>
          <w:sz w:val="20"/>
          <w:szCs w:val="20"/>
          <w:color w:val="auto"/>
        </w:rPr>
      </w:pPr>
    </w:p>
    <w:p>
      <w:pPr>
        <w:jc w:val="center"/>
        <w:ind w:right="2040"/>
        <w:spacing w:after="0"/>
        <w:rPr>
          <w:sz w:val="20"/>
          <w:szCs w:val="20"/>
          <w:color w:val="auto"/>
        </w:rPr>
      </w:pPr>
      <w:r>
        <w:rPr>
          <w:rFonts w:ascii="Arial" w:cs="Arial" w:eastAsia="Arial" w:hAnsi="Arial"/>
          <w:sz w:val="16"/>
          <w:szCs w:val="16"/>
          <w:color w:val="auto"/>
        </w:rPr>
        <w:t>TechnipFMC</w:t>
      </w:r>
    </w:p>
    <w:p>
      <w:pPr>
        <w:spacing w:after="0" w:line="230" w:lineRule="exact"/>
        <w:rPr>
          <w:sz w:val="20"/>
          <w:szCs w:val="20"/>
          <w:color w:val="auto"/>
        </w:rPr>
      </w:pPr>
    </w:p>
    <w:p>
      <w:pPr>
        <w:sectPr>
          <w:pgSz w:w="11900" w:h="16838" w:orient="portrait"/>
          <w:cols w:equalWidth="0" w:num="2">
            <w:col w:w="6940" w:space="720"/>
            <w:col w:w="3580"/>
          </w:cols>
          <w:pgMar w:left="320" w:top="238" w:right="339" w:bottom="1440" w:gutter="0" w:footer="0" w:header="0"/>
          <w:type w:val="continuous"/>
        </w:sect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FFFFFF"/>
        </w:rPr>
        <w:t>General Industry Peer Group</w:t>
      </w:r>
    </w:p>
    <w:p>
      <w:pPr>
        <w:sectPr>
          <w:pgSz w:w="11900" w:h="16838" w:orient="portrait"/>
          <w:cols w:equalWidth="0" w:num="1">
            <w:col w:w="11240"/>
          </w:cols>
          <w:pgMar w:left="320" w:top="238" w:right="339" w:bottom="1440" w:gutter="0" w:footer="0" w:header="0"/>
          <w:type w:val="continuous"/>
        </w:sectPr>
      </w:pPr>
    </w:p>
    <w:p>
      <w:pPr>
        <w:spacing w:after="0" w:line="221" w:lineRule="exact"/>
        <w:rPr>
          <w:sz w:val="20"/>
          <w:szCs w:val="20"/>
          <w:color w:val="auto"/>
        </w:rPr>
      </w:pPr>
    </w:p>
    <w:p>
      <w:pPr>
        <w:jc w:val="both"/>
        <w:ind w:firstLine="180"/>
        <w:spacing w:after="0" w:line="251" w:lineRule="auto"/>
        <w:rPr>
          <w:sz w:val="20"/>
          <w:szCs w:val="20"/>
          <w:color w:val="auto"/>
        </w:rPr>
      </w:pPr>
      <w:r>
        <w:rPr>
          <w:rFonts w:ascii="Arial" w:cs="Arial" w:eastAsia="Arial" w:hAnsi="Arial"/>
          <w:sz w:val="16"/>
          <w:szCs w:val="16"/>
          <w:color w:val="auto"/>
        </w:rPr>
        <w:t>This peer group comprises 27 mature, advanced extractive, technology-driven manufacturing, and industrial engineering-focused companies, including companies focused on the new energy economy, that have annual revenues, market valuations, and global scopes that are similar to SLB’s. The companies in this peer group had 2022 estimated revenues (as of July 2022) between $12.1 billion and $60.1 billion and average non-U.S. revenue of 61%. This peer group focuses on SLB’s current and future executive talent markets beyond the oil and gas sector, and ensures that competitors for technology and digital talent are represented for executive peer benchmarking purposes.</w:t>
      </w:r>
    </w:p>
    <w:p>
      <w:pPr>
        <w:spacing w:after="0" w:line="158" w:lineRule="exact"/>
        <w:rPr>
          <w:sz w:val="20"/>
          <w:szCs w:val="20"/>
          <w:color w:val="auto"/>
        </w:rPr>
      </w:pPr>
    </w:p>
    <w:p>
      <w:pPr>
        <w:jc w:val="both"/>
        <w:ind w:firstLine="180"/>
        <w:spacing w:after="0" w:line="252" w:lineRule="auto"/>
        <w:rPr>
          <w:sz w:val="20"/>
          <w:szCs w:val="20"/>
          <w:color w:val="auto"/>
        </w:rPr>
      </w:pPr>
      <w:r>
        <w:rPr>
          <w:rFonts w:ascii="Arial" w:cs="Arial" w:eastAsia="Arial" w:hAnsi="Arial"/>
          <w:sz w:val="16"/>
          <w:szCs w:val="16"/>
          <w:color w:val="auto"/>
        </w:rPr>
        <w:t>In July 2022, applying the selection criteria above, our Compensation Committee added Oracle and Siemens Energy to this peer group, in light of SLB’s digital and renewable energy strategies, respectively. As a result, SLB</w:t>
      </w:r>
    </w:p>
    <w:p>
      <w:pPr>
        <w:spacing w:after="0" w:line="184" w:lineRule="auto"/>
        <w:rPr>
          <w:sz w:val="20"/>
          <w:szCs w:val="20"/>
          <w:color w:val="auto"/>
        </w:rPr>
      </w:pPr>
      <w:r>
        <w:rPr>
          <w:rFonts w:ascii="Arial" w:cs="Arial" w:eastAsia="Arial" w:hAnsi="Arial"/>
          <w:sz w:val="16"/>
          <w:szCs w:val="16"/>
          <w:color w:val="auto"/>
        </w:rPr>
        <w:t>was positioned at the 37</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of this peer group in terms of estimated</w:t>
      </w:r>
    </w:p>
    <w:p>
      <w:pPr>
        <w:spacing w:after="0" w:line="1" w:lineRule="exact"/>
        <w:rPr>
          <w:sz w:val="20"/>
          <w:szCs w:val="20"/>
          <w:color w:val="auto"/>
        </w:rPr>
      </w:pPr>
    </w:p>
    <w:p>
      <w:pPr>
        <w:jc w:val="both"/>
        <w:spacing w:after="0" w:line="214" w:lineRule="auto"/>
        <w:rPr>
          <w:sz w:val="20"/>
          <w:szCs w:val="20"/>
          <w:color w:val="auto"/>
        </w:rPr>
      </w:pPr>
      <w:r>
        <w:rPr>
          <w:rFonts w:ascii="Arial" w:cs="Arial" w:eastAsia="Arial" w:hAnsi="Arial"/>
          <w:sz w:val="16"/>
          <w:szCs w:val="16"/>
          <w:color w:val="auto"/>
        </w:rPr>
        <w:t>2022 revenue as of July 2022, and at the 58</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of this peer group in terms of market capitalization as of April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498475</wp:posOffset>
            </wp:positionV>
            <wp:extent cx="7132320" cy="17145"/>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400" w:type="dxa"/>
            <w:vAlign w:val="bottom"/>
          </w:tcPr>
          <w:p>
            <w:pPr>
              <w:jc w:val="center"/>
              <w:ind w:right="279"/>
              <w:spacing w:after="0"/>
              <w:rPr>
                <w:sz w:val="20"/>
                <w:szCs w:val="20"/>
                <w:color w:val="auto"/>
              </w:rPr>
            </w:pPr>
            <w:r>
              <w:rPr>
                <w:rFonts w:ascii="Arial" w:cs="Arial" w:eastAsia="Arial" w:hAnsi="Arial"/>
                <w:sz w:val="16"/>
                <w:szCs w:val="16"/>
                <w:color w:val="auto"/>
              </w:rPr>
              <w:t>3M Company</w:t>
            </w:r>
          </w:p>
        </w:tc>
        <w:tc>
          <w:tcPr>
            <w:tcW w:w="2540" w:type="dxa"/>
            <w:vAlign w:val="bottom"/>
          </w:tcPr>
          <w:p>
            <w:pPr>
              <w:jc w:val="center"/>
              <w:ind w:left="259"/>
              <w:spacing w:after="0"/>
              <w:rPr>
                <w:sz w:val="20"/>
                <w:szCs w:val="20"/>
                <w:color w:val="auto"/>
              </w:rPr>
            </w:pPr>
            <w:r>
              <w:rPr>
                <w:rFonts w:ascii="Arial" w:cs="Arial" w:eastAsia="Arial" w:hAnsi="Arial"/>
                <w:sz w:val="16"/>
                <w:szCs w:val="16"/>
                <w:color w:val="auto"/>
              </w:rPr>
              <w:t>Freeport-McMoRan</w:t>
            </w:r>
          </w:p>
        </w:tc>
      </w:tr>
      <w:tr>
        <w:trPr>
          <w:trHeight w:val="284"/>
        </w:trPr>
        <w:tc>
          <w:tcPr>
            <w:tcW w:w="2400" w:type="dxa"/>
            <w:vAlign w:val="bottom"/>
          </w:tcPr>
          <w:p>
            <w:pPr>
              <w:jc w:val="center"/>
              <w:ind w:right="259"/>
              <w:spacing w:after="0"/>
              <w:rPr>
                <w:sz w:val="20"/>
                <w:szCs w:val="20"/>
                <w:color w:val="auto"/>
              </w:rPr>
            </w:pPr>
            <w:r>
              <w:rPr>
                <w:rFonts w:ascii="Arial" w:cs="Arial" w:eastAsia="Arial" w:hAnsi="Arial"/>
                <w:sz w:val="16"/>
                <w:szCs w:val="16"/>
                <w:color w:val="auto"/>
              </w:rPr>
              <w:t>ABB</w:t>
            </w:r>
          </w:p>
        </w:tc>
        <w:tc>
          <w:tcPr>
            <w:tcW w:w="2540" w:type="dxa"/>
            <w:vAlign w:val="bottom"/>
          </w:tcPr>
          <w:p>
            <w:pPr>
              <w:jc w:val="center"/>
              <w:ind w:left="239"/>
              <w:spacing w:after="0"/>
              <w:rPr>
                <w:sz w:val="20"/>
                <w:szCs w:val="20"/>
                <w:color w:val="auto"/>
              </w:rPr>
            </w:pPr>
            <w:r>
              <w:rPr>
                <w:rFonts w:ascii="Arial" w:cs="Arial" w:eastAsia="Arial" w:hAnsi="Arial"/>
                <w:sz w:val="16"/>
                <w:szCs w:val="16"/>
                <w:color w:val="auto"/>
              </w:rPr>
              <w:t>General Dynamics</w:t>
            </w:r>
          </w:p>
        </w:tc>
      </w:tr>
      <w:tr>
        <w:trPr>
          <w:trHeight w:val="283"/>
        </w:trPr>
        <w:tc>
          <w:tcPr>
            <w:tcW w:w="2400" w:type="dxa"/>
            <w:vAlign w:val="bottom"/>
          </w:tcPr>
          <w:p>
            <w:pPr>
              <w:jc w:val="center"/>
              <w:ind w:right="279"/>
              <w:spacing w:after="0"/>
              <w:rPr>
                <w:sz w:val="20"/>
                <w:szCs w:val="20"/>
                <w:color w:val="auto"/>
              </w:rPr>
            </w:pPr>
            <w:r>
              <w:rPr>
                <w:rFonts w:ascii="Arial" w:cs="Arial" w:eastAsia="Arial" w:hAnsi="Arial"/>
                <w:sz w:val="16"/>
                <w:szCs w:val="16"/>
                <w:color w:val="auto"/>
              </w:rPr>
              <w:t>Air Products and Chemicals</w:t>
            </w:r>
          </w:p>
        </w:tc>
        <w:tc>
          <w:tcPr>
            <w:tcW w:w="2540" w:type="dxa"/>
            <w:vAlign w:val="bottom"/>
          </w:tcPr>
          <w:p>
            <w:pPr>
              <w:jc w:val="center"/>
              <w:ind w:left="259"/>
              <w:spacing w:after="0"/>
              <w:rPr>
                <w:sz w:val="20"/>
                <w:szCs w:val="20"/>
                <w:color w:val="auto"/>
              </w:rPr>
            </w:pPr>
            <w:r>
              <w:rPr>
                <w:rFonts w:ascii="Arial" w:cs="Arial" w:eastAsia="Arial" w:hAnsi="Arial"/>
                <w:sz w:val="16"/>
                <w:szCs w:val="16"/>
                <w:color w:val="auto"/>
              </w:rPr>
              <w:t>Honeywell International</w:t>
            </w:r>
          </w:p>
        </w:tc>
      </w:tr>
      <w:tr>
        <w:trPr>
          <w:trHeight w:val="270"/>
        </w:trPr>
        <w:tc>
          <w:tcPr>
            <w:tcW w:w="2400" w:type="dxa"/>
            <w:vAlign w:val="bottom"/>
          </w:tcPr>
          <w:p>
            <w:pPr>
              <w:jc w:val="center"/>
              <w:ind w:right="259"/>
              <w:spacing w:after="0"/>
              <w:rPr>
                <w:sz w:val="20"/>
                <w:szCs w:val="20"/>
                <w:color w:val="auto"/>
              </w:rPr>
            </w:pPr>
            <w:r>
              <w:rPr>
                <w:rFonts w:ascii="Arial" w:cs="Arial" w:eastAsia="Arial" w:hAnsi="Arial"/>
                <w:sz w:val="16"/>
                <w:szCs w:val="16"/>
                <w:color w:val="auto"/>
              </w:rPr>
              <w:t>Anglo American</w:t>
            </w:r>
          </w:p>
        </w:tc>
        <w:tc>
          <w:tcPr>
            <w:tcW w:w="2540" w:type="dxa"/>
            <w:vAlign w:val="bottom"/>
          </w:tcPr>
          <w:p>
            <w:pPr>
              <w:jc w:val="center"/>
              <w:ind w:left="259"/>
              <w:spacing w:after="0"/>
              <w:rPr>
                <w:sz w:val="20"/>
                <w:szCs w:val="20"/>
                <w:color w:val="auto"/>
              </w:rPr>
            </w:pPr>
            <w:r>
              <w:rPr>
                <w:rFonts w:ascii="Arial" w:cs="Arial" w:eastAsia="Arial" w:hAnsi="Arial"/>
                <w:sz w:val="16"/>
                <w:szCs w:val="16"/>
                <w:color w:val="auto"/>
              </w:rPr>
              <w:t>Johnson Controls International</w:t>
            </w:r>
          </w:p>
        </w:tc>
      </w:tr>
      <w:tr>
        <w:trPr>
          <w:trHeight w:val="283"/>
        </w:trPr>
        <w:tc>
          <w:tcPr>
            <w:tcW w:w="2400" w:type="dxa"/>
            <w:vAlign w:val="bottom"/>
          </w:tcPr>
          <w:p>
            <w:pPr>
              <w:jc w:val="center"/>
              <w:ind w:right="259"/>
              <w:spacing w:after="0"/>
              <w:rPr>
                <w:sz w:val="20"/>
                <w:szCs w:val="20"/>
                <w:color w:val="auto"/>
              </w:rPr>
            </w:pPr>
            <w:r>
              <w:rPr>
                <w:rFonts w:ascii="Arial" w:cs="Arial" w:eastAsia="Arial" w:hAnsi="Arial"/>
                <w:sz w:val="16"/>
                <w:szCs w:val="16"/>
                <w:color w:val="auto"/>
              </w:rPr>
              <w:t>BAE Systems</w:t>
            </w:r>
          </w:p>
        </w:tc>
        <w:tc>
          <w:tcPr>
            <w:tcW w:w="2540" w:type="dxa"/>
            <w:vAlign w:val="bottom"/>
          </w:tcPr>
          <w:p>
            <w:pPr>
              <w:jc w:val="center"/>
              <w:ind w:left="239"/>
              <w:spacing w:after="0"/>
              <w:rPr>
                <w:sz w:val="20"/>
                <w:szCs w:val="20"/>
                <w:color w:val="auto"/>
              </w:rPr>
            </w:pPr>
            <w:r>
              <w:rPr>
                <w:rFonts w:ascii="Arial" w:cs="Arial" w:eastAsia="Arial" w:hAnsi="Arial"/>
                <w:sz w:val="16"/>
                <w:szCs w:val="16"/>
                <w:color w:val="auto"/>
              </w:rPr>
              <w:t>Koninklijke Philips</w:t>
            </w:r>
          </w:p>
        </w:tc>
      </w:tr>
      <w:tr>
        <w:trPr>
          <w:trHeight w:val="284"/>
        </w:trPr>
        <w:tc>
          <w:tcPr>
            <w:tcW w:w="2400" w:type="dxa"/>
            <w:vAlign w:val="bottom"/>
          </w:tcPr>
          <w:p>
            <w:pPr>
              <w:jc w:val="center"/>
              <w:ind w:right="259"/>
              <w:spacing w:after="0"/>
              <w:rPr>
                <w:sz w:val="20"/>
                <w:szCs w:val="20"/>
                <w:color w:val="auto"/>
              </w:rPr>
            </w:pPr>
            <w:r>
              <w:rPr>
                <w:rFonts w:ascii="Arial" w:cs="Arial" w:eastAsia="Arial" w:hAnsi="Arial"/>
                <w:sz w:val="16"/>
                <w:szCs w:val="16"/>
                <w:color w:val="auto"/>
              </w:rPr>
              <w:t>Carrier Global</w:t>
            </w:r>
          </w:p>
        </w:tc>
        <w:tc>
          <w:tcPr>
            <w:tcW w:w="2540" w:type="dxa"/>
            <w:vAlign w:val="bottom"/>
          </w:tcPr>
          <w:p>
            <w:pPr>
              <w:jc w:val="center"/>
              <w:ind w:left="259"/>
              <w:spacing w:after="0"/>
              <w:rPr>
                <w:sz w:val="20"/>
                <w:szCs w:val="20"/>
                <w:color w:val="auto"/>
              </w:rPr>
            </w:pPr>
            <w:r>
              <w:rPr>
                <w:rFonts w:ascii="Arial" w:cs="Arial" w:eastAsia="Arial" w:hAnsi="Arial"/>
                <w:sz w:val="16"/>
                <w:szCs w:val="16"/>
                <w:color w:val="auto"/>
              </w:rPr>
              <w:t>Linde</w:t>
            </w:r>
          </w:p>
        </w:tc>
      </w:tr>
      <w:tr>
        <w:trPr>
          <w:trHeight w:val="270"/>
        </w:trPr>
        <w:tc>
          <w:tcPr>
            <w:tcW w:w="2400" w:type="dxa"/>
            <w:vAlign w:val="bottom"/>
          </w:tcPr>
          <w:p>
            <w:pPr>
              <w:jc w:val="center"/>
              <w:ind w:right="259"/>
              <w:spacing w:after="0"/>
              <w:rPr>
                <w:sz w:val="20"/>
                <w:szCs w:val="20"/>
                <w:color w:val="auto"/>
              </w:rPr>
            </w:pPr>
            <w:r>
              <w:rPr>
                <w:rFonts w:ascii="Arial" w:cs="Arial" w:eastAsia="Arial" w:hAnsi="Arial"/>
                <w:sz w:val="16"/>
                <w:szCs w:val="16"/>
                <w:color w:val="auto"/>
              </w:rPr>
              <w:t>Caterpillar</w:t>
            </w:r>
          </w:p>
        </w:tc>
        <w:tc>
          <w:tcPr>
            <w:tcW w:w="2540" w:type="dxa"/>
            <w:vAlign w:val="bottom"/>
          </w:tcPr>
          <w:p>
            <w:pPr>
              <w:jc w:val="center"/>
              <w:ind w:left="239"/>
              <w:spacing w:after="0"/>
              <w:rPr>
                <w:sz w:val="20"/>
                <w:szCs w:val="20"/>
                <w:color w:val="auto"/>
              </w:rPr>
            </w:pPr>
            <w:r>
              <w:rPr>
                <w:rFonts w:ascii="Arial" w:cs="Arial" w:eastAsia="Arial" w:hAnsi="Arial"/>
                <w:sz w:val="16"/>
                <w:szCs w:val="16"/>
                <w:color w:val="auto"/>
              </w:rPr>
              <w:t>LyondellBasell Industries</w:t>
            </w:r>
          </w:p>
        </w:tc>
      </w:tr>
      <w:tr>
        <w:trPr>
          <w:trHeight w:val="283"/>
        </w:trPr>
        <w:tc>
          <w:tcPr>
            <w:tcW w:w="2400" w:type="dxa"/>
            <w:vAlign w:val="bottom"/>
          </w:tcPr>
          <w:p>
            <w:pPr>
              <w:jc w:val="center"/>
              <w:ind w:right="279"/>
              <w:spacing w:after="0"/>
              <w:rPr>
                <w:sz w:val="20"/>
                <w:szCs w:val="20"/>
                <w:color w:val="auto"/>
              </w:rPr>
            </w:pPr>
            <w:r>
              <w:rPr>
                <w:rFonts w:ascii="Arial" w:cs="Arial" w:eastAsia="Arial" w:hAnsi="Arial"/>
                <w:sz w:val="16"/>
                <w:szCs w:val="16"/>
                <w:color w:val="auto"/>
              </w:rPr>
              <w:t>Compagnie de Saint-Gobain</w:t>
            </w:r>
          </w:p>
        </w:tc>
        <w:tc>
          <w:tcPr>
            <w:tcW w:w="2540" w:type="dxa"/>
            <w:vAlign w:val="bottom"/>
          </w:tcPr>
          <w:p>
            <w:pPr>
              <w:jc w:val="center"/>
              <w:ind w:left="259"/>
              <w:spacing w:after="0"/>
              <w:rPr>
                <w:sz w:val="20"/>
                <w:szCs w:val="20"/>
                <w:color w:val="auto"/>
              </w:rPr>
            </w:pPr>
            <w:r>
              <w:rPr>
                <w:rFonts w:ascii="Arial" w:cs="Arial" w:eastAsia="Arial" w:hAnsi="Arial"/>
                <w:sz w:val="16"/>
                <w:szCs w:val="16"/>
                <w:color w:val="auto"/>
              </w:rPr>
              <w:t>Oracle</w:t>
            </w:r>
          </w:p>
        </w:tc>
      </w:tr>
      <w:tr>
        <w:trPr>
          <w:trHeight w:val="283"/>
        </w:trPr>
        <w:tc>
          <w:tcPr>
            <w:tcW w:w="2400" w:type="dxa"/>
            <w:vAlign w:val="bottom"/>
          </w:tcPr>
          <w:p>
            <w:pPr>
              <w:jc w:val="center"/>
              <w:ind w:right="259"/>
              <w:spacing w:after="0"/>
              <w:rPr>
                <w:sz w:val="20"/>
                <w:szCs w:val="20"/>
                <w:color w:val="auto"/>
              </w:rPr>
            </w:pPr>
            <w:r>
              <w:rPr>
                <w:rFonts w:ascii="Arial" w:cs="Arial" w:eastAsia="Arial" w:hAnsi="Arial"/>
                <w:sz w:val="16"/>
                <w:szCs w:val="16"/>
                <w:color w:val="auto"/>
              </w:rPr>
              <w:t>Corning</w:t>
            </w:r>
          </w:p>
        </w:tc>
        <w:tc>
          <w:tcPr>
            <w:tcW w:w="2540" w:type="dxa"/>
            <w:vAlign w:val="bottom"/>
          </w:tcPr>
          <w:p>
            <w:pPr>
              <w:jc w:val="center"/>
              <w:ind w:left="259"/>
              <w:spacing w:after="0"/>
              <w:rPr>
                <w:sz w:val="20"/>
                <w:szCs w:val="20"/>
                <w:color w:val="auto"/>
              </w:rPr>
            </w:pPr>
            <w:r>
              <w:rPr>
                <w:rFonts w:ascii="Arial" w:cs="Arial" w:eastAsia="Arial" w:hAnsi="Arial"/>
                <w:sz w:val="16"/>
                <w:szCs w:val="16"/>
                <w:color w:val="auto"/>
                <w:w w:val="99"/>
              </w:rPr>
              <w:t>Rio Tinto</w:t>
            </w:r>
          </w:p>
        </w:tc>
      </w:tr>
      <w:tr>
        <w:trPr>
          <w:trHeight w:val="270"/>
        </w:trPr>
        <w:tc>
          <w:tcPr>
            <w:tcW w:w="2400" w:type="dxa"/>
            <w:vAlign w:val="bottom"/>
          </w:tcPr>
          <w:p>
            <w:pPr>
              <w:jc w:val="center"/>
              <w:ind w:right="259"/>
              <w:spacing w:after="0"/>
              <w:rPr>
                <w:sz w:val="20"/>
                <w:szCs w:val="20"/>
                <w:color w:val="auto"/>
              </w:rPr>
            </w:pPr>
            <w:r>
              <w:rPr>
                <w:rFonts w:ascii="Arial" w:cs="Arial" w:eastAsia="Arial" w:hAnsi="Arial"/>
                <w:sz w:val="16"/>
                <w:szCs w:val="16"/>
                <w:color w:val="auto"/>
              </w:rPr>
              <w:t>Deere &amp; Company</w:t>
            </w:r>
          </w:p>
        </w:tc>
        <w:tc>
          <w:tcPr>
            <w:tcW w:w="2540" w:type="dxa"/>
            <w:vAlign w:val="bottom"/>
          </w:tcPr>
          <w:p>
            <w:pPr>
              <w:jc w:val="center"/>
              <w:ind w:left="239"/>
              <w:spacing w:after="0"/>
              <w:rPr>
                <w:sz w:val="20"/>
                <w:szCs w:val="20"/>
                <w:color w:val="auto"/>
              </w:rPr>
            </w:pPr>
            <w:r>
              <w:rPr>
                <w:rFonts w:ascii="Arial" w:cs="Arial" w:eastAsia="Arial" w:hAnsi="Arial"/>
                <w:sz w:val="16"/>
                <w:szCs w:val="16"/>
                <w:color w:val="auto"/>
              </w:rPr>
              <w:t>Rolls-Royce Holdings</w:t>
            </w:r>
          </w:p>
        </w:tc>
      </w:tr>
      <w:tr>
        <w:trPr>
          <w:trHeight w:val="284"/>
        </w:trPr>
        <w:tc>
          <w:tcPr>
            <w:tcW w:w="2400" w:type="dxa"/>
            <w:vAlign w:val="bottom"/>
          </w:tcPr>
          <w:p>
            <w:pPr>
              <w:jc w:val="center"/>
              <w:ind w:right="259"/>
              <w:spacing w:after="0"/>
              <w:rPr>
                <w:sz w:val="20"/>
                <w:szCs w:val="20"/>
                <w:color w:val="auto"/>
              </w:rPr>
            </w:pPr>
            <w:r>
              <w:rPr>
                <w:rFonts w:ascii="Arial" w:cs="Arial" w:eastAsia="Arial" w:hAnsi="Arial"/>
                <w:sz w:val="16"/>
                <w:szCs w:val="16"/>
                <w:color w:val="auto"/>
              </w:rPr>
              <w:t>Dow</w:t>
            </w:r>
          </w:p>
        </w:tc>
        <w:tc>
          <w:tcPr>
            <w:tcW w:w="2540" w:type="dxa"/>
            <w:vAlign w:val="bottom"/>
          </w:tcPr>
          <w:p>
            <w:pPr>
              <w:jc w:val="center"/>
              <w:ind w:left="239"/>
              <w:spacing w:after="0"/>
              <w:rPr>
                <w:sz w:val="20"/>
                <w:szCs w:val="20"/>
                <w:color w:val="auto"/>
              </w:rPr>
            </w:pPr>
            <w:r>
              <w:rPr>
                <w:rFonts w:ascii="Arial" w:cs="Arial" w:eastAsia="Arial" w:hAnsi="Arial"/>
                <w:sz w:val="16"/>
                <w:szCs w:val="16"/>
                <w:color w:val="auto"/>
              </w:rPr>
              <w:t>Schneider Electric</w:t>
            </w:r>
          </w:p>
        </w:tc>
      </w:tr>
      <w:tr>
        <w:trPr>
          <w:trHeight w:val="284"/>
        </w:trPr>
        <w:tc>
          <w:tcPr>
            <w:tcW w:w="2400" w:type="dxa"/>
            <w:vAlign w:val="bottom"/>
          </w:tcPr>
          <w:p>
            <w:pPr>
              <w:jc w:val="center"/>
              <w:ind w:right="259"/>
              <w:spacing w:after="0"/>
              <w:rPr>
                <w:sz w:val="20"/>
                <w:szCs w:val="20"/>
                <w:color w:val="auto"/>
              </w:rPr>
            </w:pPr>
            <w:r>
              <w:rPr>
                <w:rFonts w:ascii="Arial" w:cs="Arial" w:eastAsia="Arial" w:hAnsi="Arial"/>
                <w:sz w:val="16"/>
                <w:szCs w:val="16"/>
                <w:color w:val="auto"/>
              </w:rPr>
              <w:t>DuPont de Nemours</w:t>
            </w:r>
          </w:p>
        </w:tc>
        <w:tc>
          <w:tcPr>
            <w:tcW w:w="2540" w:type="dxa"/>
            <w:vAlign w:val="bottom"/>
          </w:tcPr>
          <w:p>
            <w:pPr>
              <w:jc w:val="center"/>
              <w:ind w:left="259"/>
              <w:spacing w:after="0"/>
              <w:rPr>
                <w:sz w:val="20"/>
                <w:szCs w:val="20"/>
                <w:color w:val="auto"/>
              </w:rPr>
            </w:pPr>
            <w:r>
              <w:rPr>
                <w:rFonts w:ascii="Arial" w:cs="Arial" w:eastAsia="Arial" w:hAnsi="Arial"/>
                <w:sz w:val="16"/>
                <w:szCs w:val="16"/>
                <w:color w:val="auto"/>
              </w:rPr>
              <w:t>Siemens Energy</w:t>
            </w:r>
          </w:p>
        </w:tc>
      </w:tr>
      <w:tr>
        <w:trPr>
          <w:trHeight w:val="270"/>
        </w:trPr>
        <w:tc>
          <w:tcPr>
            <w:tcW w:w="2400" w:type="dxa"/>
            <w:vAlign w:val="bottom"/>
          </w:tcPr>
          <w:p>
            <w:pPr>
              <w:jc w:val="center"/>
              <w:ind w:right="259"/>
              <w:spacing w:after="0"/>
              <w:rPr>
                <w:sz w:val="20"/>
                <w:szCs w:val="20"/>
                <w:color w:val="auto"/>
              </w:rPr>
            </w:pPr>
            <w:r>
              <w:rPr>
                <w:rFonts w:ascii="Arial" w:cs="Arial" w:eastAsia="Arial" w:hAnsi="Arial"/>
                <w:sz w:val="16"/>
                <w:szCs w:val="16"/>
                <w:color w:val="auto"/>
              </w:rPr>
              <w:t>Eaton</w:t>
            </w:r>
          </w:p>
        </w:tc>
        <w:tc>
          <w:tcPr>
            <w:tcW w:w="2540" w:type="dxa"/>
            <w:vAlign w:val="bottom"/>
          </w:tcPr>
          <w:p>
            <w:pPr>
              <w:jc w:val="center"/>
              <w:ind w:left="259"/>
              <w:spacing w:after="0"/>
              <w:rPr>
                <w:sz w:val="20"/>
                <w:szCs w:val="20"/>
                <w:color w:val="auto"/>
              </w:rPr>
            </w:pPr>
            <w:r>
              <w:rPr>
                <w:rFonts w:ascii="Arial" w:cs="Arial" w:eastAsia="Arial" w:hAnsi="Arial"/>
                <w:sz w:val="16"/>
                <w:szCs w:val="16"/>
                <w:color w:val="auto"/>
                <w:w w:val="98"/>
              </w:rPr>
              <w:t>Trane Technologies</w:t>
            </w:r>
          </w:p>
        </w:tc>
      </w:tr>
      <w:tr>
        <w:trPr>
          <w:trHeight w:val="284"/>
        </w:trPr>
        <w:tc>
          <w:tcPr>
            <w:tcW w:w="2400" w:type="dxa"/>
            <w:vAlign w:val="bottom"/>
          </w:tcPr>
          <w:p>
            <w:pPr>
              <w:jc w:val="center"/>
              <w:ind w:right="259"/>
              <w:spacing w:after="0"/>
              <w:rPr>
                <w:sz w:val="20"/>
                <w:szCs w:val="20"/>
                <w:color w:val="auto"/>
              </w:rPr>
            </w:pPr>
            <w:r>
              <w:rPr>
                <w:rFonts w:ascii="Arial" w:cs="Arial" w:eastAsia="Arial" w:hAnsi="Arial"/>
                <w:sz w:val="16"/>
                <w:szCs w:val="16"/>
                <w:color w:val="auto"/>
              </w:rPr>
              <w:t>Emerson Electric</w:t>
            </w:r>
          </w:p>
        </w:tc>
        <w:tc>
          <w:tcPr>
            <w:tcW w:w="25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2855595</wp:posOffset>
            </wp:positionH>
            <wp:positionV relativeFrom="paragraph">
              <wp:posOffset>258445</wp:posOffset>
            </wp:positionV>
            <wp:extent cx="471805" cy="282575"/>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20" w:space="380"/>
            <w:col w:w="5240"/>
          </w:cols>
          <w:pgMar w:left="320" w:top="238" w:right="339" w:bottom="1440" w:gutter="0" w:footer="0" w:header="0"/>
          <w:type w:val="continuous"/>
        </w:sect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2024 Proxy Statement</w:t>
            </w:r>
          </w:p>
        </w:tc>
        <w:tc>
          <w:tcPr>
            <w:tcW w:w="3600" w:type="dxa"/>
            <w:vAlign w:val="bottom"/>
            <w:tcBorders>
              <w:bottom w:val="single" w:sz="8" w:color="auto"/>
            </w:tcBorders>
          </w:tcPr>
          <w:p>
            <w:pPr>
              <w:spacing w:after="0"/>
              <w:rPr>
                <w:sz w:val="12"/>
                <w:szCs w:val="12"/>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47</w:t>
            </w:r>
          </w:p>
        </w:tc>
        <w:tc>
          <w:tcPr>
            <w:tcW w:w="4480" w:type="dxa"/>
            <w:vAlign w:val="bottom"/>
            <w:tcBorders>
              <w:bottom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36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48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color w:val="16458B"/>
        </w:rPr>
        <w:t>Executive Compensation Governance</w:t>
      </w:r>
    </w:p>
    <w:p>
      <w:pPr>
        <w:spacing w:after="0" w:line="351" w:lineRule="exact"/>
        <w:rPr>
          <w:sz w:val="20"/>
          <w:szCs w:val="20"/>
          <w:color w:val="auto"/>
        </w:rPr>
      </w:pPr>
    </w:p>
    <w:p>
      <w:pPr>
        <w:spacing w:after="0"/>
        <w:rPr>
          <w:sz w:val="20"/>
          <w:szCs w:val="20"/>
          <w:color w:val="auto"/>
        </w:rPr>
      </w:pPr>
      <w:r>
        <w:rPr>
          <w:rFonts w:ascii="Arial" w:cs="Arial" w:eastAsia="Arial" w:hAnsi="Arial"/>
          <w:sz w:val="25"/>
          <w:szCs w:val="25"/>
          <w:color w:val="0233A1"/>
        </w:rPr>
        <w:t>No NEO Employment Agreements</w:t>
      </w:r>
    </w:p>
    <w:p>
      <w:pPr>
        <w:spacing w:after="0" w:line="207" w:lineRule="exact"/>
        <w:rPr>
          <w:sz w:val="20"/>
          <w:szCs w:val="20"/>
          <w:color w:val="auto"/>
        </w:rPr>
      </w:pPr>
    </w:p>
    <w:p>
      <w:pPr>
        <w:jc w:val="both"/>
        <w:ind w:firstLine="180"/>
        <w:spacing w:after="0" w:line="266" w:lineRule="auto"/>
        <w:rPr>
          <w:sz w:val="20"/>
          <w:szCs w:val="20"/>
          <w:color w:val="auto"/>
        </w:rPr>
      </w:pPr>
      <w:r>
        <w:rPr>
          <w:rFonts w:ascii="Arial" w:cs="Arial" w:eastAsia="Arial" w:hAnsi="Arial"/>
          <w:sz w:val="16"/>
          <w:szCs w:val="16"/>
          <w:color w:val="auto"/>
        </w:rPr>
        <w:t>Our NEOs do not have employment, severance or change-in-control agreements with SLB, and they serve at the will of the Board. This enables SLB to terminate their employment using judgment as to the necessity or terms of any severance arrangement and based on specific circumstances at the time they cease being executive officers.</w:t>
      </w: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color w:val="0233A1"/>
        </w:rPr>
        <w:t>Stock Ownership and Holding Requirements</w:t>
      </w:r>
    </w:p>
    <w:p>
      <w:pPr>
        <w:spacing w:after="0" w:line="207" w:lineRule="exact"/>
        <w:rPr>
          <w:sz w:val="20"/>
          <w:szCs w:val="20"/>
          <w:color w:val="auto"/>
        </w:rPr>
      </w:pPr>
    </w:p>
    <w:p>
      <w:pPr>
        <w:jc w:val="both"/>
        <w:ind w:right="20" w:firstLine="180"/>
        <w:spacing w:after="0" w:line="286" w:lineRule="auto"/>
        <w:rPr>
          <w:sz w:val="20"/>
          <w:szCs w:val="20"/>
          <w:color w:val="auto"/>
        </w:rPr>
      </w:pPr>
      <w:r>
        <w:rPr>
          <w:rFonts w:ascii="Arial" w:cs="Arial" w:eastAsia="Arial" w:hAnsi="Arial"/>
          <w:sz w:val="16"/>
          <w:szCs w:val="16"/>
          <w:color w:val="auto"/>
        </w:rPr>
        <w:t>Our Board and Compensation Committee strongly believe in linking executive long-term rewards to shareholder value. Our executive stock ownership guidelines require our executives to hold a minimum dollar value of SLB shares based on the table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5880" w:type="dxa"/>
            <w:vAlign w:val="bottom"/>
            <w:tcBorders>
              <w:bottom w:val="single" w:sz="8" w:color="0233A1"/>
            </w:tcBorders>
            <w:shd w:val="clear" w:color="auto" w:fill="0233A1"/>
          </w:tcPr>
          <w:p>
            <w:pPr>
              <w:ind w:left="60"/>
              <w:spacing w:after="0"/>
              <w:rPr>
                <w:sz w:val="20"/>
                <w:szCs w:val="20"/>
                <w:color w:val="auto"/>
              </w:rPr>
            </w:pPr>
            <w:r>
              <w:rPr>
                <w:rFonts w:ascii="Arial" w:cs="Arial" w:eastAsia="Arial" w:hAnsi="Arial"/>
                <w:sz w:val="16"/>
                <w:szCs w:val="16"/>
                <w:b w:val="1"/>
                <w:bCs w:val="1"/>
                <w:color w:val="FFFFFF"/>
              </w:rPr>
              <w:t>Title</w:t>
            </w:r>
          </w:p>
        </w:tc>
        <w:tc>
          <w:tcPr>
            <w:tcW w:w="5360" w:type="dxa"/>
            <w:vAlign w:val="bottom"/>
            <w:tcBorders>
              <w:bottom w:val="single" w:sz="8" w:color="0233A1"/>
            </w:tcBorders>
            <w:shd w:val="clear" w:color="auto" w:fill="0233A1"/>
          </w:tcPr>
          <w:p>
            <w:pPr>
              <w:ind w:left="2940"/>
              <w:spacing w:after="0"/>
              <w:rPr>
                <w:sz w:val="20"/>
                <w:szCs w:val="20"/>
                <w:color w:val="auto"/>
              </w:rPr>
            </w:pPr>
            <w:r>
              <w:rPr>
                <w:rFonts w:ascii="Arial" w:cs="Arial" w:eastAsia="Arial" w:hAnsi="Arial"/>
                <w:sz w:val="16"/>
                <w:szCs w:val="16"/>
                <w:b w:val="1"/>
                <w:bCs w:val="1"/>
                <w:color w:val="FFFFFF"/>
              </w:rPr>
              <w:t>Stock Ownership Multiple</w:t>
            </w:r>
          </w:p>
        </w:tc>
      </w:tr>
      <w:tr>
        <w:trPr>
          <w:trHeight w:val="254"/>
        </w:trPr>
        <w:tc>
          <w:tcPr>
            <w:tcW w:w="5880" w:type="dxa"/>
            <w:vAlign w:val="bottom"/>
          </w:tcPr>
          <w:p>
            <w:pPr>
              <w:ind w:left="60"/>
              <w:spacing w:after="0"/>
              <w:rPr>
                <w:sz w:val="20"/>
                <w:szCs w:val="20"/>
                <w:color w:val="auto"/>
              </w:rPr>
            </w:pPr>
            <w:r>
              <w:rPr>
                <w:rFonts w:ascii="Arial" w:cs="Arial" w:eastAsia="Arial" w:hAnsi="Arial"/>
                <w:sz w:val="16"/>
                <w:szCs w:val="16"/>
                <w:color w:val="auto"/>
              </w:rPr>
              <w:t>Chief Executive Officer</w:t>
            </w:r>
          </w:p>
        </w:tc>
        <w:tc>
          <w:tcPr>
            <w:tcW w:w="5360" w:type="dxa"/>
            <w:vAlign w:val="bottom"/>
          </w:tcPr>
          <w:p>
            <w:pPr>
              <w:ind w:left="4260"/>
              <w:spacing w:after="0"/>
              <w:rPr>
                <w:sz w:val="20"/>
                <w:szCs w:val="20"/>
                <w:color w:val="auto"/>
              </w:rPr>
            </w:pPr>
            <w:r>
              <w:rPr>
                <w:rFonts w:ascii="Arial" w:cs="Arial" w:eastAsia="Arial" w:hAnsi="Arial"/>
                <w:sz w:val="16"/>
                <w:szCs w:val="16"/>
                <w:color w:val="auto"/>
              </w:rPr>
              <w:t>6x base salary</w:t>
            </w:r>
          </w:p>
        </w:tc>
      </w:tr>
      <w:tr>
        <w:trPr>
          <w:trHeight w:val="311"/>
        </w:trPr>
        <w:tc>
          <w:tcPr>
            <w:tcW w:w="5880" w:type="dxa"/>
            <w:vAlign w:val="bottom"/>
          </w:tcPr>
          <w:p>
            <w:pPr>
              <w:ind w:left="60"/>
              <w:spacing w:after="0"/>
              <w:rPr>
                <w:sz w:val="20"/>
                <w:szCs w:val="20"/>
                <w:color w:val="auto"/>
              </w:rPr>
            </w:pPr>
            <w:r>
              <w:rPr>
                <w:rFonts w:ascii="Arial" w:cs="Arial" w:eastAsia="Arial" w:hAnsi="Arial"/>
                <w:sz w:val="16"/>
                <w:szCs w:val="16"/>
                <w:color w:val="auto"/>
              </w:rPr>
              <w:t>Executive Vice Presidents</w:t>
            </w:r>
          </w:p>
        </w:tc>
        <w:tc>
          <w:tcPr>
            <w:tcW w:w="5360" w:type="dxa"/>
            <w:vAlign w:val="bottom"/>
          </w:tcPr>
          <w:p>
            <w:pPr>
              <w:ind w:left="4260"/>
              <w:spacing w:after="0"/>
              <w:rPr>
                <w:sz w:val="20"/>
                <w:szCs w:val="20"/>
                <w:color w:val="auto"/>
              </w:rPr>
            </w:pPr>
            <w:r>
              <w:rPr>
                <w:rFonts w:ascii="Arial" w:cs="Arial" w:eastAsia="Arial" w:hAnsi="Arial"/>
                <w:sz w:val="16"/>
                <w:szCs w:val="16"/>
                <w:color w:val="auto"/>
              </w:rPr>
              <w:t>3x base salary</w:t>
            </w:r>
          </w:p>
        </w:tc>
      </w:tr>
      <w:tr>
        <w:trPr>
          <w:trHeight w:val="310"/>
        </w:trPr>
        <w:tc>
          <w:tcPr>
            <w:tcW w:w="5880" w:type="dxa"/>
            <w:vAlign w:val="bottom"/>
          </w:tcPr>
          <w:p>
            <w:pPr>
              <w:ind w:left="60"/>
              <w:spacing w:after="0"/>
              <w:rPr>
                <w:sz w:val="20"/>
                <w:szCs w:val="20"/>
                <w:color w:val="auto"/>
              </w:rPr>
            </w:pPr>
            <w:r>
              <w:rPr>
                <w:rFonts w:ascii="Arial" w:cs="Arial" w:eastAsia="Arial" w:hAnsi="Arial"/>
                <w:sz w:val="16"/>
                <w:szCs w:val="16"/>
                <w:color w:val="auto"/>
              </w:rPr>
              <w:t>Executive officers (non-EVP)</w:t>
            </w:r>
          </w:p>
        </w:tc>
        <w:tc>
          <w:tcPr>
            <w:tcW w:w="5360" w:type="dxa"/>
            <w:vAlign w:val="bottom"/>
          </w:tcPr>
          <w:p>
            <w:pPr>
              <w:ind w:left="4260"/>
              <w:spacing w:after="0"/>
              <w:rPr>
                <w:sz w:val="20"/>
                <w:szCs w:val="20"/>
                <w:color w:val="auto"/>
              </w:rPr>
            </w:pPr>
            <w:r>
              <w:rPr>
                <w:rFonts w:ascii="Arial" w:cs="Arial" w:eastAsia="Arial" w:hAnsi="Arial"/>
                <w:sz w:val="16"/>
                <w:szCs w:val="16"/>
                <w:color w:val="auto"/>
              </w:rPr>
              <w:t>2x base salary</w:t>
            </w:r>
          </w:p>
        </w:tc>
      </w:tr>
      <w:tr>
        <w:trPr>
          <w:trHeight w:val="311"/>
        </w:trPr>
        <w:tc>
          <w:tcPr>
            <w:tcW w:w="5880" w:type="dxa"/>
            <w:vAlign w:val="bottom"/>
          </w:tcPr>
          <w:p>
            <w:pPr>
              <w:ind w:left="60"/>
              <w:spacing w:after="0"/>
              <w:rPr>
                <w:sz w:val="20"/>
                <w:szCs w:val="20"/>
                <w:color w:val="auto"/>
              </w:rPr>
            </w:pPr>
            <w:r>
              <w:rPr>
                <w:rFonts w:ascii="Arial" w:cs="Arial" w:eastAsia="Arial" w:hAnsi="Arial"/>
                <w:sz w:val="16"/>
                <w:szCs w:val="16"/>
                <w:color w:val="auto"/>
              </w:rPr>
              <w:t>Other EVP direct reports and Presidents</w:t>
            </w:r>
          </w:p>
        </w:tc>
        <w:tc>
          <w:tcPr>
            <w:tcW w:w="5360" w:type="dxa"/>
            <w:vAlign w:val="bottom"/>
          </w:tcPr>
          <w:p>
            <w:pPr>
              <w:ind w:left="4260"/>
              <w:spacing w:after="0"/>
              <w:rPr>
                <w:sz w:val="20"/>
                <w:szCs w:val="20"/>
                <w:color w:val="auto"/>
              </w:rPr>
            </w:pPr>
            <w:r>
              <w:rPr>
                <w:rFonts w:ascii="Arial" w:cs="Arial" w:eastAsia="Arial" w:hAnsi="Arial"/>
                <w:sz w:val="16"/>
                <w:szCs w:val="16"/>
                <w:color w:val="auto"/>
              </w:rPr>
              <w:t>1x base salary</w:t>
            </w:r>
          </w:p>
        </w:tc>
      </w:tr>
      <w:tr>
        <w:trPr>
          <w:trHeight w:val="50"/>
        </w:trPr>
        <w:tc>
          <w:tcPr>
            <w:tcW w:w="5880" w:type="dxa"/>
            <w:vAlign w:val="bottom"/>
            <w:tcBorders>
              <w:bottom w:val="single" w:sz="8" w:color="0233A1"/>
            </w:tcBorders>
          </w:tcPr>
          <w:p>
            <w:pPr>
              <w:spacing w:after="0"/>
              <w:rPr>
                <w:sz w:val="4"/>
                <w:szCs w:val="4"/>
                <w:color w:val="auto"/>
              </w:rPr>
            </w:pPr>
          </w:p>
        </w:tc>
        <w:tc>
          <w:tcPr>
            <w:tcW w:w="5360" w:type="dxa"/>
            <w:vAlign w:val="bottom"/>
            <w:tcBorders>
              <w:bottom w:val="single" w:sz="8" w:color="0233A1"/>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132320" cy="8255"/>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8255"/>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-608330</wp:posOffset>
            </wp:positionV>
            <wp:extent cx="7132320" cy="8890"/>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5" w:lineRule="exact"/>
        <w:rPr>
          <w:sz w:val="20"/>
          <w:szCs w:val="20"/>
          <w:color w:val="auto"/>
        </w:rPr>
      </w:pPr>
    </w:p>
    <w:p>
      <w:pPr>
        <w:jc w:val="both"/>
        <w:ind w:firstLine="180"/>
        <w:spacing w:after="0" w:line="286" w:lineRule="auto"/>
        <w:rPr>
          <w:sz w:val="20"/>
          <w:szCs w:val="20"/>
          <w:color w:val="auto"/>
        </w:rPr>
      </w:pPr>
      <w:r>
        <w:rPr>
          <w:rFonts w:ascii="Arial" w:cs="Arial" w:eastAsia="Arial" w:hAnsi="Arial"/>
          <w:sz w:val="16"/>
          <w:szCs w:val="16"/>
          <w:color w:val="auto"/>
        </w:rPr>
        <w:t>Our executive officers must retain 50% of the net shares they acquire upon the exercise of stock options and after the vesting of PSUs and RSUs, after payment of applicable taxes, until they achieve the required ownership level.</w:t>
      </w:r>
    </w:p>
    <w:p>
      <w:pPr>
        <w:spacing w:after="0" w:line="129" w:lineRule="exact"/>
        <w:rPr>
          <w:sz w:val="20"/>
          <w:szCs w:val="20"/>
          <w:color w:val="auto"/>
        </w:rPr>
      </w:pPr>
    </w:p>
    <w:p>
      <w:pPr>
        <w:jc w:val="both"/>
        <w:ind w:firstLine="180"/>
        <w:spacing w:after="0" w:line="259" w:lineRule="auto"/>
        <w:rPr>
          <w:sz w:val="20"/>
          <w:szCs w:val="20"/>
          <w:color w:val="auto"/>
        </w:rPr>
      </w:pPr>
      <w:r>
        <w:rPr>
          <w:rFonts w:ascii="Arial" w:cs="Arial" w:eastAsia="Arial" w:hAnsi="Arial"/>
          <w:sz w:val="16"/>
          <w:szCs w:val="16"/>
          <w:color w:val="auto"/>
        </w:rPr>
        <w:t>Under the guidelines, our executives have five years to satisfy the ownership requirements. After the five-year period, executives who have not met their minimum stock ownership requirement must retain 100% of the net shares they acquire upon stock option exercises and any vesting of PSUs and RSUs until they achieve their required ownership level. Stock ownership for the purpose of these guidelines does not include shares underlying vested or unvested stock options, unvested RSUs, or unvested PSUs.</w:t>
      </w:r>
    </w:p>
    <w:p>
      <w:pPr>
        <w:spacing w:after="0" w:line="15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As of January 31, 2024, all of our NEOs were in compliance with our stock ownership guidelines.</w:t>
      </w:r>
    </w:p>
    <w:p>
      <w:pPr>
        <w:spacing w:after="0" w:line="307" w:lineRule="exact"/>
        <w:rPr>
          <w:sz w:val="20"/>
          <w:szCs w:val="20"/>
          <w:color w:val="auto"/>
        </w:rPr>
      </w:pPr>
    </w:p>
    <w:p>
      <w:pPr>
        <w:spacing w:after="0"/>
        <w:rPr>
          <w:sz w:val="20"/>
          <w:szCs w:val="20"/>
          <w:color w:val="auto"/>
        </w:rPr>
      </w:pPr>
      <w:r>
        <w:rPr>
          <w:rFonts w:ascii="Arial" w:cs="Arial" w:eastAsia="Arial" w:hAnsi="Arial"/>
          <w:sz w:val="25"/>
          <w:szCs w:val="25"/>
          <w:color w:val="0233A1"/>
        </w:rPr>
        <w:t>Anti-Hedging and Anti-Pledging</w:t>
      </w:r>
    </w:p>
    <w:p>
      <w:pPr>
        <w:spacing w:after="0" w:line="207" w:lineRule="exact"/>
        <w:rPr>
          <w:sz w:val="20"/>
          <w:szCs w:val="20"/>
          <w:color w:val="auto"/>
        </w:rPr>
      </w:pPr>
    </w:p>
    <w:p>
      <w:pPr>
        <w:jc w:val="both"/>
        <w:ind w:firstLine="180"/>
        <w:spacing w:after="0" w:line="256" w:lineRule="auto"/>
        <w:rPr>
          <w:sz w:val="20"/>
          <w:szCs w:val="20"/>
          <w:color w:val="auto"/>
        </w:rPr>
      </w:pPr>
      <w:r>
        <w:rPr>
          <w:rFonts w:ascii="Arial" w:cs="Arial" w:eastAsia="Arial" w:hAnsi="Arial"/>
          <w:sz w:val="16"/>
          <w:szCs w:val="16"/>
          <w:color w:val="auto"/>
        </w:rPr>
        <w:t>Our executive officers and directors are prohibited from using any strategies or products (such as derivative securities or short-selling techniques) to hedge, directly or indirectly, against potential changes in the value of SLB shares. In addition, our executive officers and directors, as well as certain other key employees, are prohibited from holding SLB securities in a margin account or pledging SLB securities as collateral for a loan. Our insider trading policy strongly discourages, but does not prohibit, other employees from engaging in speculative transactions, including hedging or other financial mechanisms, holding SLB securities in a margin account or pledging SLB securities.</w:t>
      </w:r>
    </w:p>
    <w:p>
      <w:pPr>
        <w:spacing w:after="0" w:line="266" w:lineRule="exact"/>
        <w:rPr>
          <w:sz w:val="20"/>
          <w:szCs w:val="20"/>
          <w:color w:val="auto"/>
        </w:rPr>
      </w:pPr>
    </w:p>
    <w:p>
      <w:pPr>
        <w:spacing w:after="0"/>
        <w:rPr>
          <w:sz w:val="20"/>
          <w:szCs w:val="20"/>
          <w:color w:val="auto"/>
        </w:rPr>
      </w:pPr>
      <w:r>
        <w:rPr>
          <w:rFonts w:ascii="Arial" w:cs="Arial" w:eastAsia="Arial" w:hAnsi="Arial"/>
          <w:sz w:val="25"/>
          <w:szCs w:val="25"/>
          <w:color w:val="0233A1"/>
        </w:rPr>
        <w:t>Process for Setting Executive Compensation</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Compensation Committee Review</w:t>
      </w:r>
    </w:p>
    <w:p>
      <w:pPr>
        <w:spacing w:after="0" w:line="193" w:lineRule="exact"/>
        <w:rPr>
          <w:sz w:val="20"/>
          <w:szCs w:val="20"/>
          <w:color w:val="auto"/>
        </w:rPr>
      </w:pPr>
    </w:p>
    <w:p>
      <w:pPr>
        <w:jc w:val="both"/>
        <w:ind w:firstLine="180"/>
        <w:spacing w:after="0" w:line="266" w:lineRule="auto"/>
        <w:rPr>
          <w:sz w:val="20"/>
          <w:szCs w:val="20"/>
          <w:color w:val="auto"/>
        </w:rPr>
      </w:pPr>
      <w:r>
        <w:rPr>
          <w:rFonts w:ascii="Arial" w:cs="Arial" w:eastAsia="Arial" w:hAnsi="Arial"/>
          <w:sz w:val="16"/>
          <w:szCs w:val="16"/>
          <w:color w:val="auto"/>
        </w:rPr>
        <w:t>Our Compensation Committee reviews the elements of our NEOs’ total compensation throughout the year to evaluate whether each element remains competitive with the companies in our two main executive compensation peer groups. In making compensation decisions, the Committee relies on its own judgment after reviewing external market data, including analyses prepared by Pay Governance, and also considers the following factors:</w:t>
      </w:r>
    </w:p>
    <w:p>
      <w:pPr>
        <w:spacing w:after="0" w:line="144" w:lineRule="exact"/>
        <w:rPr>
          <w:sz w:val="20"/>
          <w:szCs w:val="20"/>
          <w:color w:val="auto"/>
        </w:rPr>
      </w:pPr>
    </w:p>
    <w:p>
      <w:pPr>
        <w:ind w:left="360" w:hanging="177"/>
        <w:spacing w:after="0" w:line="281" w:lineRule="auto"/>
        <w:tabs>
          <w:tab w:leader="none" w:pos="360" w:val="left"/>
        </w:tabs>
        <w:numPr>
          <w:ilvl w:val="0"/>
          <w:numId w:val="43"/>
        </w:numPr>
        <w:rPr>
          <w:rFonts w:ascii="Arial" w:cs="Arial" w:eastAsia="Arial" w:hAnsi="Arial"/>
          <w:sz w:val="16"/>
          <w:szCs w:val="16"/>
          <w:b w:val="1"/>
          <w:bCs w:val="1"/>
          <w:color w:val="0233A1"/>
        </w:rPr>
      </w:pPr>
      <w:r>
        <w:rPr>
          <w:rFonts w:ascii="Arial" w:cs="Arial" w:eastAsia="Arial" w:hAnsi="Arial"/>
          <w:sz w:val="16"/>
          <w:szCs w:val="16"/>
          <w:color w:val="auto"/>
        </w:rPr>
        <w:t>each executive’s scope of responsibilities, as well as leadership, management and technical expertise, growth potential, and position in our reporting structure,</w:t>
      </w:r>
    </w:p>
    <w:p>
      <w:pPr>
        <w:spacing w:after="0" w:line="1" w:lineRule="exact"/>
        <w:rPr>
          <w:rFonts w:ascii="Arial" w:cs="Arial" w:eastAsia="Arial" w:hAnsi="Arial"/>
          <w:sz w:val="16"/>
          <w:szCs w:val="16"/>
          <w:b w:val="1"/>
          <w:bCs w:val="1"/>
          <w:color w:val="0233A1"/>
        </w:rPr>
      </w:pPr>
    </w:p>
    <w:p>
      <w:pPr>
        <w:ind w:left="360" w:hanging="177"/>
        <w:spacing w:after="0"/>
        <w:tabs>
          <w:tab w:leader="none" w:pos="360" w:val="left"/>
        </w:tabs>
        <w:numPr>
          <w:ilvl w:val="0"/>
          <w:numId w:val="43"/>
        </w:numPr>
        <w:rPr>
          <w:rFonts w:ascii="Arial" w:cs="Arial" w:eastAsia="Arial" w:hAnsi="Arial"/>
          <w:sz w:val="16"/>
          <w:szCs w:val="16"/>
          <w:b w:val="1"/>
          <w:bCs w:val="1"/>
          <w:color w:val="0233A1"/>
        </w:rPr>
      </w:pPr>
      <w:r>
        <w:rPr>
          <w:rFonts w:ascii="Arial" w:cs="Arial" w:eastAsia="Arial" w:hAnsi="Arial"/>
          <w:sz w:val="16"/>
          <w:szCs w:val="16"/>
          <w:color w:val="auto"/>
        </w:rPr>
        <w:t>overall Company and individual performance,</w:t>
      </w:r>
    </w:p>
    <w:p>
      <w:pPr>
        <w:spacing w:after="0" w:line="59" w:lineRule="exact"/>
        <w:rPr>
          <w:rFonts w:ascii="Arial" w:cs="Arial" w:eastAsia="Arial" w:hAnsi="Arial"/>
          <w:sz w:val="16"/>
          <w:szCs w:val="16"/>
          <w:b w:val="1"/>
          <w:bCs w:val="1"/>
          <w:color w:val="0233A1"/>
        </w:rPr>
      </w:pPr>
    </w:p>
    <w:p>
      <w:pPr>
        <w:ind w:left="360" w:hanging="177"/>
        <w:spacing w:after="0"/>
        <w:tabs>
          <w:tab w:leader="none" w:pos="360" w:val="left"/>
        </w:tabs>
        <w:numPr>
          <w:ilvl w:val="0"/>
          <w:numId w:val="43"/>
        </w:numPr>
        <w:rPr>
          <w:rFonts w:ascii="Arial" w:cs="Arial" w:eastAsia="Arial" w:hAnsi="Arial"/>
          <w:sz w:val="16"/>
          <w:szCs w:val="16"/>
          <w:b w:val="1"/>
          <w:bCs w:val="1"/>
          <w:color w:val="0233A1"/>
        </w:rPr>
      </w:pPr>
      <w:r>
        <w:rPr>
          <w:rFonts w:ascii="Arial" w:cs="Arial" w:eastAsia="Arial" w:hAnsi="Arial"/>
          <w:sz w:val="16"/>
          <w:szCs w:val="16"/>
          <w:color w:val="auto"/>
        </w:rPr>
        <w:t>retention needs and risks,</w:t>
      </w:r>
    </w:p>
    <w:p>
      <w:pPr>
        <w:spacing w:after="0" w:line="59" w:lineRule="exact"/>
        <w:rPr>
          <w:rFonts w:ascii="Arial" w:cs="Arial" w:eastAsia="Arial" w:hAnsi="Arial"/>
          <w:sz w:val="16"/>
          <w:szCs w:val="16"/>
          <w:b w:val="1"/>
          <w:bCs w:val="1"/>
          <w:color w:val="0233A1"/>
        </w:rPr>
      </w:pPr>
    </w:p>
    <w:p>
      <w:pPr>
        <w:ind w:left="360" w:hanging="177"/>
        <w:spacing w:after="0"/>
        <w:tabs>
          <w:tab w:leader="none" w:pos="360" w:val="left"/>
        </w:tabs>
        <w:numPr>
          <w:ilvl w:val="0"/>
          <w:numId w:val="43"/>
        </w:numPr>
        <w:rPr>
          <w:rFonts w:ascii="Arial" w:cs="Arial" w:eastAsia="Arial" w:hAnsi="Arial"/>
          <w:sz w:val="16"/>
          <w:szCs w:val="16"/>
          <w:b w:val="1"/>
          <w:bCs w:val="1"/>
          <w:color w:val="0233A1"/>
        </w:rPr>
      </w:pPr>
      <w:r>
        <w:rPr>
          <w:rFonts w:ascii="Arial" w:cs="Arial" w:eastAsia="Arial" w:hAnsi="Arial"/>
          <w:sz w:val="16"/>
          <w:szCs w:val="16"/>
          <w:color w:val="auto"/>
        </w:rPr>
        <w:t>the recommendations of our CEO (except with respect to his own compensation), and</w:t>
      </w:r>
    </w:p>
    <w:p>
      <w:pPr>
        <w:spacing w:after="0" w:line="59" w:lineRule="exact"/>
        <w:rPr>
          <w:rFonts w:ascii="Arial" w:cs="Arial" w:eastAsia="Arial" w:hAnsi="Arial"/>
          <w:sz w:val="16"/>
          <w:szCs w:val="16"/>
          <w:b w:val="1"/>
          <w:bCs w:val="1"/>
          <w:color w:val="0233A1"/>
        </w:rPr>
      </w:pPr>
    </w:p>
    <w:p>
      <w:pPr>
        <w:ind w:left="360" w:hanging="177"/>
        <w:spacing w:after="0"/>
        <w:tabs>
          <w:tab w:leader="none" w:pos="360" w:val="left"/>
        </w:tabs>
        <w:numPr>
          <w:ilvl w:val="0"/>
          <w:numId w:val="43"/>
        </w:numPr>
        <w:rPr>
          <w:rFonts w:ascii="Arial" w:cs="Arial" w:eastAsia="Arial" w:hAnsi="Arial"/>
          <w:sz w:val="16"/>
          <w:szCs w:val="16"/>
          <w:b w:val="1"/>
          <w:bCs w:val="1"/>
          <w:color w:val="0233A1"/>
        </w:rPr>
      </w:pPr>
      <w:r>
        <w:rPr>
          <w:rFonts w:ascii="Arial" w:cs="Arial" w:eastAsia="Arial" w:hAnsi="Arial"/>
          <w:sz w:val="16"/>
          <w:szCs w:val="16"/>
          <w:color w:val="auto"/>
        </w:rPr>
        <w:t>internal pay equity.</w:t>
      </w:r>
    </w:p>
    <w:p>
      <w:pPr>
        <w:spacing w:after="0" w:line="194" w:lineRule="exact"/>
        <w:rPr>
          <w:sz w:val="20"/>
          <w:szCs w:val="20"/>
          <w:color w:val="auto"/>
        </w:rPr>
      </w:pPr>
    </w:p>
    <w:p>
      <w:pPr>
        <w:jc w:val="both"/>
        <w:ind w:firstLine="180"/>
        <w:spacing w:after="0" w:line="252" w:lineRule="auto"/>
        <w:rPr>
          <w:sz w:val="20"/>
          <w:szCs w:val="20"/>
          <w:color w:val="auto"/>
        </w:rPr>
      </w:pPr>
      <w:r>
        <w:rPr>
          <w:rFonts w:ascii="Arial" w:cs="Arial" w:eastAsia="Arial" w:hAnsi="Arial"/>
          <w:sz w:val="16"/>
          <w:szCs w:val="16"/>
          <w:color w:val="auto"/>
        </w:rPr>
        <w:t>Each January, the Committee evaluates all elements of executive officer compensation, after reviewing the prior year’s results and the achievement of Company financial objectives and each officer’s strategic personal objectives. The purpose of this annual evaluation is to determine whether any changes in an officer’s compensation may be appropriate. The CEO does not participate in the Committee’s deliberations regarding his own compensation. At the Committee’s request, the CEO reviews with the Committee the performance of the other executive officers, but no other NEO has any input in executive compensation decisions. Our Compensation Committee gives substantial weight to the CEO’s evaluations and recommendations because he is particularly able to assess the other executive officers’ performance and contributions to SLB. Our Chief People Officer assists the CEO in developing the other executives’ performance reviews and reviewing external market data to determine the CEO’s executive compensation recommendations. Our Chief People Officer also meets with the Compensation Committee on a quarterly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471170" cy="283210"/>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471170" cy="28321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both"/>
        <w:ind w:left="5540"/>
        <w:spacing w:after="0"/>
        <w:tabs>
          <w:tab w:leader="none" w:pos="9540" w:val="left"/>
        </w:tabs>
        <w:rPr>
          <w:sz w:val="20"/>
          <w:szCs w:val="20"/>
          <w:color w:val="auto"/>
        </w:rPr>
      </w:pPr>
      <w:r>
        <w:rPr>
          <w:rFonts w:ascii="Arial" w:cs="Arial" w:eastAsia="Arial" w:hAnsi="Arial"/>
          <w:sz w:val="16"/>
          <w:szCs w:val="16"/>
          <w:b w:val="1"/>
          <w:bCs w:val="1"/>
          <w:color w:val="auto"/>
        </w:rPr>
        <w:t>48</w:t>
      </w:r>
      <w:r>
        <w:rPr>
          <w:sz w:val="20"/>
          <w:szCs w:val="20"/>
          <w:color w:val="auto"/>
        </w:rPr>
        <w:tab/>
      </w:r>
      <w:r>
        <w:rPr>
          <w:rFonts w:ascii="Arial" w:cs="Arial" w:eastAsia="Arial" w:hAnsi="Arial"/>
          <w:sz w:val="16"/>
          <w:szCs w:val="16"/>
          <w:b w:val="1"/>
          <w:bCs w:val="1"/>
          <w:color w:val="636466"/>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-29845</wp:posOffset>
            </wp:positionV>
            <wp:extent cx="5417820" cy="17145"/>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34290"/>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53" w:name="page54"/>
    <w:bookmarkEnd w:id="53"/>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table below summarizes the approximate timing of significant annual executive compensation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954530"/>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7132320" cy="195453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248" w:lineRule="exact"/>
        <w:rPr>
          <w:sz w:val="20"/>
          <w:szCs w:val="20"/>
          <w:color w:val="auto"/>
        </w:rPr>
      </w:pPr>
    </w:p>
    <w:p>
      <w:pPr>
        <w:ind w:left="2520"/>
        <w:spacing w:after="0"/>
        <w:rPr>
          <w:sz w:val="20"/>
          <w:szCs w:val="20"/>
          <w:color w:val="auto"/>
        </w:rPr>
      </w:pPr>
      <w:r>
        <w:rPr>
          <w:rFonts w:ascii="Arial" w:cs="Arial" w:eastAsia="Arial" w:hAnsi="Arial"/>
          <w:sz w:val="16"/>
          <w:szCs w:val="16"/>
          <w:b w:val="1"/>
          <w:bCs w:val="1"/>
          <w:color w:val="FFFFFF"/>
        </w:rPr>
        <w:t>Event</w:t>
      </w:r>
    </w:p>
    <w:p>
      <w:pPr>
        <w:spacing w:after="0" w:line="59" w:lineRule="exact"/>
        <w:rPr>
          <w:sz w:val="20"/>
          <w:szCs w:val="20"/>
          <w:color w:val="auto"/>
        </w:rPr>
      </w:pPr>
    </w:p>
    <w:p>
      <w:pPr>
        <w:ind w:left="60" w:right="500"/>
        <w:spacing w:after="0" w:line="286" w:lineRule="auto"/>
        <w:rPr>
          <w:sz w:val="20"/>
          <w:szCs w:val="20"/>
          <w:color w:val="auto"/>
        </w:rPr>
      </w:pPr>
      <w:r>
        <w:rPr>
          <w:rFonts w:ascii="Arial" w:cs="Arial" w:eastAsia="Arial" w:hAnsi="Arial"/>
          <w:sz w:val="16"/>
          <w:szCs w:val="16"/>
          <w:color w:val="auto"/>
        </w:rPr>
        <w:t>Establish Company financial objectives and CEO strategic personal objectives</w:t>
      </w:r>
    </w:p>
    <w:p>
      <w:pPr>
        <w:spacing w:after="0" w:line="7" w:lineRule="exact"/>
        <w:rPr>
          <w:sz w:val="20"/>
          <w:szCs w:val="20"/>
          <w:color w:val="auto"/>
        </w:rPr>
      </w:pPr>
    </w:p>
    <w:p>
      <w:pPr>
        <w:ind w:left="60" w:right="260"/>
        <w:spacing w:after="0" w:line="286" w:lineRule="auto"/>
        <w:rPr>
          <w:sz w:val="20"/>
          <w:szCs w:val="20"/>
          <w:color w:val="auto"/>
        </w:rPr>
      </w:pPr>
      <w:r>
        <w:rPr>
          <w:rFonts w:ascii="Arial" w:cs="Arial" w:eastAsia="Arial" w:hAnsi="Arial"/>
          <w:sz w:val="16"/>
          <w:szCs w:val="16"/>
          <w:color w:val="auto"/>
        </w:rPr>
        <w:t>Review and approve the peer group companies used for compensation benchmarking</w:t>
      </w:r>
    </w:p>
    <w:p>
      <w:pPr>
        <w:spacing w:after="0" w:line="7" w:lineRule="exact"/>
        <w:rPr>
          <w:sz w:val="20"/>
          <w:szCs w:val="20"/>
          <w:color w:val="auto"/>
        </w:rPr>
      </w:pPr>
    </w:p>
    <w:p>
      <w:pPr>
        <w:ind w:left="60" w:right="120"/>
        <w:spacing w:after="0" w:line="259" w:lineRule="auto"/>
        <w:rPr>
          <w:sz w:val="20"/>
          <w:szCs w:val="20"/>
          <w:color w:val="auto"/>
        </w:rPr>
      </w:pPr>
      <w:r>
        <w:rPr>
          <w:rFonts w:ascii="Arial" w:cs="Arial" w:eastAsia="Arial" w:hAnsi="Arial"/>
          <w:sz w:val="16"/>
          <w:szCs w:val="16"/>
          <w:color w:val="auto"/>
        </w:rPr>
        <w:t>Pay Governance provides market data and analysis that our Compensation Committee uses to evaluate year-to-date compensation decisions in light of year-to-date comparative data, and to prepare for the annual executive officer compensation review in January</w:t>
      </w:r>
    </w:p>
    <w:p>
      <w:pPr>
        <w:spacing w:after="0" w:line="29" w:lineRule="exact"/>
        <w:rPr>
          <w:sz w:val="20"/>
          <w:szCs w:val="20"/>
          <w:color w:val="auto"/>
        </w:rPr>
      </w:pPr>
    </w:p>
    <w:p>
      <w:pPr>
        <w:jc w:val="both"/>
        <w:ind w:left="60"/>
        <w:spacing w:after="0" w:line="266" w:lineRule="auto"/>
        <w:rPr>
          <w:sz w:val="20"/>
          <w:szCs w:val="20"/>
          <w:color w:val="auto"/>
        </w:rPr>
      </w:pPr>
      <w:r>
        <w:rPr>
          <w:rFonts w:ascii="Arial" w:cs="Arial" w:eastAsia="Arial" w:hAnsi="Arial"/>
          <w:sz w:val="16"/>
          <w:szCs w:val="16"/>
          <w:color w:val="auto"/>
        </w:rPr>
        <w:t>Evaluate Company and executive performance (achievement of objectives established in previous year) and recommend STI payout based on those results</w:t>
      </w:r>
    </w:p>
    <w:p>
      <w:pPr>
        <w:spacing w:after="0" w:line="23" w:lineRule="exact"/>
        <w:rPr>
          <w:sz w:val="20"/>
          <w:szCs w:val="20"/>
          <w:color w:val="auto"/>
        </w:rPr>
      </w:pPr>
    </w:p>
    <w:p>
      <w:pPr>
        <w:ind w:left="60" w:right="260"/>
        <w:spacing w:after="0" w:line="286" w:lineRule="auto"/>
        <w:rPr>
          <w:sz w:val="20"/>
          <w:szCs w:val="20"/>
          <w:color w:val="auto"/>
        </w:rPr>
      </w:pPr>
      <w:r>
        <w:rPr>
          <w:rFonts w:ascii="Arial" w:cs="Arial" w:eastAsia="Arial" w:hAnsi="Arial"/>
          <w:sz w:val="16"/>
          <w:szCs w:val="16"/>
          <w:color w:val="auto"/>
        </w:rPr>
        <w:t>Review and recommend executive base salaries and determine equity-based grants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2360"/>
        <w:spacing w:after="0"/>
        <w:rPr>
          <w:sz w:val="20"/>
          <w:szCs w:val="20"/>
          <w:color w:val="auto"/>
        </w:rPr>
      </w:pPr>
      <w:r>
        <w:rPr>
          <w:rFonts w:ascii="Arial" w:cs="Arial" w:eastAsia="Arial" w:hAnsi="Arial"/>
          <w:sz w:val="16"/>
          <w:szCs w:val="16"/>
          <w:b w:val="1"/>
          <w:bCs w:val="1"/>
          <w:color w:val="FFFFFF"/>
        </w:rPr>
        <w:t>Timing</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Early each year with respect to the current year</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July of each year for compensation in the following year</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October of each year for compensation in the following year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Results approved in January of each year for STI award with respect to the prior year. The STI award earned for the prior year is paid in February of the current year</w:t>
      </w:r>
    </w:p>
    <w:p>
      <w:pPr>
        <w:spacing w:after="0" w:line="23"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January of each year for base salaries for that year and for equity-based grants</w:t>
      </w:r>
    </w:p>
    <w:p>
      <w:pPr>
        <w:spacing w:after="0" w:line="200" w:lineRule="exact"/>
        <w:rPr>
          <w:sz w:val="20"/>
          <w:szCs w:val="20"/>
          <w:color w:val="auto"/>
        </w:rPr>
      </w:pPr>
    </w:p>
    <w:p>
      <w:pPr>
        <w:sectPr>
          <w:pgSz w:w="11900" w:h="16838" w:orient="portrait"/>
          <w:cols w:equalWidth="0" w:num="2">
            <w:col w:w="5400" w:space="500"/>
            <w:col w:w="5340"/>
          </w:cols>
          <w:pgMar w:left="320" w:top="238" w:right="339" w:bottom="1440" w:gutter="0" w:footer="0" w:header="0"/>
          <w:type w:val="continuous"/>
        </w:sectPr>
      </w:pP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Equity Grant Practices</w:t>
      </w:r>
    </w:p>
    <w:p>
      <w:pPr>
        <w:spacing w:after="0" w:line="193" w:lineRule="exact"/>
        <w:rPr>
          <w:sz w:val="20"/>
          <w:szCs w:val="20"/>
          <w:color w:val="auto"/>
        </w:rPr>
      </w:pPr>
    </w:p>
    <w:p>
      <w:pPr>
        <w:jc w:val="both"/>
        <w:ind w:firstLine="180"/>
        <w:spacing w:after="0" w:line="253" w:lineRule="auto"/>
        <w:rPr>
          <w:sz w:val="20"/>
          <w:szCs w:val="20"/>
          <w:color w:val="auto"/>
        </w:rPr>
      </w:pPr>
      <w:r>
        <w:rPr>
          <w:rFonts w:ascii="Arial" w:cs="Arial" w:eastAsia="Arial" w:hAnsi="Arial"/>
          <w:sz w:val="16"/>
          <w:szCs w:val="16"/>
          <w:color w:val="auto"/>
        </w:rPr>
        <w:t>Our Compensation Committee is responsible for granting long-term equity-based compensation under our omnibus stock incentive plans. The Committee approves a preliminary budget for equity-based grants for the following year at each October meeting. Awards for the CEO are granted by the Committee following approval by the independent members of the Board. Awards for executive officers other than the CEO are granted by the Committee and discussed with the Board. Management determines the allocation of equity-based grants for other groups within the Company and individual recommendations are made by the heads of the groups and approved by the CEO. In addition to considering the value of each equity-based award, management and the Committee also consider, as an additional factor in approving long-term equity awards, the overall potential shareholder dilution impact and burn rate, which is the rate at which awards are granted as a percentage of SLB shares outstanding.</w:t>
      </w:r>
    </w:p>
    <w:p>
      <w:pPr>
        <w:spacing w:after="0" w:line="154" w:lineRule="exact"/>
        <w:rPr>
          <w:sz w:val="20"/>
          <w:szCs w:val="20"/>
          <w:color w:val="auto"/>
        </w:rPr>
      </w:pPr>
    </w:p>
    <w:p>
      <w:pPr>
        <w:jc w:val="both"/>
        <w:ind w:firstLine="180"/>
        <w:spacing w:after="0" w:line="253" w:lineRule="auto"/>
        <w:rPr>
          <w:sz w:val="20"/>
          <w:szCs w:val="20"/>
          <w:color w:val="auto"/>
        </w:rPr>
      </w:pPr>
      <w:r>
        <w:rPr>
          <w:rFonts w:ascii="Arial" w:cs="Arial" w:eastAsia="Arial" w:hAnsi="Arial"/>
          <w:sz w:val="16"/>
          <w:szCs w:val="16"/>
          <w:color w:val="auto"/>
        </w:rPr>
        <w:t>The regular Board and Compensation Committee meeting schedule is set at least a year in advance, with meetings held quarterly in mid-January, mid-April, mid-July, and mid-October. Annual grants of equity-based awards to our NEOs and other executives, as well as to other eligible employees, are made at the Committee’s January meeting. Additionally, specific grants may be made at other Committee meetings to recognize an employee’s promotion, change in responsibility or specific achievement, or to achieve other key compensation objectives, such as retention. Generally, the Committee sets the grant date for equity awards as the Committee meeting date, which is usually two days in advance of the Company’s announcement of earnings. The Company does not time the release of material non-public information for the purpose of affecting the values of equity grants. At the time equity grant decisions are made, our Compensation Committee is aware of the earnings results, but it does not adjust the size or the mix of grants to reflect possible market reaction.</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 addition, PSUs and RSUs do not accrue or pay dividends or dividend equivalents prior to vesting.</w:t>
      </w: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Independent Compensation Consultant</w:t>
      </w:r>
    </w:p>
    <w:p>
      <w:pPr>
        <w:spacing w:after="0" w:line="193" w:lineRule="exact"/>
        <w:rPr>
          <w:sz w:val="20"/>
          <w:szCs w:val="20"/>
          <w:color w:val="auto"/>
        </w:rPr>
      </w:pPr>
    </w:p>
    <w:p>
      <w:pPr>
        <w:jc w:val="both"/>
        <w:ind w:firstLine="180"/>
        <w:spacing w:after="0" w:line="256" w:lineRule="auto"/>
        <w:rPr>
          <w:sz w:val="20"/>
          <w:szCs w:val="20"/>
          <w:color w:val="auto"/>
        </w:rPr>
      </w:pPr>
      <w:r>
        <w:rPr>
          <w:rFonts w:ascii="Arial" w:cs="Arial" w:eastAsia="Arial" w:hAnsi="Arial"/>
          <w:sz w:val="16"/>
          <w:szCs w:val="16"/>
          <w:color w:val="auto"/>
        </w:rPr>
        <w:t>Our Compensation Committee has retained Pay Governance as its independent consultant with respect to executive compensation matters, as well as non-employee director compensation matters. Pay Governance works with SLB’s Total Rewards team to compile annual compensation data for each executive officer, and to compare the compensation opportunities of our executive officers with those at comparable roles at companies in our main executive compensation peer groups. Pay Governance also annually prepares an analysis of competitive non-employee director compensation levels and market trends using the same two main peer groups as are used for the annual executive officer compensation review.</w:t>
      </w:r>
    </w:p>
    <w:p>
      <w:pPr>
        <w:spacing w:after="0" w:line="153" w:lineRule="exact"/>
        <w:rPr>
          <w:sz w:val="20"/>
          <w:szCs w:val="20"/>
          <w:color w:val="auto"/>
        </w:rPr>
      </w:pPr>
    </w:p>
    <w:p>
      <w:pPr>
        <w:jc w:val="both"/>
        <w:ind w:right="20" w:firstLine="180"/>
        <w:spacing w:after="0" w:line="266" w:lineRule="auto"/>
        <w:rPr>
          <w:sz w:val="20"/>
          <w:szCs w:val="20"/>
          <w:color w:val="auto"/>
        </w:rPr>
      </w:pPr>
      <w:r>
        <w:rPr>
          <w:rFonts w:ascii="Arial" w:cs="Arial" w:eastAsia="Arial" w:hAnsi="Arial"/>
          <w:sz w:val="16"/>
          <w:szCs w:val="16"/>
          <w:color w:val="auto"/>
        </w:rPr>
        <w:t>Pay Governance reports only to, and acts solely at the direction of, our Compensation Committee. The Committee has assessed the independence of Pay Governance pursuant to SEC rules and has concluded that its work did not raise any conflict of interest that would prevent Pay Governance from independently representing our Compensation Committee.</w:t>
      </w: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color w:val="0233A1"/>
        </w:rPr>
        <w:t>Clawback Policy</w:t>
      </w:r>
    </w:p>
    <w:p>
      <w:pPr>
        <w:spacing w:after="0" w:line="207" w:lineRule="exact"/>
        <w:rPr>
          <w:sz w:val="20"/>
          <w:szCs w:val="20"/>
          <w:color w:val="auto"/>
        </w:rPr>
      </w:pPr>
    </w:p>
    <w:p>
      <w:pPr>
        <w:jc w:val="both"/>
        <w:ind w:firstLine="180"/>
        <w:spacing w:after="0" w:line="275" w:lineRule="auto"/>
        <w:rPr>
          <w:sz w:val="20"/>
          <w:szCs w:val="20"/>
          <w:color w:val="auto"/>
        </w:rPr>
      </w:pPr>
      <w:r>
        <w:rPr>
          <w:rFonts w:ascii="Arial" w:cs="Arial" w:eastAsia="Arial" w:hAnsi="Arial"/>
          <w:sz w:val="16"/>
          <w:szCs w:val="16"/>
          <w:color w:val="auto"/>
        </w:rPr>
        <w:t>In 2023, our Board adopted a new clawback policy requiring the recovery of performance-based equity and cash incentive compensation from our executive officers under certain circumstances. A copy of this policy is filed as Exhibit 97 to our 2023 Annual Report and is incorporated into this CD&amp;A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298450</wp:posOffset>
            </wp:positionV>
            <wp:extent cx="471805" cy="282575"/>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2024 Proxy Statement</w:t>
            </w:r>
          </w:p>
        </w:tc>
        <w:tc>
          <w:tcPr>
            <w:tcW w:w="3600" w:type="dxa"/>
            <w:vAlign w:val="bottom"/>
            <w:tcBorders>
              <w:bottom w:val="single" w:sz="8" w:color="auto"/>
            </w:tcBorders>
          </w:tcPr>
          <w:p>
            <w:pPr>
              <w:spacing w:after="0"/>
              <w:rPr>
                <w:sz w:val="12"/>
                <w:szCs w:val="12"/>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49</w:t>
            </w:r>
          </w:p>
        </w:tc>
        <w:tc>
          <w:tcPr>
            <w:tcW w:w="4480" w:type="dxa"/>
            <w:vAlign w:val="bottom"/>
            <w:tcBorders>
              <w:bottom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36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48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9" w:lineRule="exact"/>
        <w:rPr>
          <w:sz w:val="20"/>
          <w:szCs w:val="20"/>
          <w:color w:val="auto"/>
        </w:rPr>
      </w:pPr>
    </w:p>
    <w:p>
      <w:pPr>
        <w:spacing w:after="0"/>
        <w:rPr>
          <w:sz w:val="20"/>
          <w:szCs w:val="20"/>
          <w:color w:val="auto"/>
        </w:rPr>
      </w:pPr>
      <w:r>
        <w:rPr>
          <w:rFonts w:ascii="Arial" w:cs="Arial" w:eastAsia="Arial" w:hAnsi="Arial"/>
          <w:sz w:val="50"/>
          <w:szCs w:val="50"/>
          <w:color w:val="0233A1"/>
        </w:rPr>
        <w:t>Executive Compensation Tables</w:t>
      </w:r>
    </w:p>
    <w:p>
      <w:pPr>
        <w:spacing w:after="0" w:line="399" w:lineRule="exact"/>
        <w:rPr>
          <w:sz w:val="20"/>
          <w:szCs w:val="20"/>
          <w:color w:val="auto"/>
        </w:rPr>
      </w:pPr>
    </w:p>
    <w:p>
      <w:pPr>
        <w:spacing w:after="0"/>
        <w:rPr>
          <w:sz w:val="20"/>
          <w:szCs w:val="20"/>
          <w:color w:val="auto"/>
        </w:rPr>
      </w:pPr>
      <w:r>
        <w:rPr>
          <w:rFonts w:ascii="Arial" w:cs="Arial" w:eastAsia="Arial" w:hAnsi="Arial"/>
          <w:sz w:val="29"/>
          <w:szCs w:val="29"/>
          <w:color w:val="16458B"/>
        </w:rPr>
        <w:t>Summary Compensation Table</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information regarding the total compensation paid to our NEOs for fiscal years 2023, 2022 and 2021.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b w:val="1"/>
                <w:bCs w:val="1"/>
                <w:color w:val="0233A1"/>
              </w:rPr>
              <w:t>Change in</w:t>
            </w:r>
          </w:p>
        </w:tc>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b w:val="1"/>
                <w:bCs w:val="1"/>
                <w:color w:val="0233A1"/>
              </w:rPr>
              <w:t>Pension Value</w:t>
            </w:r>
          </w:p>
        </w:tc>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b w:val="1"/>
                <w:bCs w:val="1"/>
                <w:color w:val="0233A1"/>
              </w:rPr>
              <w:t>&amp; Nonqualified</w:t>
            </w:r>
          </w:p>
        </w:tc>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40" w:type="dxa"/>
            <w:vAlign w:val="bottom"/>
          </w:tcPr>
          <w:p>
            <w:pPr>
              <w:jc w:val="right"/>
              <w:ind w:right="99"/>
              <w:spacing w:after="0"/>
              <w:rPr>
                <w:sz w:val="20"/>
                <w:szCs w:val="20"/>
                <w:color w:val="auto"/>
              </w:rPr>
            </w:pPr>
            <w:r>
              <w:rPr>
                <w:rFonts w:ascii="Arial" w:cs="Arial" w:eastAsia="Arial" w:hAnsi="Arial"/>
                <w:sz w:val="16"/>
                <w:szCs w:val="16"/>
                <w:b w:val="1"/>
                <w:bCs w:val="1"/>
                <w:color w:val="0233A1"/>
              </w:rPr>
              <w:t>Non-Equity</w:t>
            </w:r>
          </w:p>
        </w:tc>
        <w:tc>
          <w:tcPr>
            <w:tcW w:w="1380" w:type="dxa"/>
            <w:vAlign w:val="bottom"/>
          </w:tcPr>
          <w:p>
            <w:pPr>
              <w:jc w:val="right"/>
              <w:ind w:right="119"/>
              <w:spacing w:after="0"/>
              <w:rPr>
                <w:sz w:val="20"/>
                <w:szCs w:val="20"/>
                <w:color w:val="auto"/>
              </w:rPr>
            </w:pPr>
            <w:r>
              <w:rPr>
                <w:rFonts w:ascii="Arial" w:cs="Arial" w:eastAsia="Arial" w:hAnsi="Arial"/>
                <w:sz w:val="16"/>
                <w:szCs w:val="16"/>
                <w:b w:val="1"/>
                <w:bCs w:val="1"/>
                <w:color w:val="0233A1"/>
              </w:rPr>
              <w:t>Deferred</w:t>
            </w:r>
          </w:p>
        </w:tc>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b w:val="1"/>
                <w:bCs w:val="1"/>
                <w:color w:val="0233A1"/>
              </w:rPr>
              <w:t>Stock</w:t>
            </w:r>
          </w:p>
        </w:tc>
        <w:tc>
          <w:tcPr>
            <w:tcW w:w="1340" w:type="dxa"/>
            <w:vAlign w:val="bottom"/>
          </w:tcPr>
          <w:p>
            <w:pPr>
              <w:jc w:val="right"/>
              <w:ind w:right="99"/>
              <w:spacing w:after="0"/>
              <w:rPr>
                <w:sz w:val="20"/>
                <w:szCs w:val="20"/>
                <w:color w:val="auto"/>
              </w:rPr>
            </w:pPr>
            <w:r>
              <w:rPr>
                <w:rFonts w:ascii="Arial" w:cs="Arial" w:eastAsia="Arial" w:hAnsi="Arial"/>
                <w:sz w:val="16"/>
                <w:szCs w:val="16"/>
                <w:b w:val="1"/>
                <w:bCs w:val="1"/>
                <w:color w:val="0233A1"/>
              </w:rPr>
              <w:t>Incentive Plan</w:t>
            </w:r>
          </w:p>
        </w:tc>
        <w:tc>
          <w:tcPr>
            <w:tcW w:w="1380" w:type="dxa"/>
            <w:vAlign w:val="bottom"/>
          </w:tcPr>
          <w:p>
            <w:pPr>
              <w:jc w:val="right"/>
              <w:ind w:right="119"/>
              <w:spacing w:after="0"/>
              <w:rPr>
                <w:sz w:val="20"/>
                <w:szCs w:val="20"/>
                <w:color w:val="auto"/>
              </w:rPr>
            </w:pPr>
            <w:r>
              <w:rPr>
                <w:rFonts w:ascii="Arial" w:cs="Arial" w:eastAsia="Arial" w:hAnsi="Arial"/>
                <w:sz w:val="16"/>
                <w:szCs w:val="16"/>
                <w:b w:val="1"/>
                <w:bCs w:val="1"/>
                <w:color w:val="0233A1"/>
              </w:rPr>
              <w:t>Compensation</w:t>
            </w:r>
          </w:p>
        </w:tc>
        <w:tc>
          <w:tcPr>
            <w:tcW w:w="1360" w:type="dxa"/>
            <w:vAlign w:val="bottom"/>
          </w:tcPr>
          <w:p>
            <w:pPr>
              <w:jc w:val="right"/>
              <w:ind w:right="139"/>
              <w:spacing w:after="0"/>
              <w:rPr>
                <w:sz w:val="20"/>
                <w:szCs w:val="20"/>
                <w:color w:val="auto"/>
              </w:rPr>
            </w:pPr>
            <w:r>
              <w:rPr>
                <w:rFonts w:ascii="Arial" w:cs="Arial" w:eastAsia="Arial" w:hAnsi="Arial"/>
                <w:sz w:val="16"/>
                <w:szCs w:val="16"/>
                <w:b w:val="1"/>
                <w:bCs w:val="1"/>
                <w:color w:val="0233A1"/>
              </w:rPr>
              <w:t>All Other</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3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jc w:val="right"/>
              <w:ind w:right="19"/>
              <w:spacing w:after="0" w:line="163" w:lineRule="exact"/>
              <w:rPr>
                <w:sz w:val="20"/>
                <w:szCs w:val="20"/>
                <w:color w:val="auto"/>
              </w:rPr>
            </w:pPr>
            <w:r>
              <w:rPr>
                <w:rFonts w:ascii="Arial" w:cs="Arial" w:eastAsia="Arial" w:hAnsi="Arial"/>
                <w:sz w:val="16"/>
                <w:szCs w:val="16"/>
                <w:b w:val="1"/>
                <w:bCs w:val="1"/>
                <w:color w:val="0233A1"/>
              </w:rPr>
              <w:t>Salary</w:t>
            </w:r>
          </w:p>
        </w:tc>
        <w:tc>
          <w:tcPr>
            <w:tcW w:w="1100" w:type="dxa"/>
            <w:vAlign w:val="bottom"/>
          </w:tcPr>
          <w:p>
            <w:pPr>
              <w:jc w:val="right"/>
              <w:ind w:right="119"/>
              <w:spacing w:after="0" w:line="163" w:lineRule="exact"/>
              <w:rPr>
                <w:sz w:val="20"/>
                <w:szCs w:val="20"/>
                <w:color w:val="auto"/>
              </w:rPr>
            </w:pPr>
            <w:r>
              <w:rPr>
                <w:rFonts w:ascii="Arial" w:cs="Arial" w:eastAsia="Arial" w:hAnsi="Arial"/>
                <w:sz w:val="16"/>
                <w:szCs w:val="16"/>
                <w:b w:val="1"/>
                <w:bCs w:val="1"/>
                <w:color w:val="0233A1"/>
              </w:rPr>
              <w:t>Awards</w:t>
            </w:r>
          </w:p>
        </w:tc>
        <w:tc>
          <w:tcPr>
            <w:tcW w:w="1340" w:type="dxa"/>
            <w:vAlign w:val="bottom"/>
          </w:tcPr>
          <w:p>
            <w:pPr>
              <w:jc w:val="right"/>
              <w:ind w:right="99"/>
              <w:spacing w:after="0" w:line="163" w:lineRule="exact"/>
              <w:rPr>
                <w:sz w:val="20"/>
                <w:szCs w:val="20"/>
                <w:color w:val="auto"/>
              </w:rPr>
            </w:pPr>
            <w:r>
              <w:rPr>
                <w:rFonts w:ascii="Arial" w:cs="Arial" w:eastAsia="Arial" w:hAnsi="Arial"/>
                <w:sz w:val="16"/>
                <w:szCs w:val="16"/>
                <w:b w:val="1"/>
                <w:bCs w:val="1"/>
                <w:color w:val="0233A1"/>
              </w:rPr>
              <w:t>Compensation</w:t>
            </w:r>
          </w:p>
        </w:tc>
        <w:tc>
          <w:tcPr>
            <w:tcW w:w="1380" w:type="dxa"/>
            <w:vAlign w:val="bottom"/>
          </w:tcPr>
          <w:p>
            <w:pPr>
              <w:jc w:val="right"/>
              <w:ind w:right="119"/>
              <w:spacing w:after="0" w:line="163" w:lineRule="exact"/>
              <w:rPr>
                <w:sz w:val="20"/>
                <w:szCs w:val="20"/>
                <w:color w:val="auto"/>
              </w:rPr>
            </w:pPr>
            <w:r>
              <w:rPr>
                <w:rFonts w:ascii="Arial" w:cs="Arial" w:eastAsia="Arial" w:hAnsi="Arial"/>
                <w:sz w:val="16"/>
                <w:szCs w:val="16"/>
                <w:b w:val="1"/>
                <w:bCs w:val="1"/>
                <w:color w:val="0233A1"/>
              </w:rPr>
              <w:t>Earnings</w:t>
            </w:r>
          </w:p>
        </w:tc>
        <w:tc>
          <w:tcPr>
            <w:tcW w:w="1360" w:type="dxa"/>
            <w:vAlign w:val="bottom"/>
          </w:tcPr>
          <w:p>
            <w:pPr>
              <w:jc w:val="right"/>
              <w:ind w:right="139"/>
              <w:spacing w:after="0" w:line="163" w:lineRule="exact"/>
              <w:rPr>
                <w:sz w:val="20"/>
                <w:szCs w:val="20"/>
                <w:color w:val="auto"/>
              </w:rPr>
            </w:pPr>
            <w:r>
              <w:rPr>
                <w:rFonts w:ascii="Arial" w:cs="Arial" w:eastAsia="Arial" w:hAnsi="Arial"/>
                <w:sz w:val="16"/>
                <w:szCs w:val="16"/>
                <w:b w:val="1"/>
                <w:bCs w:val="1"/>
                <w:color w:val="0233A1"/>
              </w:rPr>
              <w:t>Compensation</w:t>
            </w:r>
          </w:p>
        </w:tc>
        <w:tc>
          <w:tcPr>
            <w:tcW w:w="880" w:type="dxa"/>
            <w:vAlign w:val="bottom"/>
          </w:tcPr>
          <w:p>
            <w:pPr>
              <w:jc w:val="right"/>
              <w:spacing w:after="0" w:line="163" w:lineRule="exact"/>
              <w:rPr>
                <w:sz w:val="20"/>
                <w:szCs w:val="20"/>
                <w:color w:val="auto"/>
              </w:rPr>
            </w:pPr>
            <w:r>
              <w:rPr>
                <w:rFonts w:ascii="Arial" w:cs="Arial" w:eastAsia="Arial" w:hAnsi="Arial"/>
                <w:sz w:val="16"/>
                <w:szCs w:val="16"/>
                <w:b w:val="1"/>
                <w:bCs w:val="1"/>
                <w:color w:val="0233A1"/>
              </w:rPr>
              <w:t>Total</w:t>
            </w:r>
          </w:p>
        </w:tc>
        <w:tc>
          <w:tcPr>
            <w:tcW w:w="0" w:type="dxa"/>
            <w:vAlign w:val="bottom"/>
          </w:tcPr>
          <w:p>
            <w:pPr>
              <w:spacing w:after="0"/>
              <w:rPr>
                <w:sz w:val="1"/>
                <w:szCs w:val="1"/>
                <w:color w:val="auto"/>
              </w:rPr>
            </w:pPr>
          </w:p>
        </w:tc>
      </w:tr>
      <w:tr>
        <w:trPr>
          <w:trHeight w:val="229"/>
        </w:trPr>
        <w:tc>
          <w:tcPr>
            <w:tcW w:w="3640" w:type="dxa"/>
            <w:vAlign w:val="bottom"/>
            <w:tcBorders>
              <w:bottom w:val="single" w:sz="8" w:color="0233A1"/>
            </w:tcBorders>
          </w:tcPr>
          <w:p>
            <w:pPr>
              <w:spacing w:after="0"/>
              <w:rPr>
                <w:sz w:val="20"/>
                <w:szCs w:val="20"/>
                <w:color w:val="auto"/>
              </w:rPr>
            </w:pPr>
            <w:r>
              <w:rPr>
                <w:rFonts w:ascii="Arial" w:cs="Arial" w:eastAsia="Arial" w:hAnsi="Arial"/>
                <w:sz w:val="16"/>
                <w:szCs w:val="16"/>
                <w:b w:val="1"/>
                <w:bCs w:val="1"/>
                <w:color w:val="0233A1"/>
              </w:rPr>
              <w:t>Name</w:t>
            </w:r>
          </w:p>
        </w:tc>
        <w:tc>
          <w:tcPr>
            <w:tcW w:w="640" w:type="dxa"/>
            <w:vAlign w:val="bottom"/>
            <w:tcBorders>
              <w:bottom w:val="single" w:sz="8" w:color="0233A1"/>
            </w:tcBorders>
          </w:tcPr>
          <w:p>
            <w:pPr>
              <w:jc w:val="right"/>
              <w:ind w:right="19"/>
              <w:spacing w:after="0"/>
              <w:rPr>
                <w:sz w:val="20"/>
                <w:szCs w:val="20"/>
                <w:color w:val="auto"/>
              </w:rPr>
            </w:pPr>
            <w:r>
              <w:rPr>
                <w:rFonts w:ascii="Arial" w:cs="Arial" w:eastAsia="Arial" w:hAnsi="Arial"/>
                <w:sz w:val="16"/>
                <w:szCs w:val="16"/>
                <w:b w:val="1"/>
                <w:bCs w:val="1"/>
                <w:color w:val="0233A1"/>
              </w:rPr>
              <w:t>Year</w:t>
            </w:r>
          </w:p>
        </w:tc>
        <w:tc>
          <w:tcPr>
            <w:tcW w:w="900" w:type="dxa"/>
            <w:vAlign w:val="bottom"/>
            <w:tcBorders>
              <w:bottom w:val="single" w:sz="8" w:color="0233A1"/>
            </w:tcBorders>
          </w:tcPr>
          <w:p>
            <w:pPr>
              <w:jc w:val="right"/>
              <w:ind w:right="19"/>
              <w:spacing w:after="0"/>
              <w:rPr>
                <w:sz w:val="20"/>
                <w:szCs w:val="20"/>
                <w:color w:val="auto"/>
              </w:rPr>
            </w:pPr>
            <w:r>
              <w:rPr>
                <w:rFonts w:ascii="Arial" w:cs="Arial" w:eastAsia="Arial" w:hAnsi="Arial"/>
                <w:sz w:val="16"/>
                <w:szCs w:val="16"/>
                <w:b w:val="1"/>
                <w:bCs w:val="1"/>
                <w:color w:val="0233A1"/>
              </w:rPr>
              <w:t>($)</w:t>
            </w:r>
          </w:p>
        </w:tc>
        <w:tc>
          <w:tcPr>
            <w:tcW w:w="1100" w:type="dxa"/>
            <w:vAlign w:val="bottom"/>
            <w:tcBorders>
              <w:bottom w:val="single" w:sz="8" w:color="0233A1"/>
            </w:tcBorders>
          </w:tcPr>
          <w:p>
            <w:pPr>
              <w:jc w:val="right"/>
              <w:spacing w:after="0" w:line="230" w:lineRule="exact"/>
              <w:rPr>
                <w:sz w:val="20"/>
                <w:szCs w:val="20"/>
                <w:color w:val="auto"/>
              </w:rPr>
            </w:pPr>
            <w:r>
              <w:rPr>
                <w:rFonts w:ascii="Arial" w:cs="Arial" w:eastAsia="Arial" w:hAnsi="Arial"/>
                <w:sz w:val="16"/>
                <w:szCs w:val="16"/>
                <w:b w:val="1"/>
                <w:bCs w:val="1"/>
                <w:color w:val="0233A1"/>
              </w:rPr>
              <w:t>($)</w:t>
            </w:r>
            <w:r>
              <w:rPr>
                <w:rFonts w:ascii="Arial" w:cs="Arial" w:eastAsia="Arial" w:hAnsi="Arial"/>
                <w:sz w:val="26"/>
                <w:szCs w:val="26"/>
                <w:b w:val="1"/>
                <w:bCs w:val="1"/>
                <w:color w:val="0233A1"/>
                <w:vertAlign w:val="superscript"/>
              </w:rPr>
              <w:t>(1)</w:t>
            </w:r>
          </w:p>
        </w:tc>
        <w:tc>
          <w:tcPr>
            <w:tcW w:w="1340" w:type="dxa"/>
            <w:vAlign w:val="bottom"/>
            <w:tcBorders>
              <w:bottom w:val="single" w:sz="8" w:color="0233A1"/>
            </w:tcBorders>
          </w:tcPr>
          <w:p>
            <w:pPr>
              <w:jc w:val="right"/>
              <w:spacing w:after="0" w:line="230" w:lineRule="exact"/>
              <w:rPr>
                <w:sz w:val="20"/>
                <w:szCs w:val="20"/>
                <w:color w:val="auto"/>
              </w:rPr>
            </w:pPr>
            <w:r>
              <w:rPr>
                <w:rFonts w:ascii="Arial" w:cs="Arial" w:eastAsia="Arial" w:hAnsi="Arial"/>
                <w:sz w:val="16"/>
                <w:szCs w:val="16"/>
                <w:b w:val="1"/>
                <w:bCs w:val="1"/>
                <w:color w:val="0233A1"/>
              </w:rPr>
              <w:t>($)</w:t>
            </w:r>
            <w:r>
              <w:rPr>
                <w:rFonts w:ascii="Arial" w:cs="Arial" w:eastAsia="Arial" w:hAnsi="Arial"/>
                <w:sz w:val="26"/>
                <w:szCs w:val="26"/>
                <w:b w:val="1"/>
                <w:bCs w:val="1"/>
                <w:color w:val="0233A1"/>
                <w:vertAlign w:val="superscript"/>
              </w:rPr>
              <w:t>(2)</w:t>
            </w:r>
          </w:p>
        </w:tc>
        <w:tc>
          <w:tcPr>
            <w:tcW w:w="1380" w:type="dxa"/>
            <w:vAlign w:val="bottom"/>
            <w:tcBorders>
              <w:bottom w:val="single" w:sz="8" w:color="0233A1"/>
            </w:tcBorders>
          </w:tcPr>
          <w:p>
            <w:pPr>
              <w:jc w:val="right"/>
              <w:spacing w:after="0" w:line="230" w:lineRule="exact"/>
              <w:rPr>
                <w:sz w:val="20"/>
                <w:szCs w:val="20"/>
                <w:color w:val="auto"/>
              </w:rPr>
            </w:pPr>
            <w:r>
              <w:rPr>
                <w:rFonts w:ascii="Arial" w:cs="Arial" w:eastAsia="Arial" w:hAnsi="Arial"/>
                <w:sz w:val="16"/>
                <w:szCs w:val="16"/>
                <w:b w:val="1"/>
                <w:bCs w:val="1"/>
                <w:color w:val="0233A1"/>
              </w:rPr>
              <w:t>($)</w:t>
            </w:r>
            <w:r>
              <w:rPr>
                <w:rFonts w:ascii="Arial" w:cs="Arial" w:eastAsia="Arial" w:hAnsi="Arial"/>
                <w:sz w:val="26"/>
                <w:szCs w:val="26"/>
                <w:b w:val="1"/>
                <w:bCs w:val="1"/>
                <w:color w:val="0233A1"/>
                <w:vertAlign w:val="superscript"/>
              </w:rPr>
              <w:t>(3)</w:t>
            </w:r>
          </w:p>
        </w:tc>
        <w:tc>
          <w:tcPr>
            <w:tcW w:w="1360" w:type="dxa"/>
            <w:vAlign w:val="bottom"/>
            <w:tcBorders>
              <w:bottom w:val="single" w:sz="8" w:color="0233A1"/>
            </w:tcBorders>
          </w:tcPr>
          <w:p>
            <w:pPr>
              <w:jc w:val="right"/>
              <w:spacing w:after="0" w:line="230" w:lineRule="exact"/>
              <w:rPr>
                <w:sz w:val="20"/>
                <w:szCs w:val="20"/>
                <w:color w:val="auto"/>
              </w:rPr>
            </w:pPr>
            <w:r>
              <w:rPr>
                <w:rFonts w:ascii="Arial" w:cs="Arial" w:eastAsia="Arial" w:hAnsi="Arial"/>
                <w:sz w:val="16"/>
                <w:szCs w:val="16"/>
                <w:b w:val="1"/>
                <w:bCs w:val="1"/>
                <w:color w:val="0233A1"/>
              </w:rPr>
              <w:t>($)</w:t>
            </w:r>
            <w:r>
              <w:rPr>
                <w:rFonts w:ascii="Arial" w:cs="Arial" w:eastAsia="Arial" w:hAnsi="Arial"/>
                <w:sz w:val="26"/>
                <w:szCs w:val="26"/>
                <w:b w:val="1"/>
                <w:bCs w:val="1"/>
                <w:color w:val="0233A1"/>
                <w:vertAlign w:val="superscript"/>
              </w:rPr>
              <w:t>(4)</w:t>
            </w:r>
          </w:p>
        </w:tc>
        <w:tc>
          <w:tcPr>
            <w:tcW w:w="880" w:type="dxa"/>
            <w:vAlign w:val="bottom"/>
            <w:tcBorders>
              <w:bottom w:val="single" w:sz="8" w:color="0233A1"/>
            </w:tcBorders>
          </w:tcPr>
          <w:p>
            <w:pPr>
              <w:jc w:val="right"/>
              <w:spacing w:after="0"/>
              <w:rPr>
                <w:sz w:val="20"/>
                <w:szCs w:val="20"/>
                <w:color w:val="auto"/>
              </w:rPr>
            </w:pPr>
            <w:r>
              <w:rPr>
                <w:rFonts w:ascii="Arial" w:cs="Arial" w:eastAsia="Arial" w:hAnsi="Arial"/>
                <w:sz w:val="16"/>
                <w:szCs w:val="16"/>
                <w:b w:val="1"/>
                <w:bCs w:val="1"/>
                <w:color w:val="0233A1"/>
              </w:rPr>
              <w:t>($)</w:t>
            </w:r>
          </w:p>
        </w:tc>
        <w:tc>
          <w:tcPr>
            <w:tcW w:w="0" w:type="dxa"/>
            <w:vAlign w:val="bottom"/>
          </w:tcPr>
          <w:p>
            <w:pPr>
              <w:spacing w:after="0"/>
              <w:rPr>
                <w:sz w:val="1"/>
                <w:szCs w:val="1"/>
                <w:color w:val="auto"/>
              </w:rPr>
            </w:pPr>
          </w:p>
        </w:tc>
      </w:tr>
      <w:tr>
        <w:trPr>
          <w:trHeight w:val="168"/>
        </w:trPr>
        <w:tc>
          <w:tcPr>
            <w:tcW w:w="3640" w:type="dxa"/>
            <w:vAlign w:val="bottom"/>
          </w:tcPr>
          <w:p>
            <w:pPr>
              <w:ind w:left="60"/>
              <w:spacing w:after="0" w:line="168" w:lineRule="exact"/>
              <w:rPr>
                <w:sz w:val="20"/>
                <w:szCs w:val="20"/>
                <w:color w:val="auto"/>
              </w:rPr>
            </w:pPr>
            <w:r>
              <w:rPr>
                <w:rFonts w:ascii="Arial" w:cs="Arial" w:eastAsia="Arial" w:hAnsi="Arial"/>
                <w:sz w:val="16"/>
                <w:szCs w:val="16"/>
                <w:color w:val="auto"/>
              </w:rPr>
              <w:t>Olivier Le Peuch</w:t>
            </w:r>
          </w:p>
        </w:tc>
        <w:tc>
          <w:tcPr>
            <w:tcW w:w="640" w:type="dxa"/>
            <w:vAlign w:val="bottom"/>
          </w:tcPr>
          <w:p>
            <w:pPr>
              <w:jc w:val="right"/>
              <w:ind w:right="19"/>
              <w:spacing w:after="0" w:line="168" w:lineRule="exact"/>
              <w:rPr>
                <w:sz w:val="20"/>
                <w:szCs w:val="20"/>
                <w:color w:val="auto"/>
              </w:rPr>
            </w:pPr>
            <w:r>
              <w:rPr>
                <w:rFonts w:ascii="Arial" w:cs="Arial" w:eastAsia="Arial" w:hAnsi="Arial"/>
                <w:sz w:val="16"/>
                <w:szCs w:val="16"/>
                <w:color w:val="auto"/>
              </w:rPr>
              <w:t>2023</w:t>
            </w:r>
          </w:p>
        </w:tc>
        <w:tc>
          <w:tcPr>
            <w:tcW w:w="900" w:type="dxa"/>
            <w:vAlign w:val="bottom"/>
          </w:tcPr>
          <w:p>
            <w:pPr>
              <w:jc w:val="right"/>
              <w:ind w:right="19"/>
              <w:spacing w:after="0" w:line="168" w:lineRule="exact"/>
              <w:rPr>
                <w:sz w:val="20"/>
                <w:szCs w:val="20"/>
                <w:color w:val="auto"/>
              </w:rPr>
            </w:pPr>
            <w:r>
              <w:rPr>
                <w:rFonts w:ascii="Arial" w:cs="Arial" w:eastAsia="Arial" w:hAnsi="Arial"/>
                <w:sz w:val="16"/>
                <w:szCs w:val="16"/>
                <w:color w:val="auto"/>
              </w:rPr>
              <w:t>1,550,000</w:t>
            </w:r>
          </w:p>
        </w:tc>
        <w:tc>
          <w:tcPr>
            <w:tcW w:w="1100" w:type="dxa"/>
            <w:vAlign w:val="bottom"/>
          </w:tcPr>
          <w:p>
            <w:pPr>
              <w:jc w:val="right"/>
              <w:ind w:right="119"/>
              <w:spacing w:after="0" w:line="168" w:lineRule="exact"/>
              <w:rPr>
                <w:sz w:val="20"/>
                <w:szCs w:val="20"/>
                <w:color w:val="auto"/>
              </w:rPr>
            </w:pPr>
            <w:r>
              <w:rPr>
                <w:rFonts w:ascii="Arial" w:cs="Arial" w:eastAsia="Arial" w:hAnsi="Arial"/>
                <w:sz w:val="16"/>
                <w:szCs w:val="16"/>
                <w:color w:val="auto"/>
              </w:rPr>
              <w:t>12,000,045</w:t>
            </w:r>
          </w:p>
        </w:tc>
        <w:tc>
          <w:tcPr>
            <w:tcW w:w="1340" w:type="dxa"/>
            <w:vAlign w:val="bottom"/>
          </w:tcPr>
          <w:p>
            <w:pPr>
              <w:jc w:val="right"/>
              <w:ind w:right="99"/>
              <w:spacing w:after="0" w:line="168" w:lineRule="exact"/>
              <w:rPr>
                <w:sz w:val="20"/>
                <w:szCs w:val="20"/>
                <w:color w:val="auto"/>
              </w:rPr>
            </w:pPr>
            <w:r>
              <w:rPr>
                <w:rFonts w:ascii="Arial" w:cs="Arial" w:eastAsia="Arial" w:hAnsi="Arial"/>
                <w:sz w:val="16"/>
                <w:szCs w:val="16"/>
                <w:color w:val="auto"/>
              </w:rPr>
              <w:t>3,502,150</w:t>
            </w:r>
          </w:p>
        </w:tc>
        <w:tc>
          <w:tcPr>
            <w:tcW w:w="1380" w:type="dxa"/>
            <w:vAlign w:val="bottom"/>
          </w:tcPr>
          <w:p>
            <w:pPr>
              <w:jc w:val="right"/>
              <w:ind w:right="119"/>
              <w:spacing w:after="0" w:line="168" w:lineRule="exact"/>
              <w:rPr>
                <w:sz w:val="20"/>
                <w:szCs w:val="20"/>
                <w:color w:val="auto"/>
              </w:rPr>
            </w:pPr>
            <w:r>
              <w:rPr>
                <w:rFonts w:ascii="Arial" w:cs="Arial" w:eastAsia="Arial" w:hAnsi="Arial"/>
                <w:sz w:val="16"/>
                <w:szCs w:val="16"/>
                <w:color w:val="auto"/>
              </w:rPr>
              <w:t>1,022,545</w:t>
            </w:r>
          </w:p>
        </w:tc>
        <w:tc>
          <w:tcPr>
            <w:tcW w:w="1360" w:type="dxa"/>
            <w:vAlign w:val="bottom"/>
          </w:tcPr>
          <w:p>
            <w:pPr>
              <w:jc w:val="right"/>
              <w:ind w:right="139"/>
              <w:spacing w:after="0" w:line="168" w:lineRule="exact"/>
              <w:rPr>
                <w:sz w:val="20"/>
                <w:szCs w:val="20"/>
                <w:color w:val="auto"/>
              </w:rPr>
            </w:pPr>
            <w:r>
              <w:rPr>
                <w:rFonts w:ascii="Arial" w:cs="Arial" w:eastAsia="Arial" w:hAnsi="Arial"/>
                <w:sz w:val="16"/>
                <w:szCs w:val="16"/>
                <w:color w:val="auto"/>
              </w:rPr>
              <w:t>174,845</w:t>
            </w:r>
          </w:p>
        </w:tc>
        <w:tc>
          <w:tcPr>
            <w:tcW w:w="880" w:type="dxa"/>
            <w:vAlign w:val="bottom"/>
            <w:shd w:val="clear" w:color="auto" w:fill="EBECEE"/>
          </w:tcPr>
          <w:p>
            <w:pPr>
              <w:jc w:val="right"/>
              <w:spacing w:after="0" w:line="168" w:lineRule="exact"/>
              <w:rPr>
                <w:sz w:val="20"/>
                <w:szCs w:val="20"/>
                <w:color w:val="auto"/>
              </w:rPr>
            </w:pPr>
            <w:r>
              <w:rPr>
                <w:rFonts w:ascii="Arial" w:cs="Arial" w:eastAsia="Arial" w:hAnsi="Arial"/>
                <w:sz w:val="16"/>
                <w:szCs w:val="16"/>
                <w:color w:val="auto"/>
                <w:w w:val="99"/>
              </w:rPr>
              <w:t>18,249,585</w:t>
            </w:r>
          </w:p>
        </w:tc>
        <w:tc>
          <w:tcPr>
            <w:tcW w:w="0" w:type="dxa"/>
            <w:vAlign w:val="bottom"/>
          </w:tcPr>
          <w:p>
            <w:pPr>
              <w:spacing w:after="0"/>
              <w:rPr>
                <w:sz w:val="1"/>
                <w:szCs w:val="1"/>
                <w:color w:val="auto"/>
              </w:rPr>
            </w:pPr>
          </w:p>
        </w:tc>
      </w:tr>
      <w:tr>
        <w:trPr>
          <w:trHeight w:val="242"/>
        </w:trPr>
        <w:tc>
          <w:tcPr>
            <w:tcW w:w="3640" w:type="dxa"/>
            <w:vAlign w:val="bottom"/>
          </w:tcPr>
          <w:p>
            <w:pPr>
              <w:ind w:left="240"/>
              <w:spacing w:after="0"/>
              <w:rPr>
                <w:sz w:val="20"/>
                <w:szCs w:val="20"/>
                <w:color w:val="auto"/>
              </w:rPr>
            </w:pPr>
            <w:r>
              <w:rPr>
                <w:rFonts w:ascii="Arial" w:cs="Arial" w:eastAsia="Arial" w:hAnsi="Arial"/>
                <w:sz w:val="16"/>
                <w:szCs w:val="16"/>
                <w:color w:val="auto"/>
              </w:rPr>
              <w:t>Chief Executive Officer</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2022</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1,550,000</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11,999,949</w:t>
            </w: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1,929,750</w:t>
            </w: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234,058</w:t>
            </w:r>
          </w:p>
        </w:tc>
        <w:tc>
          <w:tcPr>
            <w:tcW w:w="880" w:type="dxa"/>
            <w:vAlign w:val="bottom"/>
            <w:shd w:val="clear" w:color="auto" w:fill="EBECEE"/>
          </w:tcPr>
          <w:p>
            <w:pPr>
              <w:jc w:val="right"/>
              <w:spacing w:after="0"/>
              <w:rPr>
                <w:sz w:val="20"/>
                <w:szCs w:val="20"/>
                <w:color w:val="auto"/>
              </w:rPr>
            </w:pPr>
            <w:r>
              <w:rPr>
                <w:rFonts w:ascii="Arial" w:cs="Arial" w:eastAsia="Arial" w:hAnsi="Arial"/>
                <w:sz w:val="16"/>
                <w:szCs w:val="16"/>
                <w:color w:val="auto"/>
                <w:w w:val="99"/>
              </w:rPr>
              <w:t>15,713,757</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2021</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1,400,000</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10,499,803</w:t>
            </w: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3,916,100</w:t>
            </w: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802,703</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176,896</w:t>
            </w:r>
          </w:p>
        </w:tc>
        <w:tc>
          <w:tcPr>
            <w:tcW w:w="880" w:type="dxa"/>
            <w:vAlign w:val="bottom"/>
            <w:shd w:val="clear" w:color="auto" w:fill="EBECEE"/>
          </w:tcPr>
          <w:p>
            <w:pPr>
              <w:jc w:val="right"/>
              <w:spacing w:after="0"/>
              <w:rPr>
                <w:sz w:val="20"/>
                <w:szCs w:val="20"/>
                <w:color w:val="auto"/>
              </w:rPr>
            </w:pPr>
            <w:r>
              <w:rPr>
                <w:rFonts w:ascii="Arial" w:cs="Arial" w:eastAsia="Arial" w:hAnsi="Arial"/>
                <w:sz w:val="16"/>
                <w:szCs w:val="16"/>
                <w:color w:val="auto"/>
                <w:w w:val="99"/>
              </w:rPr>
              <w:t>16,795,502</w:t>
            </w:r>
          </w:p>
        </w:tc>
        <w:tc>
          <w:tcPr>
            <w:tcW w:w="0" w:type="dxa"/>
            <w:vAlign w:val="bottom"/>
          </w:tcPr>
          <w:p>
            <w:pPr>
              <w:spacing w:after="0"/>
              <w:rPr>
                <w:sz w:val="1"/>
                <w:szCs w:val="1"/>
                <w:color w:val="auto"/>
              </w:rPr>
            </w:pPr>
          </w:p>
        </w:tc>
      </w:tr>
      <w:tr>
        <w:trPr>
          <w:trHeight w:val="190"/>
        </w:trPr>
        <w:tc>
          <w:tcPr>
            <w:tcW w:w="3640" w:type="dxa"/>
            <w:vAlign w:val="bottom"/>
          </w:tcPr>
          <w:p>
            <w:pPr>
              <w:ind w:left="60"/>
              <w:spacing w:after="0"/>
              <w:rPr>
                <w:sz w:val="20"/>
                <w:szCs w:val="20"/>
                <w:color w:val="auto"/>
              </w:rPr>
            </w:pPr>
            <w:r>
              <w:rPr>
                <w:rFonts w:ascii="Arial" w:cs="Arial" w:eastAsia="Arial" w:hAnsi="Arial"/>
                <w:sz w:val="16"/>
                <w:szCs w:val="16"/>
                <w:color w:val="auto"/>
              </w:rPr>
              <w:t>Stephane Biguet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2023</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850,000</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3,500,022</w:t>
            </w: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1,283,100</w:t>
            </w: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620,773</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116,672</w:t>
            </w:r>
          </w:p>
        </w:tc>
        <w:tc>
          <w:tcPr>
            <w:tcW w:w="880" w:type="dxa"/>
            <w:vAlign w:val="bottom"/>
            <w:shd w:val="clear" w:color="auto" w:fill="EBECEE"/>
          </w:tcPr>
          <w:p>
            <w:pPr>
              <w:jc w:val="right"/>
              <w:spacing w:after="0"/>
              <w:rPr>
                <w:sz w:val="20"/>
                <w:szCs w:val="20"/>
                <w:color w:val="auto"/>
              </w:rPr>
            </w:pPr>
            <w:r>
              <w:rPr>
                <w:rFonts w:ascii="Arial" w:cs="Arial" w:eastAsia="Arial" w:hAnsi="Arial"/>
                <w:sz w:val="16"/>
                <w:szCs w:val="16"/>
                <w:color w:val="auto"/>
              </w:rPr>
              <w:t>6,370,567</w:t>
            </w:r>
          </w:p>
        </w:tc>
        <w:tc>
          <w:tcPr>
            <w:tcW w:w="0" w:type="dxa"/>
            <w:vAlign w:val="bottom"/>
          </w:tcPr>
          <w:p>
            <w:pPr>
              <w:spacing w:after="0"/>
              <w:rPr>
                <w:sz w:val="1"/>
                <w:szCs w:val="1"/>
                <w:color w:val="auto"/>
              </w:rPr>
            </w:pPr>
          </w:p>
        </w:tc>
      </w:tr>
      <w:tr>
        <w:trPr>
          <w:trHeight w:val="190"/>
        </w:trPr>
        <w:tc>
          <w:tcPr>
            <w:tcW w:w="3640" w:type="dxa"/>
            <w:vAlign w:val="bottom"/>
          </w:tcPr>
          <w:p>
            <w:pPr>
              <w:ind w:left="240"/>
              <w:spacing w:after="0"/>
              <w:rPr>
                <w:sz w:val="20"/>
                <w:szCs w:val="20"/>
                <w:color w:val="auto"/>
              </w:rPr>
            </w:pPr>
            <w:r>
              <w:rPr>
                <w:rFonts w:ascii="Arial" w:cs="Arial" w:eastAsia="Arial" w:hAnsi="Arial"/>
                <w:sz w:val="16"/>
                <w:szCs w:val="16"/>
                <w:color w:val="auto"/>
              </w:rPr>
              <w:t>Executive Vice President and Chief Financial</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2022</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850,000</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3,499,993</w:t>
            </w: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690,650</w:t>
            </w: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139,327</w:t>
            </w:r>
          </w:p>
        </w:tc>
        <w:tc>
          <w:tcPr>
            <w:tcW w:w="880" w:type="dxa"/>
            <w:vAlign w:val="bottom"/>
            <w:shd w:val="clear" w:color="auto" w:fill="EBECEE"/>
          </w:tcPr>
          <w:p>
            <w:pPr>
              <w:jc w:val="right"/>
              <w:spacing w:after="0"/>
              <w:rPr>
                <w:sz w:val="20"/>
                <w:szCs w:val="20"/>
                <w:color w:val="auto"/>
              </w:rPr>
            </w:pPr>
            <w:r>
              <w:rPr>
                <w:rFonts w:ascii="Arial" w:cs="Arial" w:eastAsia="Arial" w:hAnsi="Arial"/>
                <w:sz w:val="16"/>
                <w:szCs w:val="16"/>
                <w:color w:val="auto"/>
              </w:rPr>
              <w:t>5,179,970</w:t>
            </w:r>
          </w:p>
        </w:tc>
        <w:tc>
          <w:tcPr>
            <w:tcW w:w="0" w:type="dxa"/>
            <w:vAlign w:val="bottom"/>
          </w:tcPr>
          <w:p>
            <w:pPr>
              <w:spacing w:after="0"/>
              <w:rPr>
                <w:sz w:val="1"/>
                <w:szCs w:val="1"/>
                <w:color w:val="auto"/>
              </w:rPr>
            </w:pPr>
          </w:p>
        </w:tc>
      </w:tr>
      <w:tr>
        <w:trPr>
          <w:trHeight w:val="215"/>
        </w:trPr>
        <w:tc>
          <w:tcPr>
            <w:tcW w:w="3640" w:type="dxa"/>
            <w:vAlign w:val="bottom"/>
          </w:tcPr>
          <w:p>
            <w:pPr>
              <w:ind w:left="240"/>
              <w:spacing w:after="0"/>
              <w:rPr>
                <w:sz w:val="20"/>
                <w:szCs w:val="20"/>
                <w:color w:val="auto"/>
              </w:rPr>
            </w:pPr>
            <w:r>
              <w:rPr>
                <w:rFonts w:ascii="Arial" w:cs="Arial" w:eastAsia="Arial" w:hAnsi="Arial"/>
                <w:sz w:val="16"/>
                <w:szCs w:val="16"/>
                <w:color w:val="auto"/>
              </w:rPr>
              <w:t>Officer</w:t>
            </w:r>
          </w:p>
        </w:tc>
        <w:tc>
          <w:tcPr>
            <w:tcW w:w="640" w:type="dxa"/>
            <w:vAlign w:val="bottom"/>
            <w:vMerge w:val="restart"/>
          </w:tcPr>
          <w:p>
            <w:pPr>
              <w:jc w:val="right"/>
              <w:ind w:right="19"/>
              <w:spacing w:after="0"/>
              <w:rPr>
                <w:sz w:val="20"/>
                <w:szCs w:val="20"/>
                <w:color w:val="auto"/>
              </w:rPr>
            </w:pPr>
            <w:r>
              <w:rPr>
                <w:rFonts w:ascii="Arial" w:cs="Arial" w:eastAsia="Arial" w:hAnsi="Arial"/>
                <w:sz w:val="16"/>
                <w:szCs w:val="16"/>
                <w:color w:val="auto"/>
              </w:rPr>
              <w:t>2021</w:t>
            </w:r>
          </w:p>
        </w:tc>
        <w:tc>
          <w:tcPr>
            <w:tcW w:w="900" w:type="dxa"/>
            <w:vAlign w:val="bottom"/>
            <w:vMerge w:val="restart"/>
          </w:tcPr>
          <w:p>
            <w:pPr>
              <w:jc w:val="right"/>
              <w:ind w:right="19"/>
              <w:spacing w:after="0"/>
              <w:rPr>
                <w:sz w:val="20"/>
                <w:szCs w:val="20"/>
                <w:color w:val="auto"/>
              </w:rPr>
            </w:pPr>
            <w:r>
              <w:rPr>
                <w:rFonts w:ascii="Arial" w:cs="Arial" w:eastAsia="Arial" w:hAnsi="Arial"/>
                <w:sz w:val="16"/>
                <w:szCs w:val="16"/>
                <w:color w:val="auto"/>
              </w:rPr>
              <w:t>770,000</w:t>
            </w:r>
          </w:p>
        </w:tc>
        <w:tc>
          <w:tcPr>
            <w:tcW w:w="1100" w:type="dxa"/>
            <w:vAlign w:val="bottom"/>
            <w:vMerge w:val="restart"/>
          </w:tcPr>
          <w:p>
            <w:pPr>
              <w:jc w:val="right"/>
              <w:ind w:right="119"/>
              <w:spacing w:after="0"/>
              <w:rPr>
                <w:sz w:val="20"/>
                <w:szCs w:val="20"/>
                <w:color w:val="auto"/>
              </w:rPr>
            </w:pPr>
            <w:r>
              <w:rPr>
                <w:rFonts w:ascii="Arial" w:cs="Arial" w:eastAsia="Arial" w:hAnsi="Arial"/>
                <w:sz w:val="16"/>
                <w:szCs w:val="16"/>
                <w:color w:val="auto"/>
              </w:rPr>
              <w:t>3,199,750</w:t>
            </w:r>
          </w:p>
        </w:tc>
        <w:tc>
          <w:tcPr>
            <w:tcW w:w="1340" w:type="dxa"/>
            <w:vAlign w:val="bottom"/>
            <w:vMerge w:val="restart"/>
          </w:tcPr>
          <w:p>
            <w:pPr>
              <w:jc w:val="right"/>
              <w:ind w:right="99"/>
              <w:spacing w:after="0"/>
              <w:rPr>
                <w:sz w:val="20"/>
                <w:szCs w:val="20"/>
                <w:color w:val="auto"/>
              </w:rPr>
            </w:pPr>
            <w:r>
              <w:rPr>
                <w:rFonts w:ascii="Arial" w:cs="Arial" w:eastAsia="Arial" w:hAnsi="Arial"/>
                <w:sz w:val="16"/>
                <w:szCs w:val="16"/>
                <w:color w:val="auto"/>
              </w:rPr>
              <w:t>1,458,400</w:t>
            </w:r>
          </w:p>
        </w:tc>
        <w:tc>
          <w:tcPr>
            <w:tcW w:w="1380" w:type="dxa"/>
            <w:vAlign w:val="bottom"/>
            <w:vMerge w:val="restart"/>
          </w:tcPr>
          <w:p>
            <w:pPr>
              <w:jc w:val="right"/>
              <w:ind w:right="119"/>
              <w:spacing w:after="0"/>
              <w:rPr>
                <w:sz w:val="20"/>
                <w:szCs w:val="20"/>
                <w:color w:val="auto"/>
              </w:rPr>
            </w:pPr>
            <w:r>
              <w:rPr>
                <w:rFonts w:ascii="Arial" w:cs="Arial" w:eastAsia="Arial" w:hAnsi="Arial"/>
                <w:sz w:val="16"/>
                <w:szCs w:val="16"/>
                <w:color w:val="auto"/>
              </w:rPr>
              <w:t>462,189</w:t>
            </w:r>
          </w:p>
        </w:tc>
        <w:tc>
          <w:tcPr>
            <w:tcW w:w="1360" w:type="dxa"/>
            <w:vAlign w:val="bottom"/>
            <w:vMerge w:val="restart"/>
          </w:tcPr>
          <w:p>
            <w:pPr>
              <w:jc w:val="right"/>
              <w:ind w:right="139"/>
              <w:spacing w:after="0"/>
              <w:rPr>
                <w:sz w:val="20"/>
                <w:szCs w:val="20"/>
                <w:color w:val="auto"/>
              </w:rPr>
            </w:pPr>
            <w:r>
              <w:rPr>
                <w:rFonts w:ascii="Arial" w:cs="Arial" w:eastAsia="Arial" w:hAnsi="Arial"/>
                <w:sz w:val="16"/>
                <w:szCs w:val="16"/>
                <w:color w:val="auto"/>
              </w:rPr>
              <w:t>127,749</w:t>
            </w:r>
          </w:p>
        </w:tc>
        <w:tc>
          <w:tcPr>
            <w:tcW w:w="880" w:type="dxa"/>
            <w:vAlign w:val="bottom"/>
            <w:vMerge w:val="restart"/>
            <w:shd w:val="clear" w:color="auto" w:fill="EBECEE"/>
          </w:tcPr>
          <w:p>
            <w:pPr>
              <w:jc w:val="right"/>
              <w:spacing w:after="0"/>
              <w:rPr>
                <w:sz w:val="20"/>
                <w:szCs w:val="20"/>
                <w:color w:val="auto"/>
              </w:rPr>
            </w:pPr>
            <w:r>
              <w:rPr>
                <w:rFonts w:ascii="Arial" w:cs="Arial" w:eastAsia="Arial" w:hAnsi="Arial"/>
                <w:sz w:val="16"/>
                <w:szCs w:val="16"/>
                <w:color w:val="auto"/>
              </w:rPr>
              <w:t>6,018,088</w:t>
            </w:r>
          </w:p>
        </w:tc>
        <w:tc>
          <w:tcPr>
            <w:tcW w:w="0" w:type="dxa"/>
            <w:vAlign w:val="bottom"/>
          </w:tcPr>
          <w:p>
            <w:pPr>
              <w:spacing w:after="0"/>
              <w:rPr>
                <w:sz w:val="1"/>
                <w:szCs w:val="1"/>
                <w:color w:val="auto"/>
              </w:rPr>
            </w:pPr>
          </w:p>
        </w:tc>
      </w:tr>
      <w:tr>
        <w:trPr>
          <w:trHeight w:val="53"/>
        </w:trPr>
        <w:tc>
          <w:tcPr>
            <w:tcW w:w="364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138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880" w:type="dxa"/>
            <w:vAlign w:val="bottom"/>
            <w:vMerge w:val="continue"/>
            <w:shd w:val="clear" w:color="auto" w:fill="EBECEE"/>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3640" w:type="dxa"/>
            <w:vAlign w:val="bottom"/>
          </w:tcPr>
          <w:p>
            <w:pPr>
              <w:ind w:left="60"/>
              <w:spacing w:after="0"/>
              <w:rPr>
                <w:sz w:val="20"/>
                <w:szCs w:val="20"/>
                <w:color w:val="auto"/>
              </w:rPr>
            </w:pPr>
            <w:r>
              <w:rPr>
                <w:rFonts w:ascii="Arial" w:cs="Arial" w:eastAsia="Arial" w:hAnsi="Arial"/>
                <w:sz w:val="16"/>
                <w:szCs w:val="16"/>
                <w:color w:val="auto"/>
              </w:rPr>
              <w:t>Khaled Al Mogharbel</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2023</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900,000</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3,500,022</w:t>
            </w: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1,357,650</w:t>
            </w: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116,813</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118,275</w:t>
            </w:r>
          </w:p>
        </w:tc>
        <w:tc>
          <w:tcPr>
            <w:tcW w:w="880" w:type="dxa"/>
            <w:vAlign w:val="bottom"/>
            <w:shd w:val="clear" w:color="auto" w:fill="EBECEE"/>
          </w:tcPr>
          <w:p>
            <w:pPr>
              <w:jc w:val="right"/>
              <w:spacing w:after="0"/>
              <w:rPr>
                <w:sz w:val="20"/>
                <w:szCs w:val="20"/>
                <w:color w:val="auto"/>
              </w:rPr>
            </w:pPr>
            <w:r>
              <w:rPr>
                <w:rFonts w:ascii="Arial" w:cs="Arial" w:eastAsia="Arial" w:hAnsi="Arial"/>
                <w:sz w:val="16"/>
                <w:szCs w:val="16"/>
                <w:color w:val="auto"/>
              </w:rPr>
              <w:t>5,992,760</w:t>
            </w:r>
          </w:p>
        </w:tc>
        <w:tc>
          <w:tcPr>
            <w:tcW w:w="0" w:type="dxa"/>
            <w:vAlign w:val="bottom"/>
          </w:tcPr>
          <w:p>
            <w:pPr>
              <w:spacing w:after="0"/>
              <w:rPr>
                <w:sz w:val="1"/>
                <w:szCs w:val="1"/>
                <w:color w:val="auto"/>
              </w:rPr>
            </w:pPr>
          </w:p>
        </w:tc>
      </w:tr>
      <w:tr>
        <w:trPr>
          <w:trHeight w:val="242"/>
        </w:trPr>
        <w:tc>
          <w:tcPr>
            <w:tcW w:w="3640" w:type="dxa"/>
            <w:vAlign w:val="bottom"/>
          </w:tcPr>
          <w:p>
            <w:pPr>
              <w:ind w:left="240"/>
              <w:spacing w:after="0"/>
              <w:rPr>
                <w:sz w:val="20"/>
                <w:szCs w:val="20"/>
                <w:color w:val="auto"/>
              </w:rPr>
            </w:pPr>
            <w:r>
              <w:rPr>
                <w:rFonts w:ascii="Arial" w:cs="Arial" w:eastAsia="Arial" w:hAnsi="Arial"/>
                <w:sz w:val="16"/>
                <w:szCs w:val="16"/>
                <w:color w:val="auto"/>
              </w:rPr>
              <w:t>Executive Vice President, Geographies</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2022</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900,000</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3,499,993</w:t>
            </w: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731,250</w:t>
            </w: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169,951</w:t>
            </w:r>
          </w:p>
        </w:tc>
        <w:tc>
          <w:tcPr>
            <w:tcW w:w="880" w:type="dxa"/>
            <w:vAlign w:val="bottom"/>
            <w:shd w:val="clear" w:color="auto" w:fill="EBECEE"/>
          </w:tcPr>
          <w:p>
            <w:pPr>
              <w:jc w:val="right"/>
              <w:spacing w:after="0"/>
              <w:rPr>
                <w:sz w:val="20"/>
                <w:szCs w:val="20"/>
                <w:color w:val="auto"/>
              </w:rPr>
            </w:pPr>
            <w:r>
              <w:rPr>
                <w:rFonts w:ascii="Arial" w:cs="Arial" w:eastAsia="Arial" w:hAnsi="Arial"/>
                <w:sz w:val="16"/>
                <w:szCs w:val="16"/>
                <w:color w:val="auto"/>
              </w:rPr>
              <w:t>5,301,194</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2021</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900,000</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3,499,787</w:t>
            </w: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1,715,850</w:t>
            </w: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244,569</w:t>
            </w:r>
          </w:p>
        </w:tc>
        <w:tc>
          <w:tcPr>
            <w:tcW w:w="880" w:type="dxa"/>
            <w:vAlign w:val="bottom"/>
            <w:shd w:val="clear" w:color="auto" w:fill="EBECEE"/>
          </w:tcPr>
          <w:p>
            <w:pPr>
              <w:jc w:val="right"/>
              <w:spacing w:after="0"/>
              <w:rPr>
                <w:sz w:val="20"/>
                <w:szCs w:val="20"/>
                <w:color w:val="auto"/>
              </w:rPr>
            </w:pPr>
            <w:r>
              <w:rPr>
                <w:rFonts w:ascii="Arial" w:cs="Arial" w:eastAsia="Arial" w:hAnsi="Arial"/>
                <w:sz w:val="16"/>
                <w:szCs w:val="16"/>
                <w:color w:val="auto"/>
              </w:rPr>
              <w:t>6,360,206</w:t>
            </w:r>
          </w:p>
        </w:tc>
        <w:tc>
          <w:tcPr>
            <w:tcW w:w="0" w:type="dxa"/>
            <w:vAlign w:val="bottom"/>
          </w:tcPr>
          <w:p>
            <w:pPr>
              <w:spacing w:after="0"/>
              <w:rPr>
                <w:sz w:val="1"/>
                <w:szCs w:val="1"/>
                <w:color w:val="auto"/>
              </w:rPr>
            </w:pPr>
          </w:p>
        </w:tc>
      </w:tr>
      <w:tr>
        <w:trPr>
          <w:trHeight w:val="190"/>
        </w:trPr>
        <w:tc>
          <w:tcPr>
            <w:tcW w:w="3640" w:type="dxa"/>
            <w:vAlign w:val="bottom"/>
          </w:tcPr>
          <w:p>
            <w:pPr>
              <w:ind w:left="60"/>
              <w:spacing w:after="0"/>
              <w:rPr>
                <w:sz w:val="20"/>
                <w:szCs w:val="20"/>
                <w:color w:val="auto"/>
              </w:rPr>
            </w:pPr>
            <w:r>
              <w:rPr>
                <w:rFonts w:ascii="Arial" w:cs="Arial" w:eastAsia="Arial" w:hAnsi="Arial"/>
                <w:sz w:val="16"/>
                <w:szCs w:val="16"/>
                <w:color w:val="auto"/>
              </w:rPr>
              <w:t>Abdellah Merad</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2023</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800,000</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3,500,022</w:t>
            </w: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1,213,600</w:t>
            </w: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80,154</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235,407</w:t>
            </w:r>
          </w:p>
        </w:tc>
        <w:tc>
          <w:tcPr>
            <w:tcW w:w="880" w:type="dxa"/>
            <w:vAlign w:val="bottom"/>
            <w:shd w:val="clear" w:color="auto" w:fill="EBECEE"/>
          </w:tcPr>
          <w:p>
            <w:pPr>
              <w:jc w:val="right"/>
              <w:spacing w:after="0"/>
              <w:rPr>
                <w:sz w:val="20"/>
                <w:szCs w:val="20"/>
                <w:color w:val="auto"/>
              </w:rPr>
            </w:pPr>
            <w:r>
              <w:rPr>
                <w:rFonts w:ascii="Arial" w:cs="Arial" w:eastAsia="Arial" w:hAnsi="Arial"/>
                <w:sz w:val="16"/>
                <w:szCs w:val="16"/>
                <w:color w:val="auto"/>
              </w:rPr>
              <w:t>5,829,183</w:t>
            </w:r>
          </w:p>
        </w:tc>
        <w:tc>
          <w:tcPr>
            <w:tcW w:w="0" w:type="dxa"/>
            <w:vAlign w:val="bottom"/>
          </w:tcPr>
          <w:p>
            <w:pPr>
              <w:spacing w:after="0"/>
              <w:rPr>
                <w:sz w:val="1"/>
                <w:szCs w:val="1"/>
                <w:color w:val="auto"/>
              </w:rPr>
            </w:pPr>
          </w:p>
        </w:tc>
      </w:tr>
      <w:tr>
        <w:trPr>
          <w:trHeight w:val="190"/>
        </w:trPr>
        <w:tc>
          <w:tcPr>
            <w:tcW w:w="3640" w:type="dxa"/>
            <w:vAlign w:val="bottom"/>
          </w:tcPr>
          <w:p>
            <w:pPr>
              <w:ind w:left="240"/>
              <w:spacing w:after="0"/>
              <w:rPr>
                <w:sz w:val="20"/>
                <w:szCs w:val="20"/>
                <w:color w:val="auto"/>
              </w:rPr>
            </w:pPr>
            <w:r>
              <w:rPr>
                <w:rFonts w:ascii="Arial" w:cs="Arial" w:eastAsia="Arial" w:hAnsi="Arial"/>
                <w:sz w:val="16"/>
                <w:szCs w:val="16"/>
                <w:color w:val="auto"/>
              </w:rPr>
              <w:t>Executive Vice President, Core Services and</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2022</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787,500</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3,499,995</w:t>
            </w: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620,150</w:t>
            </w: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290,716</w:t>
            </w:r>
          </w:p>
        </w:tc>
        <w:tc>
          <w:tcPr>
            <w:tcW w:w="880" w:type="dxa"/>
            <w:vAlign w:val="bottom"/>
            <w:shd w:val="clear" w:color="auto" w:fill="EBECEE"/>
          </w:tcPr>
          <w:p>
            <w:pPr>
              <w:jc w:val="right"/>
              <w:spacing w:after="0"/>
              <w:rPr>
                <w:sz w:val="20"/>
                <w:szCs w:val="20"/>
                <w:color w:val="auto"/>
              </w:rPr>
            </w:pPr>
            <w:r>
              <w:rPr>
                <w:rFonts w:ascii="Arial" w:cs="Arial" w:eastAsia="Arial" w:hAnsi="Arial"/>
                <w:sz w:val="16"/>
                <w:szCs w:val="16"/>
                <w:color w:val="auto"/>
              </w:rPr>
              <w:t>5,198,361</w:t>
            </w:r>
          </w:p>
        </w:tc>
        <w:tc>
          <w:tcPr>
            <w:tcW w:w="0" w:type="dxa"/>
            <w:vAlign w:val="bottom"/>
          </w:tcPr>
          <w:p>
            <w:pPr>
              <w:spacing w:after="0"/>
              <w:rPr>
                <w:sz w:val="1"/>
                <w:szCs w:val="1"/>
                <w:color w:val="auto"/>
              </w:rPr>
            </w:pPr>
          </w:p>
        </w:tc>
      </w:tr>
      <w:tr>
        <w:trPr>
          <w:trHeight w:val="215"/>
        </w:trPr>
        <w:tc>
          <w:tcPr>
            <w:tcW w:w="3640" w:type="dxa"/>
            <w:vAlign w:val="bottom"/>
          </w:tcPr>
          <w:p>
            <w:pPr>
              <w:ind w:left="240"/>
              <w:spacing w:after="0"/>
              <w:rPr>
                <w:sz w:val="20"/>
                <w:szCs w:val="20"/>
                <w:color w:val="auto"/>
              </w:rPr>
            </w:pPr>
            <w:r>
              <w:rPr>
                <w:rFonts w:ascii="Arial" w:cs="Arial" w:eastAsia="Arial" w:hAnsi="Arial"/>
                <w:sz w:val="16"/>
                <w:szCs w:val="16"/>
                <w:color w:val="auto"/>
              </w:rPr>
              <w:t>Equipment</w:t>
            </w: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80" w:type="dxa"/>
            <w:vAlign w:val="bottom"/>
            <w:shd w:val="clear" w:color="auto" w:fill="EBECEE"/>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640" w:type="dxa"/>
            <w:vAlign w:val="bottom"/>
          </w:tcPr>
          <w:p>
            <w:pPr>
              <w:ind w:left="60"/>
              <w:spacing w:after="0"/>
              <w:rPr>
                <w:sz w:val="20"/>
                <w:szCs w:val="20"/>
                <w:color w:val="auto"/>
              </w:rPr>
            </w:pPr>
            <w:r>
              <w:rPr>
                <w:rFonts w:ascii="Arial" w:cs="Arial" w:eastAsia="Arial" w:hAnsi="Arial"/>
                <w:sz w:val="16"/>
                <w:szCs w:val="16"/>
                <w:color w:val="auto"/>
              </w:rPr>
              <w:t>Dianne Ralston</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2023</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750,022</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3,199,909</w:t>
            </w: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1,137,750</w:t>
            </w: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270,729</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78,435</w:t>
            </w:r>
          </w:p>
        </w:tc>
        <w:tc>
          <w:tcPr>
            <w:tcW w:w="880" w:type="dxa"/>
            <w:vAlign w:val="bottom"/>
            <w:shd w:val="clear" w:color="auto" w:fill="EBECEE"/>
          </w:tcPr>
          <w:p>
            <w:pPr>
              <w:jc w:val="right"/>
              <w:spacing w:after="0"/>
              <w:rPr>
                <w:sz w:val="20"/>
                <w:szCs w:val="20"/>
                <w:color w:val="auto"/>
              </w:rPr>
            </w:pPr>
            <w:r>
              <w:rPr>
                <w:rFonts w:ascii="Arial" w:cs="Arial" w:eastAsia="Arial" w:hAnsi="Arial"/>
                <w:sz w:val="16"/>
                <w:szCs w:val="16"/>
                <w:color w:val="auto"/>
              </w:rPr>
              <w:t>5,436,845</w:t>
            </w:r>
          </w:p>
        </w:tc>
        <w:tc>
          <w:tcPr>
            <w:tcW w:w="0" w:type="dxa"/>
            <w:vAlign w:val="bottom"/>
          </w:tcPr>
          <w:p>
            <w:pPr>
              <w:spacing w:after="0"/>
              <w:rPr>
                <w:sz w:val="1"/>
                <w:szCs w:val="1"/>
                <w:color w:val="auto"/>
              </w:rPr>
            </w:pPr>
          </w:p>
        </w:tc>
      </w:tr>
      <w:tr>
        <w:trPr>
          <w:trHeight w:val="242"/>
        </w:trPr>
        <w:tc>
          <w:tcPr>
            <w:tcW w:w="3640" w:type="dxa"/>
            <w:vAlign w:val="bottom"/>
          </w:tcPr>
          <w:p>
            <w:pPr>
              <w:ind w:left="240"/>
              <w:spacing w:after="0"/>
              <w:rPr>
                <w:sz w:val="20"/>
                <w:szCs w:val="20"/>
                <w:color w:val="auto"/>
              </w:rPr>
            </w:pPr>
            <w:r>
              <w:rPr>
                <w:rFonts w:ascii="Arial" w:cs="Arial" w:eastAsia="Arial" w:hAnsi="Arial"/>
                <w:sz w:val="16"/>
                <w:szCs w:val="16"/>
                <w:color w:val="auto"/>
              </w:rPr>
              <w:t>Chief Legal Officer and Secretary</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2022</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750,022</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3,199,948</w:t>
            </w: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581,250</w:t>
            </w: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361,028</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94,160</w:t>
            </w:r>
          </w:p>
        </w:tc>
        <w:tc>
          <w:tcPr>
            <w:tcW w:w="880" w:type="dxa"/>
            <w:vAlign w:val="bottom"/>
            <w:shd w:val="clear" w:color="auto" w:fill="EBECEE"/>
          </w:tcPr>
          <w:p>
            <w:pPr>
              <w:jc w:val="right"/>
              <w:spacing w:after="0"/>
              <w:rPr>
                <w:sz w:val="20"/>
                <w:szCs w:val="20"/>
                <w:color w:val="auto"/>
              </w:rPr>
            </w:pPr>
            <w:r>
              <w:rPr>
                <w:rFonts w:ascii="Arial" w:cs="Arial" w:eastAsia="Arial" w:hAnsi="Arial"/>
                <w:sz w:val="16"/>
                <w:szCs w:val="16"/>
                <w:color w:val="auto"/>
              </w:rPr>
              <w:t>4,986,408</w:t>
            </w:r>
          </w:p>
        </w:tc>
        <w:tc>
          <w:tcPr>
            <w:tcW w:w="0" w:type="dxa"/>
            <w:vAlign w:val="bottom"/>
          </w:tcPr>
          <w:p>
            <w:pPr>
              <w:spacing w:after="0"/>
              <w:rPr>
                <w:sz w:val="1"/>
                <w:szCs w:val="1"/>
                <w:color w:val="auto"/>
              </w:rPr>
            </w:pPr>
          </w:p>
        </w:tc>
      </w:tr>
      <w:tr>
        <w:trPr>
          <w:trHeight w:val="225"/>
        </w:trPr>
        <w:tc>
          <w:tcPr>
            <w:tcW w:w="3640" w:type="dxa"/>
            <w:vAlign w:val="bottom"/>
            <w:tcBorders>
              <w:bottom w:val="single" w:sz="8" w:color="0233A1"/>
            </w:tcBorders>
          </w:tcPr>
          <w:p>
            <w:pPr>
              <w:spacing w:after="0"/>
              <w:rPr>
                <w:sz w:val="19"/>
                <w:szCs w:val="19"/>
                <w:color w:val="auto"/>
              </w:rPr>
            </w:pPr>
          </w:p>
        </w:tc>
        <w:tc>
          <w:tcPr>
            <w:tcW w:w="640" w:type="dxa"/>
            <w:vAlign w:val="bottom"/>
            <w:tcBorders>
              <w:bottom w:val="single" w:sz="8" w:color="0233A1"/>
            </w:tcBorders>
          </w:tcPr>
          <w:p>
            <w:pPr>
              <w:spacing w:after="0"/>
              <w:rPr>
                <w:sz w:val="19"/>
                <w:szCs w:val="19"/>
                <w:color w:val="auto"/>
              </w:rPr>
            </w:pPr>
          </w:p>
        </w:tc>
        <w:tc>
          <w:tcPr>
            <w:tcW w:w="900" w:type="dxa"/>
            <w:vAlign w:val="bottom"/>
            <w:tcBorders>
              <w:bottom w:val="single" w:sz="8" w:color="0233A1"/>
            </w:tcBorders>
          </w:tcPr>
          <w:p>
            <w:pPr>
              <w:spacing w:after="0"/>
              <w:rPr>
                <w:sz w:val="19"/>
                <w:szCs w:val="19"/>
                <w:color w:val="auto"/>
              </w:rPr>
            </w:pPr>
          </w:p>
        </w:tc>
        <w:tc>
          <w:tcPr>
            <w:tcW w:w="1100" w:type="dxa"/>
            <w:vAlign w:val="bottom"/>
            <w:tcBorders>
              <w:bottom w:val="single" w:sz="8" w:color="0233A1"/>
            </w:tcBorders>
          </w:tcPr>
          <w:p>
            <w:pPr>
              <w:spacing w:after="0"/>
              <w:rPr>
                <w:sz w:val="19"/>
                <w:szCs w:val="19"/>
                <w:color w:val="auto"/>
              </w:rPr>
            </w:pPr>
          </w:p>
        </w:tc>
        <w:tc>
          <w:tcPr>
            <w:tcW w:w="1340" w:type="dxa"/>
            <w:vAlign w:val="bottom"/>
            <w:tcBorders>
              <w:bottom w:val="single" w:sz="8" w:color="0233A1"/>
            </w:tcBorders>
          </w:tcPr>
          <w:p>
            <w:pPr>
              <w:spacing w:after="0"/>
              <w:rPr>
                <w:sz w:val="19"/>
                <w:szCs w:val="19"/>
                <w:color w:val="auto"/>
              </w:rPr>
            </w:pPr>
          </w:p>
        </w:tc>
        <w:tc>
          <w:tcPr>
            <w:tcW w:w="1380" w:type="dxa"/>
            <w:vAlign w:val="bottom"/>
            <w:tcBorders>
              <w:bottom w:val="single" w:sz="8" w:color="0233A1"/>
            </w:tcBorders>
          </w:tcPr>
          <w:p>
            <w:pPr>
              <w:spacing w:after="0"/>
              <w:rPr>
                <w:sz w:val="19"/>
                <w:szCs w:val="19"/>
                <w:color w:val="auto"/>
              </w:rPr>
            </w:pPr>
          </w:p>
        </w:tc>
        <w:tc>
          <w:tcPr>
            <w:tcW w:w="1360" w:type="dxa"/>
            <w:vAlign w:val="bottom"/>
            <w:tcBorders>
              <w:bottom w:val="single" w:sz="8" w:color="0233A1"/>
            </w:tcBorders>
          </w:tcPr>
          <w:p>
            <w:pPr>
              <w:spacing w:after="0"/>
              <w:rPr>
                <w:sz w:val="19"/>
                <w:szCs w:val="19"/>
                <w:color w:val="auto"/>
              </w:rPr>
            </w:pPr>
          </w:p>
        </w:tc>
        <w:tc>
          <w:tcPr>
            <w:tcW w:w="880" w:type="dxa"/>
            <w:vAlign w:val="bottom"/>
            <w:tcBorders>
              <w:bottom w:val="single" w:sz="8" w:color="0233A1"/>
            </w:tcBorders>
            <w:shd w:val="clear" w:color="auto" w:fill="EBECE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-153670</wp:posOffset>
            </wp:positionV>
            <wp:extent cx="4714875" cy="8890"/>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4714875" cy="8890"/>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-290830</wp:posOffset>
            </wp:positionV>
            <wp:extent cx="4714875" cy="8890"/>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47148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-702310</wp:posOffset>
            </wp:positionV>
            <wp:extent cx="7132320" cy="282575"/>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-1113790</wp:posOffset>
            </wp:positionV>
            <wp:extent cx="7132320" cy="283210"/>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-1525270</wp:posOffset>
            </wp:positionV>
            <wp:extent cx="7132320" cy="282575"/>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-1936750</wp:posOffset>
            </wp:positionV>
            <wp:extent cx="7132320" cy="283210"/>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7132320" cy="283210"/>
                    </a:xfrm>
                    <a:prstGeom prst="rect">
                      <a:avLst/>
                    </a:prstGeom>
                    <a:noFill/>
                  </pic:spPr>
                </pic:pic>
              </a:graphicData>
            </a:graphic>
          </wp:anchor>
        </w:drawing>
      </w:r>
    </w:p>
    <w:p>
      <w:pPr>
        <w:spacing w:after="0" w:line="38" w:lineRule="exact"/>
        <w:rPr>
          <w:sz w:val="20"/>
          <w:szCs w:val="20"/>
          <w:color w:val="auto"/>
        </w:rPr>
      </w:pPr>
    </w:p>
    <w:p>
      <w:pPr>
        <w:jc w:val="both"/>
        <w:ind w:left="340" w:hanging="332"/>
        <w:spacing w:after="0" w:line="247"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Includes the value of PSU and RSU awards. For 2023, each amount reflected in the “Stock Awards” column is the aggregate grant date fair value of (x) the 2023 FCF Margin PSUs, 2023 ROCE PSUs and 2023 TSR PSUs at target level performance, and (y) the 2023 RSUs that were granted to our NEOs. Each amount reflects an accounting expense and does not correspond to actual value that may be realized by an NEO in the future. The number of equity awards granted in 2023 to each NEO is provided in the Grants of Plan-Based Awards in 2023 table on page 51. PSUs and RSUs do not pay dividends or dividend equivalents or have voting rights prior to vesting. Accordingly, the fair value of the 2023 FCF Margin PSUs, 2023 ROCE PSUs and 2023 RSUs was the quoted market price of our common stock on the grant date less the present value of the expected dividends not received prior to vesting. The fair value of the 2023 TSR PSUs was determined based on a Monte Carlo simulation. Amounts may not add to the values shown in Grants of Plan-Based Awards in 2023 table due to rounding. Additional assumptions that we use in calculating these amounts are incorporated herein by reference to Note 12, “Stock-based Compensation Plans” to the Consolidated Financial Statements contained in our 2023 Annual Report.</w:t>
      </w:r>
    </w:p>
    <w:p>
      <w:pPr>
        <w:spacing w:after="0" w:line="24" w:lineRule="exact"/>
        <w:rPr>
          <w:rFonts w:ascii="Arial" w:cs="Arial" w:eastAsia="Arial" w:hAnsi="Arial"/>
          <w:sz w:val="14"/>
          <w:szCs w:val="14"/>
          <w:color w:val="auto"/>
        </w:rPr>
      </w:pPr>
    </w:p>
    <w:p>
      <w:pPr>
        <w:ind w:left="340" w:right="20"/>
        <w:spacing w:after="0" w:line="281" w:lineRule="auto"/>
        <w:rPr>
          <w:rFonts w:ascii="Arial" w:cs="Arial" w:eastAsia="Arial" w:hAnsi="Arial"/>
          <w:sz w:val="14"/>
          <w:szCs w:val="14"/>
          <w:color w:val="auto"/>
        </w:rPr>
      </w:pPr>
      <w:r>
        <w:rPr>
          <w:rFonts w:ascii="Arial" w:cs="Arial" w:eastAsia="Arial" w:hAnsi="Arial"/>
          <w:sz w:val="14"/>
          <w:szCs w:val="14"/>
          <w:color w:val="auto"/>
        </w:rPr>
        <w:t>The value of each NEO’s 2023 LTI grants at the grant date, assuming achievement of the maximum performance level for all PSUs, would be: Mr. Le Peuch — $24,000,091; Mr. Biguet — $7,000,044; Mr. Al Mogharbel — $7,000,044; Mr. Merad — $7,000,044; and Ms. Ralston — $6,399,819.</w:t>
      </w:r>
    </w:p>
    <w:p>
      <w:pPr>
        <w:spacing w:after="0" w:line="1" w:lineRule="exact"/>
        <w:rPr>
          <w:rFonts w:ascii="Arial" w:cs="Arial" w:eastAsia="Arial" w:hAnsi="Arial"/>
          <w:sz w:val="14"/>
          <w:szCs w:val="14"/>
          <w:color w:val="auto"/>
        </w:rPr>
      </w:pPr>
    </w:p>
    <w:p>
      <w:pPr>
        <w:ind w:left="340"/>
        <w:spacing w:after="0"/>
        <w:rPr>
          <w:rFonts w:ascii="Arial" w:cs="Arial" w:eastAsia="Arial" w:hAnsi="Arial"/>
          <w:sz w:val="14"/>
          <w:szCs w:val="14"/>
          <w:color w:val="auto"/>
        </w:rPr>
      </w:pPr>
      <w:r>
        <w:rPr>
          <w:rFonts w:ascii="Arial" w:cs="Arial" w:eastAsia="Arial" w:hAnsi="Arial"/>
          <w:sz w:val="14"/>
          <w:szCs w:val="14"/>
          <w:color w:val="auto"/>
        </w:rPr>
        <w:t>The NEOs may never realize any value from these LTI grants and, to the extent that they do, the amounts realized may have no correlation to the amounts reported above.</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STI awards to our NEOs are reflected in the “Non-Equity Incentive Plan Compensation” column; as a result, we have excluded the “Bonus” column.</w:t>
      </w:r>
    </w:p>
    <w:p>
      <w:pPr>
        <w:spacing w:after="0" w:line="55" w:lineRule="exact"/>
        <w:rPr>
          <w:rFonts w:ascii="Arial" w:cs="Arial" w:eastAsia="Arial" w:hAnsi="Arial"/>
          <w:sz w:val="14"/>
          <w:szCs w:val="14"/>
          <w:color w:val="auto"/>
        </w:rPr>
      </w:pPr>
    </w:p>
    <w:p>
      <w:pPr>
        <w:jc w:val="both"/>
        <w:ind w:left="340" w:hanging="332"/>
        <w:spacing w:after="0" w:line="256"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changes in pension value reported in this column represent the increase in the actuarial present value of an NEO’s accumulated benefit under all benefit and actuarial pension plans in which the NEO participates. This change in present value is not a current cash payment. It represents the change in the value of the NEO’s pensions, which are only paid after retirement. There are no nonqualified deferred compensation earnings reflected in this column because no NEO received above-market or preferential earnings on such compensation during 2023, 2022 or 2021.</w:t>
      </w:r>
    </w:p>
    <w:p>
      <w:pPr>
        <w:spacing w:after="0" w:line="15" w:lineRule="exact"/>
        <w:rPr>
          <w:rFonts w:ascii="Arial" w:cs="Arial" w:eastAsia="Arial" w:hAnsi="Arial"/>
          <w:sz w:val="14"/>
          <w:szCs w:val="14"/>
          <w:color w:val="auto"/>
        </w:rPr>
      </w:pPr>
    </w:p>
    <w:p>
      <w:pPr>
        <w:jc w:val="both"/>
        <w:ind w:left="340" w:hanging="332"/>
        <w:spacing w:after="0" w:line="247"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Relocation assistance is provided to all employees on a company-wide basis. The amount disclosed for Mr. Le Peuch consists of unfunded credits to the Restoration Savings Plan ($94,493), employer contributions to the SLB 401(k) Plan ($16,500), financial planning services ($13,800), and housing allowance ($50,052). The amount disclosed for Mr. Biguet consists of unfunded credits to the Restoration Savings Plan ($36,320), employer contributions to the SLB 401(k) Plan ($16,500), financial planning services ($13,800), and housing allowance ($50,052). The amount disclosed for Mr. Al Mogharbel consists of unfunded credits to the Restoration Savings Plan ($78,075), employer contributions to the SLB 401(k) Plan ($26,400), and financial planning services ($13,800). The amount disclosed for Mr. Merad consists of unfunded credits to the Restoration Savings Plan ($65,409), employer contributions to the SLB 401(k) Plan ($26,400), financial planning services ($13,800), vacation travel allowance ($22,856), and children’s education ($106,942). The amount disclosed for Ms. Ralston consists of unfunded credits to the Restoration Savings Plan ($30,038), employer contributions to the SLB 401(k) Plan ($26,400), financial planning services ($13,800), and club membership ($8,197).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471170" cy="282575"/>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471170" cy="282575"/>
                    </a:xfrm>
                    <a:prstGeom prst="rect">
                      <a:avLst/>
                    </a:prstGeom>
                    <a:noFill/>
                  </pic:spPr>
                </pic:pic>
              </a:graphicData>
            </a:graphic>
          </wp:anchor>
        </w:drawing>
      </w:r>
    </w:p>
    <w:p>
      <w:pPr>
        <w:spacing w:after="0" w:line="351" w:lineRule="exact"/>
        <w:rPr>
          <w:sz w:val="20"/>
          <w:szCs w:val="20"/>
          <w:color w:val="auto"/>
        </w:rPr>
      </w:pPr>
    </w:p>
    <w:p>
      <w:pPr>
        <w:ind w:left="5540"/>
        <w:spacing w:after="0"/>
        <w:tabs>
          <w:tab w:leader="none" w:pos="9540" w:val="left"/>
        </w:tabs>
        <w:rPr>
          <w:sz w:val="20"/>
          <w:szCs w:val="20"/>
          <w:color w:val="auto"/>
        </w:rPr>
      </w:pPr>
      <w:r>
        <w:rPr>
          <w:rFonts w:ascii="Arial" w:cs="Arial" w:eastAsia="Arial" w:hAnsi="Arial"/>
          <w:sz w:val="16"/>
          <w:szCs w:val="16"/>
          <w:b w:val="1"/>
          <w:bCs w:val="1"/>
          <w:color w:val="auto"/>
        </w:rPr>
        <w:t>50</w:t>
      </w:r>
      <w:r>
        <w:rPr>
          <w:sz w:val="20"/>
          <w:szCs w:val="20"/>
          <w:color w:val="auto"/>
        </w:rPr>
        <w:tab/>
      </w:r>
      <w:r>
        <w:rPr>
          <w:rFonts w:ascii="Arial" w:cs="Arial" w:eastAsia="Arial" w:hAnsi="Arial"/>
          <w:sz w:val="16"/>
          <w:szCs w:val="16"/>
          <w:b w:val="1"/>
          <w:bCs w:val="1"/>
          <w:color w:val="636466"/>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-29845</wp:posOffset>
            </wp:positionV>
            <wp:extent cx="5417820" cy="17145"/>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34290"/>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55" w:name="page56"/>
    <w:bookmarkEnd w:id="55"/>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color w:val="16458B"/>
        </w:rPr>
        <w:t>Grants of Plan-Based Awards in 2023</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provides additional information regarding cash incentive and PSU and RSU awards granted to our NEOs in 2023.</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8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58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0233A1"/>
              </w:rPr>
              <w:t>Estimated Possible Payouts</w:t>
            </w:r>
          </w:p>
        </w:tc>
        <w:tc>
          <w:tcPr>
            <w:tcW w:w="240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0233A1"/>
              </w:rPr>
              <w:t>Estimated Possible Payouts</w:t>
            </w: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153"/>
              <w:spacing w:after="0"/>
              <w:rPr>
                <w:sz w:val="20"/>
                <w:szCs w:val="20"/>
                <w:color w:val="auto"/>
              </w:rPr>
            </w:pPr>
            <w:r>
              <w:rPr>
                <w:rFonts w:ascii="Arial" w:cs="Arial" w:eastAsia="Arial" w:hAnsi="Arial"/>
                <w:sz w:val="16"/>
                <w:szCs w:val="16"/>
                <w:b w:val="1"/>
                <w:bCs w:val="1"/>
                <w:color w:val="0233A1"/>
              </w:rPr>
              <w:t>Grant Date</w:t>
            </w: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58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0233A1"/>
              </w:rPr>
              <w:t>Under Non-Equity Incentive</w:t>
            </w:r>
          </w:p>
        </w:tc>
        <w:tc>
          <w:tcPr>
            <w:tcW w:w="240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0233A1"/>
              </w:rPr>
              <w:t>Under Equity Incentive</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0233A1"/>
              </w:rPr>
              <w:t>All Other</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0233A1"/>
              </w:rPr>
              <w:t>Fair Value</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8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580" w:type="dxa"/>
            <w:vAlign w:val="bottom"/>
            <w:gridSpan w:val="4"/>
          </w:tcPr>
          <w:p>
            <w:pPr>
              <w:jc w:val="center"/>
              <w:ind w:right="140"/>
              <w:spacing w:after="0" w:line="243" w:lineRule="exact"/>
              <w:rPr>
                <w:sz w:val="20"/>
                <w:szCs w:val="20"/>
                <w:color w:val="auto"/>
              </w:rPr>
            </w:pPr>
            <w:r>
              <w:rPr>
                <w:rFonts w:ascii="Arial" w:cs="Arial" w:eastAsia="Arial" w:hAnsi="Arial"/>
                <w:sz w:val="16"/>
                <w:szCs w:val="16"/>
                <w:b w:val="1"/>
                <w:bCs w:val="1"/>
                <w:color w:val="0233A1"/>
                <w:w w:val="95"/>
              </w:rPr>
              <w:t>Plan Awards</w:t>
            </w:r>
            <w:r>
              <w:rPr>
                <w:rFonts w:ascii="Arial" w:cs="Arial" w:eastAsia="Arial" w:hAnsi="Arial"/>
                <w:sz w:val="26"/>
                <w:szCs w:val="26"/>
                <w:b w:val="1"/>
                <w:bCs w:val="1"/>
                <w:color w:val="0233A1"/>
                <w:w w:val="95"/>
                <w:vertAlign w:val="superscript"/>
              </w:rPr>
              <w:t>(2)</w:t>
            </w:r>
          </w:p>
        </w:tc>
        <w:tc>
          <w:tcPr>
            <w:tcW w:w="2400" w:type="dxa"/>
            <w:vAlign w:val="bottom"/>
            <w:gridSpan w:val="4"/>
          </w:tcPr>
          <w:p>
            <w:pPr>
              <w:jc w:val="center"/>
              <w:ind w:right="60"/>
              <w:spacing w:after="0" w:line="243" w:lineRule="exact"/>
              <w:rPr>
                <w:sz w:val="20"/>
                <w:szCs w:val="20"/>
                <w:color w:val="auto"/>
              </w:rPr>
            </w:pPr>
            <w:r>
              <w:rPr>
                <w:rFonts w:ascii="Arial" w:cs="Arial" w:eastAsia="Arial" w:hAnsi="Arial"/>
                <w:sz w:val="16"/>
                <w:szCs w:val="16"/>
                <w:b w:val="1"/>
                <w:bCs w:val="1"/>
                <w:color w:val="0233A1"/>
                <w:w w:val="97"/>
              </w:rPr>
              <w:t>Plan Awards</w:t>
            </w:r>
            <w:r>
              <w:rPr>
                <w:rFonts w:ascii="Arial" w:cs="Arial" w:eastAsia="Arial" w:hAnsi="Arial"/>
                <w:sz w:val="26"/>
                <w:szCs w:val="26"/>
                <w:b w:val="1"/>
                <w:bCs w:val="1"/>
                <w:color w:val="0233A1"/>
                <w:w w:val="97"/>
                <w:vertAlign w:val="superscript"/>
              </w:rPr>
              <w:t>(3)</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0233A1"/>
              </w:rPr>
              <w:t>Stock</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0233A1"/>
              </w:rPr>
              <w:t>of Stock</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1800" w:type="dxa"/>
            <w:vAlign w:val="bottom"/>
            <w:vMerge w:val="restart"/>
          </w:tcPr>
          <w:p>
            <w:pPr>
              <w:ind w:left="60"/>
              <w:spacing w:after="0"/>
              <w:rPr>
                <w:sz w:val="20"/>
                <w:szCs w:val="20"/>
                <w:color w:val="auto"/>
              </w:rPr>
            </w:pPr>
            <w:r>
              <w:rPr>
                <w:rFonts w:ascii="Arial" w:cs="Arial" w:eastAsia="Arial" w:hAnsi="Arial"/>
                <w:sz w:val="16"/>
                <w:szCs w:val="16"/>
                <w:b w:val="1"/>
                <w:bCs w:val="1"/>
                <w:color w:val="0233A1"/>
              </w:rPr>
              <w:t>Name</w:t>
            </w:r>
          </w:p>
        </w:tc>
        <w:tc>
          <w:tcPr>
            <w:tcW w:w="1740" w:type="dxa"/>
            <w:vAlign w:val="bottom"/>
          </w:tcPr>
          <w:p>
            <w:pPr>
              <w:jc w:val="right"/>
              <w:ind w:right="40"/>
              <w:spacing w:after="0" w:line="185" w:lineRule="exact"/>
              <w:rPr>
                <w:sz w:val="20"/>
                <w:szCs w:val="20"/>
                <w:color w:val="auto"/>
              </w:rPr>
            </w:pPr>
            <w:r>
              <w:rPr>
                <w:rFonts w:ascii="Arial" w:cs="Arial" w:eastAsia="Arial" w:hAnsi="Arial"/>
                <w:sz w:val="14"/>
                <w:szCs w:val="14"/>
                <w:b w:val="1"/>
                <w:bCs w:val="1"/>
                <w:color w:val="0233A1"/>
              </w:rPr>
              <w:t>Award</w:t>
            </w:r>
            <w:r>
              <w:rPr>
                <w:rFonts w:ascii="Arial" w:cs="Arial" w:eastAsia="Arial" w:hAnsi="Arial"/>
                <w:sz w:val="21"/>
                <w:szCs w:val="21"/>
                <w:b w:val="1"/>
                <w:bCs w:val="1"/>
                <w:color w:val="0233A1"/>
                <w:vertAlign w:val="subscript"/>
              </w:rPr>
              <w:t>(1)</w:t>
            </w:r>
          </w:p>
        </w:tc>
        <w:tc>
          <w:tcPr>
            <w:tcW w:w="740" w:type="dxa"/>
            <w:vAlign w:val="bottom"/>
          </w:tcPr>
          <w:p>
            <w:pPr>
              <w:jc w:val="right"/>
              <w:ind w:right="59"/>
              <w:spacing w:after="0"/>
              <w:rPr>
                <w:sz w:val="20"/>
                <w:szCs w:val="20"/>
                <w:color w:val="auto"/>
              </w:rPr>
            </w:pPr>
            <w:r>
              <w:rPr>
                <w:rFonts w:ascii="Arial" w:cs="Arial" w:eastAsia="Arial" w:hAnsi="Arial"/>
                <w:sz w:val="16"/>
                <w:szCs w:val="16"/>
                <w:b w:val="1"/>
                <w:bCs w:val="1"/>
                <w:color w:val="0233A1"/>
              </w:rPr>
              <w:t>Grant</w:t>
            </w:r>
          </w:p>
        </w:tc>
        <w:tc>
          <w:tcPr>
            <w:tcW w:w="860" w:type="dxa"/>
            <w:vAlign w:val="bottom"/>
            <w:tcBorders>
              <w:top w:val="single" w:sz="8" w:color="0233A1"/>
            </w:tcBorders>
          </w:tcPr>
          <w:p>
            <w:pPr>
              <w:jc w:val="right"/>
              <w:spacing w:after="0"/>
              <w:rPr>
                <w:sz w:val="20"/>
                <w:szCs w:val="20"/>
                <w:color w:val="auto"/>
              </w:rPr>
            </w:pPr>
            <w:r>
              <w:rPr>
                <w:rFonts w:ascii="Arial" w:cs="Arial" w:eastAsia="Arial" w:hAnsi="Arial"/>
                <w:sz w:val="16"/>
                <w:szCs w:val="16"/>
                <w:b w:val="1"/>
                <w:bCs w:val="1"/>
                <w:color w:val="0233A1"/>
              </w:rPr>
              <w:t>Threshold</w:t>
            </w:r>
          </w:p>
        </w:tc>
        <w:tc>
          <w:tcPr>
            <w:tcW w:w="820" w:type="dxa"/>
            <w:vAlign w:val="bottom"/>
            <w:tcBorders>
              <w:top w:val="single" w:sz="8" w:color="0233A1"/>
            </w:tcBorders>
          </w:tcPr>
          <w:p>
            <w:pPr>
              <w:jc w:val="right"/>
              <w:spacing w:after="0"/>
              <w:rPr>
                <w:sz w:val="20"/>
                <w:szCs w:val="20"/>
                <w:color w:val="auto"/>
              </w:rPr>
            </w:pPr>
            <w:r>
              <w:rPr>
                <w:rFonts w:ascii="Arial" w:cs="Arial" w:eastAsia="Arial" w:hAnsi="Arial"/>
                <w:sz w:val="16"/>
                <w:szCs w:val="16"/>
                <w:b w:val="1"/>
                <w:bCs w:val="1"/>
                <w:color w:val="0233A1"/>
              </w:rPr>
              <w:t>Target</w:t>
            </w:r>
          </w:p>
        </w:tc>
        <w:tc>
          <w:tcPr>
            <w:tcW w:w="800" w:type="dxa"/>
            <w:vAlign w:val="bottom"/>
            <w:tcBorders>
              <w:top w:val="single" w:sz="8" w:color="0233A1"/>
            </w:tcBorders>
          </w:tcPr>
          <w:p>
            <w:pPr>
              <w:jc w:val="right"/>
              <w:spacing w:after="0"/>
              <w:rPr>
                <w:sz w:val="20"/>
                <w:szCs w:val="20"/>
                <w:color w:val="auto"/>
              </w:rPr>
            </w:pPr>
            <w:r>
              <w:rPr>
                <w:rFonts w:ascii="Arial" w:cs="Arial" w:eastAsia="Arial" w:hAnsi="Arial"/>
                <w:sz w:val="16"/>
                <w:szCs w:val="16"/>
                <w:b w:val="1"/>
                <w:bCs w:val="1"/>
                <w:color w:val="0233A1"/>
              </w:rPr>
              <w:t>Maximum</w:t>
            </w:r>
          </w:p>
        </w:tc>
        <w:tc>
          <w:tcPr>
            <w:tcW w:w="100" w:type="dxa"/>
            <w:vAlign w:val="bottom"/>
          </w:tcPr>
          <w:p>
            <w:pPr>
              <w:spacing w:after="0"/>
              <w:rPr>
                <w:sz w:val="16"/>
                <w:szCs w:val="16"/>
                <w:color w:val="auto"/>
              </w:rPr>
            </w:pPr>
          </w:p>
        </w:tc>
        <w:tc>
          <w:tcPr>
            <w:tcW w:w="860" w:type="dxa"/>
            <w:vAlign w:val="bottom"/>
            <w:tcBorders>
              <w:top w:val="single" w:sz="8" w:color="0233A1"/>
            </w:tcBorders>
          </w:tcPr>
          <w:p>
            <w:pPr>
              <w:jc w:val="right"/>
              <w:spacing w:after="0"/>
              <w:rPr>
                <w:sz w:val="20"/>
                <w:szCs w:val="20"/>
                <w:color w:val="auto"/>
              </w:rPr>
            </w:pPr>
            <w:r>
              <w:rPr>
                <w:rFonts w:ascii="Arial" w:cs="Arial" w:eastAsia="Arial" w:hAnsi="Arial"/>
                <w:sz w:val="16"/>
                <w:szCs w:val="16"/>
                <w:b w:val="1"/>
                <w:bCs w:val="1"/>
                <w:color w:val="0233A1"/>
                <w:w w:val="98"/>
              </w:rPr>
              <w:t>Threshold</w:t>
            </w:r>
          </w:p>
        </w:tc>
        <w:tc>
          <w:tcPr>
            <w:tcW w:w="680" w:type="dxa"/>
            <w:vAlign w:val="bottom"/>
            <w:tcBorders>
              <w:top w:val="single" w:sz="8" w:color="0233A1"/>
            </w:tcBorders>
          </w:tcPr>
          <w:p>
            <w:pPr>
              <w:ind w:left="100"/>
              <w:spacing w:after="0"/>
              <w:rPr>
                <w:sz w:val="20"/>
                <w:szCs w:val="20"/>
                <w:color w:val="auto"/>
              </w:rPr>
            </w:pPr>
            <w:r>
              <w:rPr>
                <w:rFonts w:ascii="Arial" w:cs="Arial" w:eastAsia="Arial" w:hAnsi="Arial"/>
                <w:sz w:val="16"/>
                <w:szCs w:val="16"/>
                <w:b w:val="1"/>
                <w:bCs w:val="1"/>
                <w:color w:val="0233A1"/>
              </w:rPr>
              <w:t>Target</w:t>
            </w:r>
          </w:p>
        </w:tc>
        <w:tc>
          <w:tcPr>
            <w:tcW w:w="800" w:type="dxa"/>
            <w:vAlign w:val="bottom"/>
            <w:tcBorders>
              <w:top w:val="single" w:sz="8" w:color="0233A1"/>
            </w:tcBorders>
          </w:tcPr>
          <w:p>
            <w:pPr>
              <w:jc w:val="right"/>
              <w:spacing w:after="0"/>
              <w:rPr>
                <w:sz w:val="20"/>
                <w:szCs w:val="20"/>
                <w:color w:val="auto"/>
              </w:rPr>
            </w:pPr>
            <w:r>
              <w:rPr>
                <w:rFonts w:ascii="Arial" w:cs="Arial" w:eastAsia="Arial" w:hAnsi="Arial"/>
                <w:sz w:val="16"/>
                <w:szCs w:val="16"/>
                <w:b w:val="1"/>
                <w:bCs w:val="1"/>
                <w:color w:val="0233A1"/>
              </w:rPr>
              <w:t>Maximum</w:t>
            </w:r>
          </w:p>
        </w:tc>
        <w:tc>
          <w:tcPr>
            <w:tcW w:w="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0233A1"/>
              </w:rPr>
              <w:t>Awards</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0233A1"/>
                <w:w w:val="87"/>
              </w:rPr>
              <w:t>(4)</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0233A1"/>
              </w:rPr>
              <w:t>Awards</w:t>
            </w:r>
          </w:p>
        </w:tc>
        <w:tc>
          <w:tcPr>
            <w:tcW w:w="220" w:type="dxa"/>
            <w:vAlign w:val="bottom"/>
          </w:tcPr>
          <w:p>
            <w:pPr>
              <w:jc w:val="right"/>
              <w:spacing w:after="0"/>
              <w:rPr>
                <w:sz w:val="20"/>
                <w:szCs w:val="20"/>
                <w:color w:val="auto"/>
              </w:rPr>
            </w:pPr>
            <w:r>
              <w:rPr>
                <w:rFonts w:ascii="Arial" w:cs="Arial" w:eastAsia="Arial" w:hAnsi="Arial"/>
                <w:sz w:val="13"/>
                <w:szCs w:val="13"/>
                <w:b w:val="1"/>
                <w:bCs w:val="1"/>
                <w:color w:val="0233A1"/>
                <w:w w:val="87"/>
              </w:rPr>
              <w:t>(5)</w:t>
            </w:r>
          </w:p>
        </w:tc>
        <w:tc>
          <w:tcPr>
            <w:tcW w:w="0" w:type="dxa"/>
            <w:vAlign w:val="bottom"/>
          </w:tcPr>
          <w:p>
            <w:pPr>
              <w:spacing w:after="0"/>
              <w:rPr>
                <w:sz w:val="1"/>
                <w:szCs w:val="1"/>
                <w:color w:val="auto"/>
              </w:rPr>
            </w:pPr>
          </w:p>
        </w:tc>
      </w:tr>
      <w:tr>
        <w:trPr>
          <w:trHeight w:val="201"/>
        </w:trPr>
        <w:tc>
          <w:tcPr>
            <w:tcW w:w="1800" w:type="dxa"/>
            <w:vAlign w:val="bottom"/>
            <w:tcBorders>
              <w:bottom w:val="single" w:sz="8" w:color="0233A1"/>
            </w:tcBorders>
            <w:vMerge w:val="continue"/>
          </w:tcPr>
          <w:p>
            <w:pPr>
              <w:spacing w:after="0"/>
              <w:rPr>
                <w:sz w:val="17"/>
                <w:szCs w:val="17"/>
                <w:color w:val="auto"/>
              </w:rPr>
            </w:pPr>
          </w:p>
        </w:tc>
        <w:tc>
          <w:tcPr>
            <w:tcW w:w="1740" w:type="dxa"/>
            <w:vAlign w:val="bottom"/>
            <w:tcBorders>
              <w:bottom w:val="single" w:sz="8" w:color="0233A1"/>
            </w:tcBorders>
          </w:tcPr>
          <w:p>
            <w:pPr>
              <w:jc w:val="right"/>
              <w:ind w:right="220"/>
              <w:spacing w:after="0"/>
              <w:rPr>
                <w:sz w:val="20"/>
                <w:szCs w:val="20"/>
                <w:color w:val="auto"/>
              </w:rPr>
            </w:pPr>
            <w:r>
              <w:rPr>
                <w:rFonts w:ascii="Arial" w:cs="Arial" w:eastAsia="Arial" w:hAnsi="Arial"/>
                <w:sz w:val="16"/>
                <w:szCs w:val="16"/>
                <w:b w:val="1"/>
                <w:bCs w:val="1"/>
                <w:color w:val="0233A1"/>
              </w:rPr>
              <w:t>Type</w:t>
            </w:r>
          </w:p>
        </w:tc>
        <w:tc>
          <w:tcPr>
            <w:tcW w:w="740" w:type="dxa"/>
            <w:vAlign w:val="bottom"/>
            <w:tcBorders>
              <w:bottom w:val="single" w:sz="8" w:color="0233A1"/>
            </w:tcBorders>
          </w:tcPr>
          <w:p>
            <w:pPr>
              <w:jc w:val="right"/>
              <w:spacing w:after="0"/>
              <w:rPr>
                <w:sz w:val="20"/>
                <w:szCs w:val="20"/>
                <w:color w:val="auto"/>
              </w:rPr>
            </w:pPr>
            <w:r>
              <w:rPr>
                <w:rFonts w:ascii="Arial" w:cs="Arial" w:eastAsia="Arial" w:hAnsi="Arial"/>
                <w:sz w:val="16"/>
                <w:szCs w:val="16"/>
                <w:b w:val="1"/>
                <w:bCs w:val="1"/>
                <w:color w:val="0233A1"/>
              </w:rPr>
              <w:t>Date</w:t>
            </w:r>
          </w:p>
        </w:tc>
        <w:tc>
          <w:tcPr>
            <w:tcW w:w="860" w:type="dxa"/>
            <w:vAlign w:val="bottom"/>
            <w:tcBorders>
              <w:bottom w:val="single" w:sz="8" w:color="0233A1"/>
            </w:tcBorders>
          </w:tcPr>
          <w:p>
            <w:pPr>
              <w:jc w:val="right"/>
              <w:spacing w:after="0"/>
              <w:rPr>
                <w:sz w:val="20"/>
                <w:szCs w:val="20"/>
                <w:color w:val="auto"/>
              </w:rPr>
            </w:pPr>
            <w:r>
              <w:rPr>
                <w:rFonts w:ascii="Arial" w:cs="Arial" w:eastAsia="Arial" w:hAnsi="Arial"/>
                <w:sz w:val="16"/>
                <w:szCs w:val="16"/>
                <w:b w:val="1"/>
                <w:bCs w:val="1"/>
                <w:color w:val="0233A1"/>
              </w:rPr>
              <w:t>($)</w:t>
            </w:r>
          </w:p>
        </w:tc>
        <w:tc>
          <w:tcPr>
            <w:tcW w:w="820" w:type="dxa"/>
            <w:vAlign w:val="bottom"/>
            <w:tcBorders>
              <w:bottom w:val="single" w:sz="8" w:color="0233A1"/>
            </w:tcBorders>
          </w:tcPr>
          <w:p>
            <w:pPr>
              <w:jc w:val="right"/>
              <w:spacing w:after="0"/>
              <w:rPr>
                <w:sz w:val="20"/>
                <w:szCs w:val="20"/>
                <w:color w:val="auto"/>
              </w:rPr>
            </w:pPr>
            <w:r>
              <w:rPr>
                <w:rFonts w:ascii="Arial" w:cs="Arial" w:eastAsia="Arial" w:hAnsi="Arial"/>
                <w:sz w:val="16"/>
                <w:szCs w:val="16"/>
                <w:b w:val="1"/>
                <w:bCs w:val="1"/>
                <w:color w:val="0233A1"/>
              </w:rPr>
              <w:t>($)</w:t>
            </w:r>
          </w:p>
        </w:tc>
        <w:tc>
          <w:tcPr>
            <w:tcW w:w="900" w:type="dxa"/>
            <w:vAlign w:val="bottom"/>
            <w:tcBorders>
              <w:bottom w:val="single" w:sz="8" w:color="0233A1"/>
            </w:tcBorders>
            <w:gridSpan w:val="2"/>
          </w:tcPr>
          <w:p>
            <w:pPr>
              <w:jc w:val="right"/>
              <w:ind w:right="100"/>
              <w:spacing w:after="0"/>
              <w:rPr>
                <w:sz w:val="20"/>
                <w:szCs w:val="20"/>
                <w:color w:val="auto"/>
              </w:rPr>
            </w:pPr>
            <w:r>
              <w:rPr>
                <w:rFonts w:ascii="Arial" w:cs="Arial" w:eastAsia="Arial" w:hAnsi="Arial"/>
                <w:sz w:val="16"/>
                <w:szCs w:val="16"/>
                <w:b w:val="1"/>
                <w:bCs w:val="1"/>
                <w:color w:val="0233A1"/>
              </w:rPr>
              <w:t>($)</w:t>
            </w:r>
          </w:p>
        </w:tc>
        <w:tc>
          <w:tcPr>
            <w:tcW w:w="860" w:type="dxa"/>
            <w:vAlign w:val="bottom"/>
            <w:tcBorders>
              <w:bottom w:val="single" w:sz="8" w:color="0233A1"/>
            </w:tcBorders>
          </w:tcPr>
          <w:p>
            <w:pPr>
              <w:jc w:val="right"/>
              <w:spacing w:after="0"/>
              <w:rPr>
                <w:sz w:val="20"/>
                <w:szCs w:val="20"/>
                <w:color w:val="auto"/>
              </w:rPr>
            </w:pPr>
            <w:r>
              <w:rPr>
                <w:rFonts w:ascii="Arial" w:cs="Arial" w:eastAsia="Arial" w:hAnsi="Arial"/>
                <w:sz w:val="16"/>
                <w:szCs w:val="16"/>
                <w:b w:val="1"/>
                <w:bCs w:val="1"/>
                <w:color w:val="0233A1"/>
              </w:rPr>
              <w:t>(#)</w:t>
            </w:r>
          </w:p>
        </w:tc>
        <w:tc>
          <w:tcPr>
            <w:tcW w:w="680" w:type="dxa"/>
            <w:vAlign w:val="bottom"/>
            <w:tcBorders>
              <w:bottom w:val="single" w:sz="8" w:color="0233A1"/>
            </w:tcBorders>
          </w:tcPr>
          <w:p>
            <w:pPr>
              <w:ind w:left="440"/>
              <w:spacing w:after="0"/>
              <w:rPr>
                <w:sz w:val="20"/>
                <w:szCs w:val="20"/>
                <w:color w:val="auto"/>
              </w:rPr>
            </w:pPr>
            <w:r>
              <w:rPr>
                <w:rFonts w:ascii="Arial" w:cs="Arial" w:eastAsia="Arial" w:hAnsi="Arial"/>
                <w:sz w:val="16"/>
                <w:szCs w:val="16"/>
                <w:b w:val="1"/>
                <w:bCs w:val="1"/>
                <w:color w:val="0233A1"/>
              </w:rPr>
              <w:t>(#)</w:t>
            </w:r>
          </w:p>
        </w:tc>
        <w:tc>
          <w:tcPr>
            <w:tcW w:w="860" w:type="dxa"/>
            <w:vAlign w:val="bottom"/>
            <w:tcBorders>
              <w:bottom w:val="single" w:sz="8" w:color="0233A1"/>
            </w:tcBorders>
            <w:gridSpan w:val="2"/>
          </w:tcPr>
          <w:p>
            <w:pPr>
              <w:jc w:val="right"/>
              <w:ind w:right="60"/>
              <w:spacing w:after="0"/>
              <w:rPr>
                <w:sz w:val="20"/>
                <w:szCs w:val="20"/>
                <w:color w:val="auto"/>
              </w:rPr>
            </w:pPr>
            <w:r>
              <w:rPr>
                <w:rFonts w:ascii="Arial" w:cs="Arial" w:eastAsia="Arial" w:hAnsi="Arial"/>
                <w:sz w:val="16"/>
                <w:szCs w:val="16"/>
                <w:b w:val="1"/>
                <w:bCs w:val="1"/>
                <w:color w:val="0233A1"/>
              </w:rPr>
              <w:t>(#)</w:t>
            </w:r>
          </w:p>
        </w:tc>
        <w:tc>
          <w:tcPr>
            <w:tcW w:w="720" w:type="dxa"/>
            <w:vAlign w:val="bottom"/>
            <w:tcBorders>
              <w:bottom w:val="single" w:sz="8" w:color="0233A1"/>
            </w:tcBorders>
          </w:tcPr>
          <w:p>
            <w:pPr>
              <w:jc w:val="right"/>
              <w:spacing w:after="0"/>
              <w:rPr>
                <w:sz w:val="20"/>
                <w:szCs w:val="20"/>
                <w:color w:val="auto"/>
              </w:rPr>
            </w:pPr>
            <w:r>
              <w:rPr>
                <w:rFonts w:ascii="Arial" w:cs="Arial" w:eastAsia="Arial" w:hAnsi="Arial"/>
                <w:sz w:val="16"/>
                <w:szCs w:val="16"/>
                <w:b w:val="1"/>
                <w:bCs w:val="1"/>
                <w:color w:val="0233A1"/>
              </w:rPr>
              <w:t>(#)</w:t>
            </w:r>
          </w:p>
        </w:tc>
        <w:tc>
          <w:tcPr>
            <w:tcW w:w="200" w:type="dxa"/>
            <w:vAlign w:val="bottom"/>
            <w:tcBorders>
              <w:bottom w:val="single" w:sz="8" w:color="0233A1"/>
            </w:tcBorders>
          </w:tcPr>
          <w:p>
            <w:pPr>
              <w:spacing w:after="0"/>
              <w:rPr>
                <w:sz w:val="17"/>
                <w:szCs w:val="17"/>
                <w:color w:val="auto"/>
              </w:rPr>
            </w:pPr>
          </w:p>
        </w:tc>
        <w:tc>
          <w:tcPr>
            <w:tcW w:w="840" w:type="dxa"/>
            <w:vAlign w:val="bottom"/>
            <w:tcBorders>
              <w:bottom w:val="single" w:sz="8" w:color="0233A1"/>
            </w:tcBorders>
          </w:tcPr>
          <w:p>
            <w:pPr>
              <w:jc w:val="right"/>
              <w:spacing w:after="0"/>
              <w:rPr>
                <w:sz w:val="20"/>
                <w:szCs w:val="20"/>
                <w:color w:val="auto"/>
              </w:rPr>
            </w:pPr>
            <w:r>
              <w:rPr>
                <w:rFonts w:ascii="Arial" w:cs="Arial" w:eastAsia="Arial" w:hAnsi="Arial"/>
                <w:sz w:val="16"/>
                <w:szCs w:val="16"/>
                <w:b w:val="1"/>
                <w:bCs w:val="1"/>
                <w:color w:val="0233A1"/>
              </w:rPr>
              <w:t>($)</w:t>
            </w:r>
          </w:p>
        </w:tc>
        <w:tc>
          <w:tcPr>
            <w:tcW w:w="220" w:type="dxa"/>
            <w:vAlign w:val="bottom"/>
            <w:tcBorders>
              <w:bottom w:val="single" w:sz="8" w:color="0233A1"/>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800" w:type="dxa"/>
            <w:vAlign w:val="bottom"/>
          </w:tcPr>
          <w:p>
            <w:pPr>
              <w:ind w:left="60"/>
              <w:spacing w:after="0"/>
              <w:rPr>
                <w:sz w:val="20"/>
                <w:szCs w:val="20"/>
                <w:color w:val="auto"/>
              </w:rPr>
            </w:pPr>
            <w:r>
              <w:rPr>
                <w:rFonts w:ascii="Arial" w:cs="Arial" w:eastAsia="Arial" w:hAnsi="Arial"/>
                <w:sz w:val="16"/>
                <w:szCs w:val="16"/>
                <w:color w:val="auto"/>
              </w:rPr>
              <w:t>O. Le Peuch</w:t>
            </w:r>
          </w:p>
        </w:tc>
        <w:tc>
          <w:tcPr>
            <w:tcW w:w="1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818,400</w:t>
            </w:r>
          </w:p>
        </w:tc>
        <w:tc>
          <w:tcPr>
            <w:tcW w:w="820" w:type="dxa"/>
            <w:vAlign w:val="bottom"/>
          </w:tcPr>
          <w:p>
            <w:pPr>
              <w:jc w:val="right"/>
              <w:spacing w:after="0"/>
              <w:rPr>
                <w:sz w:val="20"/>
                <w:szCs w:val="20"/>
                <w:color w:val="auto"/>
              </w:rPr>
            </w:pPr>
            <w:r>
              <w:rPr>
                <w:rFonts w:ascii="Arial" w:cs="Arial" w:eastAsia="Arial" w:hAnsi="Arial"/>
                <w:sz w:val="16"/>
                <w:szCs w:val="16"/>
                <w:color w:val="auto"/>
              </w:rPr>
              <w:t>2,092,500</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4,652,325</w:t>
            </w: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740" w:type="dxa"/>
            <w:vAlign w:val="bottom"/>
          </w:tcPr>
          <w:p>
            <w:pPr>
              <w:jc w:val="right"/>
              <w:ind w:right="220"/>
              <w:spacing w:after="0"/>
              <w:rPr>
                <w:sz w:val="20"/>
                <w:szCs w:val="20"/>
                <w:color w:val="auto"/>
              </w:rPr>
            </w:pPr>
            <w:r>
              <w:rPr>
                <w:rFonts w:ascii="Arial" w:cs="Arial" w:eastAsia="Arial" w:hAnsi="Arial"/>
                <w:sz w:val="16"/>
                <w:szCs w:val="16"/>
                <w:color w:val="auto"/>
              </w:rPr>
              <w:t>FCFM PSU</w:t>
            </w:r>
          </w:p>
        </w:tc>
        <w:tc>
          <w:tcPr>
            <w:tcW w:w="740" w:type="dxa"/>
            <w:vAlign w:val="bottom"/>
          </w:tcPr>
          <w:p>
            <w:pPr>
              <w:jc w:val="right"/>
              <w:spacing w:after="0"/>
              <w:rPr>
                <w:sz w:val="20"/>
                <w:szCs w:val="20"/>
                <w:color w:val="auto"/>
              </w:rPr>
            </w:pPr>
            <w:r>
              <w:rPr>
                <w:rFonts w:ascii="Arial" w:cs="Arial" w:eastAsia="Arial" w:hAnsi="Arial"/>
                <w:sz w:val="16"/>
                <w:szCs w:val="16"/>
                <w:color w:val="auto"/>
              </w:rPr>
              <w:t>1/18/23</w:t>
            </w: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27,052</w:t>
            </w:r>
          </w:p>
        </w:tc>
        <w:tc>
          <w:tcPr>
            <w:tcW w:w="680" w:type="dxa"/>
            <w:vAlign w:val="bottom"/>
          </w:tcPr>
          <w:p>
            <w:pPr>
              <w:ind w:left="80"/>
              <w:spacing w:after="0"/>
              <w:rPr>
                <w:sz w:val="20"/>
                <w:szCs w:val="20"/>
                <w:color w:val="auto"/>
              </w:rPr>
            </w:pPr>
            <w:r>
              <w:rPr>
                <w:rFonts w:ascii="Arial" w:cs="Arial" w:eastAsia="Arial" w:hAnsi="Arial"/>
                <w:sz w:val="16"/>
                <w:szCs w:val="16"/>
                <w:color w:val="auto"/>
              </w:rPr>
              <w:t>54,103</w:t>
            </w:r>
          </w:p>
        </w:tc>
        <w:tc>
          <w:tcPr>
            <w:tcW w:w="800" w:type="dxa"/>
            <w:vAlign w:val="bottom"/>
          </w:tcPr>
          <w:p>
            <w:pPr>
              <w:jc w:val="right"/>
              <w:spacing w:after="0"/>
              <w:rPr>
                <w:sz w:val="20"/>
                <w:szCs w:val="20"/>
                <w:color w:val="auto"/>
              </w:rPr>
            </w:pPr>
            <w:r>
              <w:rPr>
                <w:rFonts w:ascii="Arial" w:cs="Arial" w:eastAsia="Arial" w:hAnsi="Arial"/>
                <w:sz w:val="16"/>
                <w:szCs w:val="16"/>
                <w:color w:val="auto"/>
              </w:rPr>
              <w:t>135,258</w:t>
            </w: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3,000,011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740" w:type="dxa"/>
            <w:vAlign w:val="bottom"/>
          </w:tcPr>
          <w:p>
            <w:pPr>
              <w:jc w:val="right"/>
              <w:ind w:right="220"/>
              <w:spacing w:after="0"/>
              <w:rPr>
                <w:sz w:val="20"/>
                <w:szCs w:val="20"/>
                <w:color w:val="auto"/>
              </w:rPr>
            </w:pPr>
            <w:r>
              <w:rPr>
                <w:rFonts w:ascii="Arial" w:cs="Arial" w:eastAsia="Arial" w:hAnsi="Arial"/>
                <w:sz w:val="16"/>
                <w:szCs w:val="16"/>
                <w:color w:val="auto"/>
              </w:rPr>
              <w:t>ROCE PSU</w:t>
            </w:r>
          </w:p>
        </w:tc>
        <w:tc>
          <w:tcPr>
            <w:tcW w:w="740" w:type="dxa"/>
            <w:vAlign w:val="bottom"/>
          </w:tcPr>
          <w:p>
            <w:pPr>
              <w:jc w:val="right"/>
              <w:spacing w:after="0"/>
              <w:rPr>
                <w:sz w:val="20"/>
                <w:szCs w:val="20"/>
                <w:color w:val="auto"/>
              </w:rPr>
            </w:pPr>
            <w:r>
              <w:rPr>
                <w:rFonts w:ascii="Arial" w:cs="Arial" w:eastAsia="Arial" w:hAnsi="Arial"/>
                <w:sz w:val="16"/>
                <w:szCs w:val="16"/>
                <w:color w:val="auto"/>
              </w:rPr>
              <w:t>1/18/23</w:t>
            </w: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680" w:type="dxa"/>
            <w:vAlign w:val="bottom"/>
          </w:tcPr>
          <w:p>
            <w:pPr>
              <w:ind w:left="80"/>
              <w:spacing w:after="0"/>
              <w:rPr>
                <w:sz w:val="20"/>
                <w:szCs w:val="20"/>
                <w:color w:val="auto"/>
              </w:rPr>
            </w:pPr>
            <w:r>
              <w:rPr>
                <w:rFonts w:ascii="Arial" w:cs="Arial" w:eastAsia="Arial" w:hAnsi="Arial"/>
                <w:sz w:val="16"/>
                <w:szCs w:val="16"/>
                <w:color w:val="auto"/>
              </w:rPr>
              <w:t>54,103</w:t>
            </w:r>
          </w:p>
        </w:tc>
        <w:tc>
          <w:tcPr>
            <w:tcW w:w="800" w:type="dxa"/>
            <w:vAlign w:val="bottom"/>
          </w:tcPr>
          <w:p>
            <w:pPr>
              <w:jc w:val="right"/>
              <w:spacing w:after="0"/>
              <w:rPr>
                <w:sz w:val="20"/>
                <w:szCs w:val="20"/>
                <w:color w:val="auto"/>
              </w:rPr>
            </w:pPr>
            <w:r>
              <w:rPr>
                <w:rFonts w:ascii="Arial" w:cs="Arial" w:eastAsia="Arial" w:hAnsi="Arial"/>
                <w:sz w:val="16"/>
                <w:szCs w:val="16"/>
                <w:color w:val="auto"/>
              </w:rPr>
              <w:t>135,258</w:t>
            </w: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3,000,011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740" w:type="dxa"/>
            <w:vAlign w:val="bottom"/>
          </w:tcPr>
          <w:p>
            <w:pPr>
              <w:jc w:val="right"/>
              <w:ind w:right="220"/>
              <w:spacing w:after="0"/>
              <w:rPr>
                <w:sz w:val="20"/>
                <w:szCs w:val="20"/>
                <w:color w:val="auto"/>
              </w:rPr>
            </w:pPr>
            <w:r>
              <w:rPr>
                <w:rFonts w:ascii="Arial" w:cs="Arial" w:eastAsia="Arial" w:hAnsi="Arial"/>
                <w:sz w:val="16"/>
                <w:szCs w:val="16"/>
                <w:color w:val="auto"/>
              </w:rPr>
              <w:t>TSR PSU</w:t>
            </w:r>
          </w:p>
        </w:tc>
        <w:tc>
          <w:tcPr>
            <w:tcW w:w="740" w:type="dxa"/>
            <w:vAlign w:val="bottom"/>
          </w:tcPr>
          <w:p>
            <w:pPr>
              <w:jc w:val="right"/>
              <w:spacing w:after="0"/>
              <w:rPr>
                <w:sz w:val="20"/>
                <w:szCs w:val="20"/>
                <w:color w:val="auto"/>
              </w:rPr>
            </w:pPr>
            <w:r>
              <w:rPr>
                <w:rFonts w:ascii="Arial" w:cs="Arial" w:eastAsia="Arial" w:hAnsi="Arial"/>
                <w:sz w:val="16"/>
                <w:szCs w:val="16"/>
                <w:color w:val="auto"/>
              </w:rPr>
              <w:t>1/18/23</w:t>
            </w: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12,014</w:t>
            </w:r>
          </w:p>
        </w:tc>
        <w:tc>
          <w:tcPr>
            <w:tcW w:w="680" w:type="dxa"/>
            <w:vAlign w:val="bottom"/>
          </w:tcPr>
          <w:p>
            <w:pPr>
              <w:ind w:left="80"/>
              <w:spacing w:after="0"/>
              <w:rPr>
                <w:sz w:val="20"/>
                <w:szCs w:val="20"/>
                <w:color w:val="auto"/>
              </w:rPr>
            </w:pPr>
            <w:r>
              <w:rPr>
                <w:rFonts w:ascii="Arial" w:cs="Arial" w:eastAsia="Arial" w:hAnsi="Arial"/>
                <w:sz w:val="16"/>
                <w:szCs w:val="16"/>
                <w:color w:val="auto"/>
              </w:rPr>
              <w:t>48,054</w:t>
            </w:r>
          </w:p>
        </w:tc>
        <w:tc>
          <w:tcPr>
            <w:tcW w:w="800" w:type="dxa"/>
            <w:vAlign w:val="bottom"/>
          </w:tcPr>
          <w:p>
            <w:pPr>
              <w:jc w:val="right"/>
              <w:spacing w:after="0"/>
              <w:rPr>
                <w:sz w:val="20"/>
                <w:szCs w:val="20"/>
                <w:color w:val="auto"/>
              </w:rPr>
            </w:pPr>
            <w:r>
              <w:rPr>
                <w:rFonts w:ascii="Arial" w:cs="Arial" w:eastAsia="Arial" w:hAnsi="Arial"/>
                <w:sz w:val="16"/>
                <w:szCs w:val="16"/>
                <w:color w:val="auto"/>
              </w:rPr>
              <w:t>96,108</w:t>
            </w: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3,000,011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800" w:type="dxa"/>
            <w:vAlign w:val="bottom"/>
            <w:vMerge w:val="restart"/>
          </w:tcPr>
          <w:p>
            <w:pPr>
              <w:ind w:left="60"/>
              <w:spacing w:after="0"/>
              <w:rPr>
                <w:sz w:val="20"/>
                <w:szCs w:val="20"/>
                <w:color w:val="auto"/>
              </w:rPr>
            </w:pPr>
            <w:r>
              <w:rPr>
                <w:rFonts w:ascii="Arial" w:cs="Arial" w:eastAsia="Arial" w:hAnsi="Arial"/>
                <w:sz w:val="16"/>
                <w:szCs w:val="16"/>
                <w:color w:val="auto"/>
              </w:rPr>
              <w:t>S. Biguet</w:t>
            </w:r>
          </w:p>
        </w:tc>
        <w:tc>
          <w:tcPr>
            <w:tcW w:w="1740" w:type="dxa"/>
            <w:vAlign w:val="bottom"/>
          </w:tcPr>
          <w:p>
            <w:pPr>
              <w:jc w:val="right"/>
              <w:ind w:right="220"/>
              <w:spacing w:after="0"/>
              <w:rPr>
                <w:sz w:val="20"/>
                <w:szCs w:val="20"/>
                <w:color w:val="auto"/>
              </w:rPr>
            </w:pPr>
            <w:r>
              <w:rPr>
                <w:rFonts w:ascii="Arial" w:cs="Arial" w:eastAsia="Arial" w:hAnsi="Arial"/>
                <w:sz w:val="16"/>
                <w:szCs w:val="16"/>
                <w:color w:val="auto"/>
              </w:rPr>
              <w:t>3-year RSU</w:t>
            </w:r>
          </w:p>
        </w:tc>
        <w:tc>
          <w:tcPr>
            <w:tcW w:w="740" w:type="dxa"/>
            <w:vAlign w:val="bottom"/>
          </w:tcPr>
          <w:p>
            <w:pPr>
              <w:jc w:val="right"/>
              <w:spacing w:after="0"/>
              <w:rPr>
                <w:sz w:val="20"/>
                <w:szCs w:val="20"/>
                <w:color w:val="auto"/>
              </w:rPr>
            </w:pPr>
            <w:r>
              <w:rPr>
                <w:rFonts w:ascii="Arial" w:cs="Arial" w:eastAsia="Arial" w:hAnsi="Arial"/>
                <w:sz w:val="16"/>
                <w:szCs w:val="16"/>
                <w:color w:val="auto"/>
              </w:rPr>
              <w:t>1/18/23</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297,500</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765,000</w:t>
            </w: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1,700,850</w:t>
            </w:r>
          </w:p>
        </w:tc>
        <w:tc>
          <w:tcPr>
            <w:tcW w:w="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54,103</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3,000,011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800" w:type="dxa"/>
            <w:vAlign w:val="bottom"/>
            <w:vMerge w:val="continue"/>
          </w:tcPr>
          <w:p>
            <w:pPr>
              <w:spacing w:after="0"/>
              <w:rPr>
                <w:sz w:val="17"/>
                <w:szCs w:val="17"/>
                <w:color w:val="auto"/>
              </w:rPr>
            </w:pPr>
          </w:p>
        </w:tc>
        <w:tc>
          <w:tcPr>
            <w:tcW w:w="1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800" w:type="dxa"/>
            <w:vAlign w:val="bottom"/>
          </w:tcPr>
          <w:p>
            <w:pPr>
              <w:spacing w:after="0"/>
              <w:rPr>
                <w:sz w:val="18"/>
                <w:szCs w:val="18"/>
                <w:color w:val="auto"/>
              </w:rPr>
            </w:pPr>
          </w:p>
        </w:tc>
        <w:tc>
          <w:tcPr>
            <w:tcW w:w="1740" w:type="dxa"/>
            <w:vAlign w:val="bottom"/>
          </w:tcPr>
          <w:p>
            <w:pPr>
              <w:jc w:val="right"/>
              <w:ind w:right="220"/>
              <w:spacing w:after="0"/>
              <w:rPr>
                <w:sz w:val="20"/>
                <w:szCs w:val="20"/>
                <w:color w:val="auto"/>
              </w:rPr>
            </w:pPr>
            <w:r>
              <w:rPr>
                <w:rFonts w:ascii="Arial" w:cs="Arial" w:eastAsia="Arial" w:hAnsi="Arial"/>
                <w:sz w:val="16"/>
                <w:szCs w:val="16"/>
                <w:color w:val="auto"/>
              </w:rPr>
              <w:t>FCFM PSU</w:t>
            </w:r>
          </w:p>
        </w:tc>
        <w:tc>
          <w:tcPr>
            <w:tcW w:w="740" w:type="dxa"/>
            <w:vAlign w:val="bottom"/>
          </w:tcPr>
          <w:p>
            <w:pPr>
              <w:jc w:val="right"/>
              <w:spacing w:after="0"/>
              <w:rPr>
                <w:sz w:val="20"/>
                <w:szCs w:val="20"/>
                <w:color w:val="auto"/>
              </w:rPr>
            </w:pPr>
            <w:r>
              <w:rPr>
                <w:rFonts w:ascii="Arial" w:cs="Arial" w:eastAsia="Arial" w:hAnsi="Arial"/>
                <w:sz w:val="16"/>
                <w:szCs w:val="16"/>
                <w:color w:val="auto"/>
              </w:rPr>
              <w:t>1/18/23</w:t>
            </w: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7,890</w:t>
            </w:r>
          </w:p>
        </w:tc>
        <w:tc>
          <w:tcPr>
            <w:tcW w:w="680" w:type="dxa"/>
            <w:vAlign w:val="bottom"/>
          </w:tcPr>
          <w:p>
            <w:pPr>
              <w:ind w:left="80"/>
              <w:spacing w:after="0"/>
              <w:rPr>
                <w:sz w:val="20"/>
                <w:szCs w:val="20"/>
                <w:color w:val="auto"/>
              </w:rPr>
            </w:pPr>
            <w:r>
              <w:rPr>
                <w:rFonts w:ascii="Arial" w:cs="Arial" w:eastAsia="Arial" w:hAnsi="Arial"/>
                <w:sz w:val="16"/>
                <w:szCs w:val="16"/>
                <w:color w:val="auto"/>
              </w:rPr>
              <w:t>15,780</w:t>
            </w:r>
          </w:p>
        </w:tc>
        <w:tc>
          <w:tcPr>
            <w:tcW w:w="800" w:type="dxa"/>
            <w:vAlign w:val="bottom"/>
          </w:tcPr>
          <w:p>
            <w:pPr>
              <w:jc w:val="right"/>
              <w:spacing w:after="0"/>
              <w:rPr>
                <w:sz w:val="20"/>
                <w:szCs w:val="20"/>
                <w:color w:val="auto"/>
              </w:rPr>
            </w:pPr>
            <w:r>
              <w:rPr>
                <w:rFonts w:ascii="Arial" w:cs="Arial" w:eastAsia="Arial" w:hAnsi="Arial"/>
                <w:sz w:val="16"/>
                <w:szCs w:val="16"/>
                <w:color w:val="auto"/>
              </w:rPr>
              <w:t>39,450</w:t>
            </w: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875,001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740" w:type="dxa"/>
            <w:vAlign w:val="bottom"/>
          </w:tcPr>
          <w:p>
            <w:pPr>
              <w:jc w:val="right"/>
              <w:ind w:right="220"/>
              <w:spacing w:after="0"/>
              <w:rPr>
                <w:sz w:val="20"/>
                <w:szCs w:val="20"/>
                <w:color w:val="auto"/>
              </w:rPr>
            </w:pPr>
            <w:r>
              <w:rPr>
                <w:rFonts w:ascii="Arial" w:cs="Arial" w:eastAsia="Arial" w:hAnsi="Arial"/>
                <w:sz w:val="16"/>
                <w:szCs w:val="16"/>
                <w:color w:val="auto"/>
              </w:rPr>
              <w:t>ROCE PSU</w:t>
            </w:r>
          </w:p>
        </w:tc>
        <w:tc>
          <w:tcPr>
            <w:tcW w:w="740" w:type="dxa"/>
            <w:vAlign w:val="bottom"/>
          </w:tcPr>
          <w:p>
            <w:pPr>
              <w:jc w:val="right"/>
              <w:spacing w:after="0"/>
              <w:rPr>
                <w:sz w:val="20"/>
                <w:szCs w:val="20"/>
                <w:color w:val="auto"/>
              </w:rPr>
            </w:pPr>
            <w:r>
              <w:rPr>
                <w:rFonts w:ascii="Arial" w:cs="Arial" w:eastAsia="Arial" w:hAnsi="Arial"/>
                <w:sz w:val="16"/>
                <w:szCs w:val="16"/>
                <w:color w:val="auto"/>
              </w:rPr>
              <w:t>1/18/23</w:t>
            </w: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680" w:type="dxa"/>
            <w:vAlign w:val="bottom"/>
          </w:tcPr>
          <w:p>
            <w:pPr>
              <w:ind w:left="80"/>
              <w:spacing w:after="0"/>
              <w:rPr>
                <w:sz w:val="20"/>
                <w:szCs w:val="20"/>
                <w:color w:val="auto"/>
              </w:rPr>
            </w:pPr>
            <w:r>
              <w:rPr>
                <w:rFonts w:ascii="Arial" w:cs="Arial" w:eastAsia="Arial" w:hAnsi="Arial"/>
                <w:sz w:val="16"/>
                <w:szCs w:val="16"/>
                <w:color w:val="auto"/>
              </w:rPr>
              <w:t>15,780</w:t>
            </w:r>
          </w:p>
        </w:tc>
        <w:tc>
          <w:tcPr>
            <w:tcW w:w="800" w:type="dxa"/>
            <w:vAlign w:val="bottom"/>
          </w:tcPr>
          <w:p>
            <w:pPr>
              <w:jc w:val="right"/>
              <w:spacing w:after="0"/>
              <w:rPr>
                <w:sz w:val="20"/>
                <w:szCs w:val="20"/>
                <w:color w:val="auto"/>
              </w:rPr>
            </w:pPr>
            <w:r>
              <w:rPr>
                <w:rFonts w:ascii="Arial" w:cs="Arial" w:eastAsia="Arial" w:hAnsi="Arial"/>
                <w:sz w:val="16"/>
                <w:szCs w:val="16"/>
                <w:color w:val="auto"/>
              </w:rPr>
              <w:t>39,450</w:t>
            </w: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875,001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740" w:type="dxa"/>
            <w:vAlign w:val="bottom"/>
          </w:tcPr>
          <w:p>
            <w:pPr>
              <w:jc w:val="right"/>
              <w:ind w:right="220"/>
              <w:spacing w:after="0"/>
              <w:rPr>
                <w:sz w:val="20"/>
                <w:szCs w:val="20"/>
                <w:color w:val="auto"/>
              </w:rPr>
            </w:pPr>
            <w:r>
              <w:rPr>
                <w:rFonts w:ascii="Arial" w:cs="Arial" w:eastAsia="Arial" w:hAnsi="Arial"/>
                <w:sz w:val="16"/>
                <w:szCs w:val="16"/>
                <w:color w:val="auto"/>
              </w:rPr>
              <w:t>TSR PSU</w:t>
            </w:r>
          </w:p>
        </w:tc>
        <w:tc>
          <w:tcPr>
            <w:tcW w:w="740" w:type="dxa"/>
            <w:vAlign w:val="bottom"/>
          </w:tcPr>
          <w:p>
            <w:pPr>
              <w:jc w:val="right"/>
              <w:spacing w:after="0"/>
              <w:rPr>
                <w:sz w:val="20"/>
                <w:szCs w:val="20"/>
                <w:color w:val="auto"/>
              </w:rPr>
            </w:pPr>
            <w:r>
              <w:rPr>
                <w:rFonts w:ascii="Arial" w:cs="Arial" w:eastAsia="Arial" w:hAnsi="Arial"/>
                <w:sz w:val="16"/>
                <w:szCs w:val="16"/>
                <w:color w:val="auto"/>
              </w:rPr>
              <w:t>1/18/23</w:t>
            </w: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3,504</w:t>
            </w:r>
          </w:p>
        </w:tc>
        <w:tc>
          <w:tcPr>
            <w:tcW w:w="680" w:type="dxa"/>
            <w:vAlign w:val="bottom"/>
          </w:tcPr>
          <w:p>
            <w:pPr>
              <w:ind w:left="80"/>
              <w:spacing w:after="0"/>
              <w:rPr>
                <w:sz w:val="20"/>
                <w:szCs w:val="20"/>
                <w:color w:val="auto"/>
              </w:rPr>
            </w:pPr>
            <w:r>
              <w:rPr>
                <w:rFonts w:ascii="Arial" w:cs="Arial" w:eastAsia="Arial" w:hAnsi="Arial"/>
                <w:sz w:val="16"/>
                <w:szCs w:val="16"/>
                <w:color w:val="auto"/>
              </w:rPr>
              <w:t>14,016</w:t>
            </w:r>
          </w:p>
        </w:tc>
        <w:tc>
          <w:tcPr>
            <w:tcW w:w="800" w:type="dxa"/>
            <w:vAlign w:val="bottom"/>
          </w:tcPr>
          <w:p>
            <w:pPr>
              <w:jc w:val="right"/>
              <w:spacing w:after="0"/>
              <w:rPr>
                <w:sz w:val="20"/>
                <w:szCs w:val="20"/>
                <w:color w:val="auto"/>
              </w:rPr>
            </w:pPr>
            <w:r>
              <w:rPr>
                <w:rFonts w:ascii="Arial" w:cs="Arial" w:eastAsia="Arial" w:hAnsi="Arial"/>
                <w:sz w:val="16"/>
                <w:szCs w:val="16"/>
                <w:color w:val="auto"/>
              </w:rPr>
              <w:t>28,032</w:t>
            </w: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875,019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800" w:type="dxa"/>
            <w:vAlign w:val="bottom"/>
            <w:vMerge w:val="restart"/>
          </w:tcPr>
          <w:p>
            <w:pPr>
              <w:ind w:left="60"/>
              <w:spacing w:after="0"/>
              <w:rPr>
                <w:sz w:val="20"/>
                <w:szCs w:val="20"/>
                <w:color w:val="auto"/>
              </w:rPr>
            </w:pPr>
            <w:r>
              <w:rPr>
                <w:rFonts w:ascii="Arial" w:cs="Arial" w:eastAsia="Arial" w:hAnsi="Arial"/>
                <w:sz w:val="16"/>
                <w:szCs w:val="16"/>
                <w:color w:val="auto"/>
              </w:rPr>
              <w:t>K. Al Mogharbel</w:t>
            </w:r>
          </w:p>
        </w:tc>
        <w:tc>
          <w:tcPr>
            <w:tcW w:w="1740" w:type="dxa"/>
            <w:vAlign w:val="bottom"/>
          </w:tcPr>
          <w:p>
            <w:pPr>
              <w:jc w:val="right"/>
              <w:ind w:right="220"/>
              <w:spacing w:after="0"/>
              <w:rPr>
                <w:sz w:val="20"/>
                <w:szCs w:val="20"/>
                <w:color w:val="auto"/>
              </w:rPr>
            </w:pPr>
            <w:r>
              <w:rPr>
                <w:rFonts w:ascii="Arial" w:cs="Arial" w:eastAsia="Arial" w:hAnsi="Arial"/>
                <w:sz w:val="16"/>
                <w:szCs w:val="16"/>
                <w:color w:val="auto"/>
              </w:rPr>
              <w:t>3-year RSU</w:t>
            </w:r>
          </w:p>
        </w:tc>
        <w:tc>
          <w:tcPr>
            <w:tcW w:w="740" w:type="dxa"/>
            <w:vAlign w:val="bottom"/>
          </w:tcPr>
          <w:p>
            <w:pPr>
              <w:jc w:val="right"/>
              <w:spacing w:after="0"/>
              <w:rPr>
                <w:sz w:val="20"/>
                <w:szCs w:val="20"/>
                <w:color w:val="auto"/>
              </w:rPr>
            </w:pPr>
            <w:r>
              <w:rPr>
                <w:rFonts w:ascii="Arial" w:cs="Arial" w:eastAsia="Arial" w:hAnsi="Arial"/>
                <w:sz w:val="16"/>
                <w:szCs w:val="16"/>
                <w:color w:val="auto"/>
              </w:rPr>
              <w:t>1/18/23</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315,000</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810,000</w:t>
            </w: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1,800,900</w:t>
            </w:r>
          </w:p>
        </w:tc>
        <w:tc>
          <w:tcPr>
            <w:tcW w:w="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15,780</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875,001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800" w:type="dxa"/>
            <w:vAlign w:val="bottom"/>
            <w:vMerge w:val="continue"/>
          </w:tcPr>
          <w:p>
            <w:pPr>
              <w:spacing w:after="0"/>
              <w:rPr>
                <w:sz w:val="17"/>
                <w:szCs w:val="17"/>
                <w:color w:val="auto"/>
              </w:rPr>
            </w:pPr>
          </w:p>
        </w:tc>
        <w:tc>
          <w:tcPr>
            <w:tcW w:w="1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800" w:type="dxa"/>
            <w:vAlign w:val="bottom"/>
          </w:tcPr>
          <w:p>
            <w:pPr>
              <w:spacing w:after="0"/>
              <w:rPr>
                <w:sz w:val="18"/>
                <w:szCs w:val="18"/>
                <w:color w:val="auto"/>
              </w:rPr>
            </w:pPr>
          </w:p>
        </w:tc>
        <w:tc>
          <w:tcPr>
            <w:tcW w:w="1740" w:type="dxa"/>
            <w:vAlign w:val="bottom"/>
          </w:tcPr>
          <w:p>
            <w:pPr>
              <w:jc w:val="right"/>
              <w:ind w:right="220"/>
              <w:spacing w:after="0"/>
              <w:rPr>
                <w:sz w:val="20"/>
                <w:szCs w:val="20"/>
                <w:color w:val="auto"/>
              </w:rPr>
            </w:pPr>
            <w:r>
              <w:rPr>
                <w:rFonts w:ascii="Arial" w:cs="Arial" w:eastAsia="Arial" w:hAnsi="Arial"/>
                <w:sz w:val="16"/>
                <w:szCs w:val="16"/>
                <w:color w:val="auto"/>
              </w:rPr>
              <w:t>FCFM PSU</w:t>
            </w:r>
          </w:p>
        </w:tc>
        <w:tc>
          <w:tcPr>
            <w:tcW w:w="740" w:type="dxa"/>
            <w:vAlign w:val="bottom"/>
          </w:tcPr>
          <w:p>
            <w:pPr>
              <w:jc w:val="right"/>
              <w:spacing w:after="0"/>
              <w:rPr>
                <w:sz w:val="20"/>
                <w:szCs w:val="20"/>
                <w:color w:val="auto"/>
              </w:rPr>
            </w:pPr>
            <w:r>
              <w:rPr>
                <w:rFonts w:ascii="Arial" w:cs="Arial" w:eastAsia="Arial" w:hAnsi="Arial"/>
                <w:sz w:val="16"/>
                <w:szCs w:val="16"/>
                <w:color w:val="auto"/>
              </w:rPr>
              <w:t>1/18/23</w:t>
            </w: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7,890</w:t>
            </w:r>
          </w:p>
        </w:tc>
        <w:tc>
          <w:tcPr>
            <w:tcW w:w="680" w:type="dxa"/>
            <w:vAlign w:val="bottom"/>
          </w:tcPr>
          <w:p>
            <w:pPr>
              <w:ind w:left="80"/>
              <w:spacing w:after="0"/>
              <w:rPr>
                <w:sz w:val="20"/>
                <w:szCs w:val="20"/>
                <w:color w:val="auto"/>
              </w:rPr>
            </w:pPr>
            <w:r>
              <w:rPr>
                <w:rFonts w:ascii="Arial" w:cs="Arial" w:eastAsia="Arial" w:hAnsi="Arial"/>
                <w:sz w:val="16"/>
                <w:szCs w:val="16"/>
                <w:color w:val="auto"/>
              </w:rPr>
              <w:t>15,780</w:t>
            </w:r>
          </w:p>
        </w:tc>
        <w:tc>
          <w:tcPr>
            <w:tcW w:w="800" w:type="dxa"/>
            <w:vAlign w:val="bottom"/>
          </w:tcPr>
          <w:p>
            <w:pPr>
              <w:jc w:val="right"/>
              <w:spacing w:after="0"/>
              <w:rPr>
                <w:sz w:val="20"/>
                <w:szCs w:val="20"/>
                <w:color w:val="auto"/>
              </w:rPr>
            </w:pPr>
            <w:r>
              <w:rPr>
                <w:rFonts w:ascii="Arial" w:cs="Arial" w:eastAsia="Arial" w:hAnsi="Arial"/>
                <w:sz w:val="16"/>
                <w:szCs w:val="16"/>
                <w:color w:val="auto"/>
              </w:rPr>
              <w:t>39,450</w:t>
            </w: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875,001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740" w:type="dxa"/>
            <w:vAlign w:val="bottom"/>
          </w:tcPr>
          <w:p>
            <w:pPr>
              <w:jc w:val="right"/>
              <w:ind w:right="220"/>
              <w:spacing w:after="0"/>
              <w:rPr>
                <w:sz w:val="20"/>
                <w:szCs w:val="20"/>
                <w:color w:val="auto"/>
              </w:rPr>
            </w:pPr>
            <w:r>
              <w:rPr>
                <w:rFonts w:ascii="Arial" w:cs="Arial" w:eastAsia="Arial" w:hAnsi="Arial"/>
                <w:sz w:val="16"/>
                <w:szCs w:val="16"/>
                <w:color w:val="auto"/>
              </w:rPr>
              <w:t>ROCE PSU</w:t>
            </w:r>
          </w:p>
        </w:tc>
        <w:tc>
          <w:tcPr>
            <w:tcW w:w="740" w:type="dxa"/>
            <w:vAlign w:val="bottom"/>
          </w:tcPr>
          <w:p>
            <w:pPr>
              <w:jc w:val="right"/>
              <w:spacing w:after="0"/>
              <w:rPr>
                <w:sz w:val="20"/>
                <w:szCs w:val="20"/>
                <w:color w:val="auto"/>
              </w:rPr>
            </w:pPr>
            <w:r>
              <w:rPr>
                <w:rFonts w:ascii="Arial" w:cs="Arial" w:eastAsia="Arial" w:hAnsi="Arial"/>
                <w:sz w:val="16"/>
                <w:szCs w:val="16"/>
                <w:color w:val="auto"/>
              </w:rPr>
              <w:t>1/18/23</w:t>
            </w: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680" w:type="dxa"/>
            <w:vAlign w:val="bottom"/>
          </w:tcPr>
          <w:p>
            <w:pPr>
              <w:ind w:left="80"/>
              <w:spacing w:after="0"/>
              <w:rPr>
                <w:sz w:val="20"/>
                <w:szCs w:val="20"/>
                <w:color w:val="auto"/>
              </w:rPr>
            </w:pPr>
            <w:r>
              <w:rPr>
                <w:rFonts w:ascii="Arial" w:cs="Arial" w:eastAsia="Arial" w:hAnsi="Arial"/>
                <w:sz w:val="16"/>
                <w:szCs w:val="16"/>
                <w:color w:val="auto"/>
              </w:rPr>
              <w:t>15,780</w:t>
            </w:r>
          </w:p>
        </w:tc>
        <w:tc>
          <w:tcPr>
            <w:tcW w:w="800" w:type="dxa"/>
            <w:vAlign w:val="bottom"/>
          </w:tcPr>
          <w:p>
            <w:pPr>
              <w:jc w:val="right"/>
              <w:spacing w:after="0"/>
              <w:rPr>
                <w:sz w:val="20"/>
                <w:szCs w:val="20"/>
                <w:color w:val="auto"/>
              </w:rPr>
            </w:pPr>
            <w:r>
              <w:rPr>
                <w:rFonts w:ascii="Arial" w:cs="Arial" w:eastAsia="Arial" w:hAnsi="Arial"/>
                <w:sz w:val="16"/>
                <w:szCs w:val="16"/>
                <w:color w:val="auto"/>
              </w:rPr>
              <w:t>39,450</w:t>
            </w: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875,001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740" w:type="dxa"/>
            <w:vAlign w:val="bottom"/>
          </w:tcPr>
          <w:p>
            <w:pPr>
              <w:jc w:val="right"/>
              <w:ind w:right="220"/>
              <w:spacing w:after="0"/>
              <w:rPr>
                <w:sz w:val="20"/>
                <w:szCs w:val="20"/>
                <w:color w:val="auto"/>
              </w:rPr>
            </w:pPr>
            <w:r>
              <w:rPr>
                <w:rFonts w:ascii="Arial" w:cs="Arial" w:eastAsia="Arial" w:hAnsi="Arial"/>
                <w:sz w:val="16"/>
                <w:szCs w:val="16"/>
                <w:color w:val="auto"/>
              </w:rPr>
              <w:t>TSR PSU</w:t>
            </w:r>
          </w:p>
        </w:tc>
        <w:tc>
          <w:tcPr>
            <w:tcW w:w="740" w:type="dxa"/>
            <w:vAlign w:val="bottom"/>
          </w:tcPr>
          <w:p>
            <w:pPr>
              <w:jc w:val="right"/>
              <w:spacing w:after="0"/>
              <w:rPr>
                <w:sz w:val="20"/>
                <w:szCs w:val="20"/>
                <w:color w:val="auto"/>
              </w:rPr>
            </w:pPr>
            <w:r>
              <w:rPr>
                <w:rFonts w:ascii="Arial" w:cs="Arial" w:eastAsia="Arial" w:hAnsi="Arial"/>
                <w:sz w:val="16"/>
                <w:szCs w:val="16"/>
                <w:color w:val="auto"/>
              </w:rPr>
              <w:t>1/18/23</w:t>
            </w: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3,504</w:t>
            </w:r>
          </w:p>
        </w:tc>
        <w:tc>
          <w:tcPr>
            <w:tcW w:w="680" w:type="dxa"/>
            <w:vAlign w:val="bottom"/>
          </w:tcPr>
          <w:p>
            <w:pPr>
              <w:ind w:left="80"/>
              <w:spacing w:after="0"/>
              <w:rPr>
                <w:sz w:val="20"/>
                <w:szCs w:val="20"/>
                <w:color w:val="auto"/>
              </w:rPr>
            </w:pPr>
            <w:r>
              <w:rPr>
                <w:rFonts w:ascii="Arial" w:cs="Arial" w:eastAsia="Arial" w:hAnsi="Arial"/>
                <w:sz w:val="16"/>
                <w:szCs w:val="16"/>
                <w:color w:val="auto"/>
              </w:rPr>
              <w:t>14,016</w:t>
            </w:r>
          </w:p>
        </w:tc>
        <w:tc>
          <w:tcPr>
            <w:tcW w:w="800" w:type="dxa"/>
            <w:vAlign w:val="bottom"/>
          </w:tcPr>
          <w:p>
            <w:pPr>
              <w:jc w:val="right"/>
              <w:spacing w:after="0"/>
              <w:rPr>
                <w:sz w:val="20"/>
                <w:szCs w:val="20"/>
                <w:color w:val="auto"/>
              </w:rPr>
            </w:pPr>
            <w:r>
              <w:rPr>
                <w:rFonts w:ascii="Arial" w:cs="Arial" w:eastAsia="Arial" w:hAnsi="Arial"/>
                <w:sz w:val="16"/>
                <w:szCs w:val="16"/>
                <w:color w:val="auto"/>
              </w:rPr>
              <w:t>28,032</w:t>
            </w: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875,019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800" w:type="dxa"/>
            <w:vAlign w:val="bottom"/>
            <w:vMerge w:val="restart"/>
          </w:tcPr>
          <w:p>
            <w:pPr>
              <w:ind w:left="60"/>
              <w:spacing w:after="0"/>
              <w:rPr>
                <w:sz w:val="20"/>
                <w:szCs w:val="20"/>
                <w:color w:val="auto"/>
              </w:rPr>
            </w:pPr>
            <w:r>
              <w:rPr>
                <w:rFonts w:ascii="Arial" w:cs="Arial" w:eastAsia="Arial" w:hAnsi="Arial"/>
                <w:sz w:val="16"/>
                <w:szCs w:val="16"/>
                <w:color w:val="auto"/>
              </w:rPr>
              <w:t>A. Merad</w:t>
            </w:r>
          </w:p>
        </w:tc>
        <w:tc>
          <w:tcPr>
            <w:tcW w:w="1740" w:type="dxa"/>
            <w:vAlign w:val="bottom"/>
          </w:tcPr>
          <w:p>
            <w:pPr>
              <w:jc w:val="right"/>
              <w:ind w:right="220"/>
              <w:spacing w:after="0"/>
              <w:rPr>
                <w:sz w:val="20"/>
                <w:szCs w:val="20"/>
                <w:color w:val="auto"/>
              </w:rPr>
            </w:pPr>
            <w:r>
              <w:rPr>
                <w:rFonts w:ascii="Arial" w:cs="Arial" w:eastAsia="Arial" w:hAnsi="Arial"/>
                <w:sz w:val="16"/>
                <w:szCs w:val="16"/>
                <w:color w:val="auto"/>
              </w:rPr>
              <w:t>3-year RSU</w:t>
            </w:r>
          </w:p>
        </w:tc>
        <w:tc>
          <w:tcPr>
            <w:tcW w:w="740" w:type="dxa"/>
            <w:vAlign w:val="bottom"/>
          </w:tcPr>
          <w:p>
            <w:pPr>
              <w:jc w:val="right"/>
              <w:spacing w:after="0"/>
              <w:rPr>
                <w:sz w:val="20"/>
                <w:szCs w:val="20"/>
                <w:color w:val="auto"/>
              </w:rPr>
            </w:pPr>
            <w:r>
              <w:rPr>
                <w:rFonts w:ascii="Arial" w:cs="Arial" w:eastAsia="Arial" w:hAnsi="Arial"/>
                <w:sz w:val="16"/>
                <w:szCs w:val="16"/>
                <w:color w:val="auto"/>
              </w:rPr>
              <w:t>1/18/23</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280,000</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720,000</w:t>
            </w: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1,600,800</w:t>
            </w:r>
          </w:p>
        </w:tc>
        <w:tc>
          <w:tcPr>
            <w:tcW w:w="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15,780</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875,001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800" w:type="dxa"/>
            <w:vAlign w:val="bottom"/>
            <w:vMerge w:val="continue"/>
          </w:tcPr>
          <w:p>
            <w:pPr>
              <w:spacing w:after="0"/>
              <w:rPr>
                <w:sz w:val="17"/>
                <w:szCs w:val="17"/>
                <w:color w:val="auto"/>
              </w:rPr>
            </w:pPr>
          </w:p>
        </w:tc>
        <w:tc>
          <w:tcPr>
            <w:tcW w:w="1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800" w:type="dxa"/>
            <w:vAlign w:val="bottom"/>
          </w:tcPr>
          <w:p>
            <w:pPr>
              <w:spacing w:after="0"/>
              <w:rPr>
                <w:sz w:val="18"/>
                <w:szCs w:val="18"/>
                <w:color w:val="auto"/>
              </w:rPr>
            </w:pPr>
          </w:p>
        </w:tc>
        <w:tc>
          <w:tcPr>
            <w:tcW w:w="1740" w:type="dxa"/>
            <w:vAlign w:val="bottom"/>
          </w:tcPr>
          <w:p>
            <w:pPr>
              <w:jc w:val="right"/>
              <w:ind w:right="220"/>
              <w:spacing w:after="0"/>
              <w:rPr>
                <w:sz w:val="20"/>
                <w:szCs w:val="20"/>
                <w:color w:val="auto"/>
              </w:rPr>
            </w:pPr>
            <w:r>
              <w:rPr>
                <w:rFonts w:ascii="Arial" w:cs="Arial" w:eastAsia="Arial" w:hAnsi="Arial"/>
                <w:sz w:val="16"/>
                <w:szCs w:val="16"/>
                <w:color w:val="auto"/>
              </w:rPr>
              <w:t>FCFM PSU</w:t>
            </w:r>
          </w:p>
        </w:tc>
        <w:tc>
          <w:tcPr>
            <w:tcW w:w="740" w:type="dxa"/>
            <w:vAlign w:val="bottom"/>
          </w:tcPr>
          <w:p>
            <w:pPr>
              <w:jc w:val="right"/>
              <w:spacing w:after="0"/>
              <w:rPr>
                <w:sz w:val="20"/>
                <w:szCs w:val="20"/>
                <w:color w:val="auto"/>
              </w:rPr>
            </w:pPr>
            <w:r>
              <w:rPr>
                <w:rFonts w:ascii="Arial" w:cs="Arial" w:eastAsia="Arial" w:hAnsi="Arial"/>
                <w:sz w:val="16"/>
                <w:szCs w:val="16"/>
                <w:color w:val="auto"/>
              </w:rPr>
              <w:t>1/18/23</w:t>
            </w: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7,890</w:t>
            </w:r>
          </w:p>
        </w:tc>
        <w:tc>
          <w:tcPr>
            <w:tcW w:w="680" w:type="dxa"/>
            <w:vAlign w:val="bottom"/>
          </w:tcPr>
          <w:p>
            <w:pPr>
              <w:ind w:left="80"/>
              <w:spacing w:after="0"/>
              <w:rPr>
                <w:sz w:val="20"/>
                <w:szCs w:val="20"/>
                <w:color w:val="auto"/>
              </w:rPr>
            </w:pPr>
            <w:r>
              <w:rPr>
                <w:rFonts w:ascii="Arial" w:cs="Arial" w:eastAsia="Arial" w:hAnsi="Arial"/>
                <w:sz w:val="16"/>
                <w:szCs w:val="16"/>
                <w:color w:val="auto"/>
              </w:rPr>
              <w:t>15,780</w:t>
            </w:r>
          </w:p>
        </w:tc>
        <w:tc>
          <w:tcPr>
            <w:tcW w:w="800" w:type="dxa"/>
            <w:vAlign w:val="bottom"/>
          </w:tcPr>
          <w:p>
            <w:pPr>
              <w:jc w:val="right"/>
              <w:spacing w:after="0"/>
              <w:rPr>
                <w:sz w:val="20"/>
                <w:szCs w:val="20"/>
                <w:color w:val="auto"/>
              </w:rPr>
            </w:pPr>
            <w:r>
              <w:rPr>
                <w:rFonts w:ascii="Arial" w:cs="Arial" w:eastAsia="Arial" w:hAnsi="Arial"/>
                <w:sz w:val="16"/>
                <w:szCs w:val="16"/>
                <w:color w:val="auto"/>
              </w:rPr>
              <w:t>39,450</w:t>
            </w: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875,001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740" w:type="dxa"/>
            <w:vAlign w:val="bottom"/>
          </w:tcPr>
          <w:p>
            <w:pPr>
              <w:jc w:val="right"/>
              <w:ind w:right="220"/>
              <w:spacing w:after="0"/>
              <w:rPr>
                <w:sz w:val="20"/>
                <w:szCs w:val="20"/>
                <w:color w:val="auto"/>
              </w:rPr>
            </w:pPr>
            <w:r>
              <w:rPr>
                <w:rFonts w:ascii="Arial" w:cs="Arial" w:eastAsia="Arial" w:hAnsi="Arial"/>
                <w:sz w:val="16"/>
                <w:szCs w:val="16"/>
                <w:color w:val="auto"/>
              </w:rPr>
              <w:t>ROCE PSU</w:t>
            </w:r>
          </w:p>
        </w:tc>
        <w:tc>
          <w:tcPr>
            <w:tcW w:w="740" w:type="dxa"/>
            <w:vAlign w:val="bottom"/>
          </w:tcPr>
          <w:p>
            <w:pPr>
              <w:jc w:val="right"/>
              <w:spacing w:after="0"/>
              <w:rPr>
                <w:sz w:val="20"/>
                <w:szCs w:val="20"/>
                <w:color w:val="auto"/>
              </w:rPr>
            </w:pPr>
            <w:r>
              <w:rPr>
                <w:rFonts w:ascii="Arial" w:cs="Arial" w:eastAsia="Arial" w:hAnsi="Arial"/>
                <w:sz w:val="16"/>
                <w:szCs w:val="16"/>
                <w:color w:val="auto"/>
              </w:rPr>
              <w:t>1/18/23</w:t>
            </w: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680" w:type="dxa"/>
            <w:vAlign w:val="bottom"/>
          </w:tcPr>
          <w:p>
            <w:pPr>
              <w:ind w:left="80"/>
              <w:spacing w:after="0"/>
              <w:rPr>
                <w:sz w:val="20"/>
                <w:szCs w:val="20"/>
                <w:color w:val="auto"/>
              </w:rPr>
            </w:pPr>
            <w:r>
              <w:rPr>
                <w:rFonts w:ascii="Arial" w:cs="Arial" w:eastAsia="Arial" w:hAnsi="Arial"/>
                <w:sz w:val="16"/>
                <w:szCs w:val="16"/>
                <w:color w:val="auto"/>
              </w:rPr>
              <w:t>15,780</w:t>
            </w:r>
          </w:p>
        </w:tc>
        <w:tc>
          <w:tcPr>
            <w:tcW w:w="800" w:type="dxa"/>
            <w:vAlign w:val="bottom"/>
          </w:tcPr>
          <w:p>
            <w:pPr>
              <w:jc w:val="right"/>
              <w:spacing w:after="0"/>
              <w:rPr>
                <w:sz w:val="20"/>
                <w:szCs w:val="20"/>
                <w:color w:val="auto"/>
              </w:rPr>
            </w:pPr>
            <w:r>
              <w:rPr>
                <w:rFonts w:ascii="Arial" w:cs="Arial" w:eastAsia="Arial" w:hAnsi="Arial"/>
                <w:sz w:val="16"/>
                <w:szCs w:val="16"/>
                <w:color w:val="auto"/>
              </w:rPr>
              <w:t>39,450</w:t>
            </w: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875,001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740" w:type="dxa"/>
            <w:vAlign w:val="bottom"/>
          </w:tcPr>
          <w:p>
            <w:pPr>
              <w:jc w:val="right"/>
              <w:ind w:right="220"/>
              <w:spacing w:after="0"/>
              <w:rPr>
                <w:sz w:val="20"/>
                <w:szCs w:val="20"/>
                <w:color w:val="auto"/>
              </w:rPr>
            </w:pPr>
            <w:r>
              <w:rPr>
                <w:rFonts w:ascii="Arial" w:cs="Arial" w:eastAsia="Arial" w:hAnsi="Arial"/>
                <w:sz w:val="16"/>
                <w:szCs w:val="16"/>
                <w:color w:val="auto"/>
              </w:rPr>
              <w:t>TSR PSU</w:t>
            </w:r>
          </w:p>
        </w:tc>
        <w:tc>
          <w:tcPr>
            <w:tcW w:w="740" w:type="dxa"/>
            <w:vAlign w:val="bottom"/>
          </w:tcPr>
          <w:p>
            <w:pPr>
              <w:jc w:val="right"/>
              <w:spacing w:after="0"/>
              <w:rPr>
                <w:sz w:val="20"/>
                <w:szCs w:val="20"/>
                <w:color w:val="auto"/>
              </w:rPr>
            </w:pPr>
            <w:r>
              <w:rPr>
                <w:rFonts w:ascii="Arial" w:cs="Arial" w:eastAsia="Arial" w:hAnsi="Arial"/>
                <w:sz w:val="16"/>
                <w:szCs w:val="16"/>
                <w:color w:val="auto"/>
              </w:rPr>
              <w:t>1/18/23</w:t>
            </w: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3,504</w:t>
            </w:r>
          </w:p>
        </w:tc>
        <w:tc>
          <w:tcPr>
            <w:tcW w:w="680" w:type="dxa"/>
            <w:vAlign w:val="bottom"/>
          </w:tcPr>
          <w:p>
            <w:pPr>
              <w:ind w:left="80"/>
              <w:spacing w:after="0"/>
              <w:rPr>
                <w:sz w:val="20"/>
                <w:szCs w:val="20"/>
                <w:color w:val="auto"/>
              </w:rPr>
            </w:pPr>
            <w:r>
              <w:rPr>
                <w:rFonts w:ascii="Arial" w:cs="Arial" w:eastAsia="Arial" w:hAnsi="Arial"/>
                <w:sz w:val="16"/>
                <w:szCs w:val="16"/>
                <w:color w:val="auto"/>
              </w:rPr>
              <w:t>14,016</w:t>
            </w:r>
          </w:p>
        </w:tc>
        <w:tc>
          <w:tcPr>
            <w:tcW w:w="800" w:type="dxa"/>
            <w:vAlign w:val="bottom"/>
          </w:tcPr>
          <w:p>
            <w:pPr>
              <w:jc w:val="right"/>
              <w:spacing w:after="0"/>
              <w:rPr>
                <w:sz w:val="20"/>
                <w:szCs w:val="20"/>
                <w:color w:val="auto"/>
              </w:rPr>
            </w:pPr>
            <w:r>
              <w:rPr>
                <w:rFonts w:ascii="Arial" w:cs="Arial" w:eastAsia="Arial" w:hAnsi="Arial"/>
                <w:sz w:val="16"/>
                <w:szCs w:val="16"/>
                <w:color w:val="auto"/>
              </w:rPr>
              <w:t>28,032</w:t>
            </w: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875,019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800" w:type="dxa"/>
            <w:vAlign w:val="bottom"/>
            <w:vMerge w:val="restart"/>
          </w:tcPr>
          <w:p>
            <w:pPr>
              <w:ind w:left="60"/>
              <w:spacing w:after="0"/>
              <w:rPr>
                <w:sz w:val="20"/>
                <w:szCs w:val="20"/>
                <w:color w:val="auto"/>
              </w:rPr>
            </w:pPr>
            <w:r>
              <w:rPr>
                <w:rFonts w:ascii="Arial" w:cs="Arial" w:eastAsia="Arial" w:hAnsi="Arial"/>
                <w:sz w:val="16"/>
                <w:szCs w:val="16"/>
                <w:color w:val="auto"/>
              </w:rPr>
              <w:t>D. Ralston</w:t>
            </w:r>
          </w:p>
        </w:tc>
        <w:tc>
          <w:tcPr>
            <w:tcW w:w="1740" w:type="dxa"/>
            <w:vAlign w:val="bottom"/>
          </w:tcPr>
          <w:p>
            <w:pPr>
              <w:jc w:val="right"/>
              <w:ind w:right="220"/>
              <w:spacing w:after="0"/>
              <w:rPr>
                <w:sz w:val="20"/>
                <w:szCs w:val="20"/>
                <w:color w:val="auto"/>
              </w:rPr>
            </w:pPr>
            <w:r>
              <w:rPr>
                <w:rFonts w:ascii="Arial" w:cs="Arial" w:eastAsia="Arial" w:hAnsi="Arial"/>
                <w:sz w:val="16"/>
                <w:szCs w:val="16"/>
                <w:color w:val="auto"/>
              </w:rPr>
              <w:t>3-year RSU</w:t>
            </w:r>
          </w:p>
        </w:tc>
        <w:tc>
          <w:tcPr>
            <w:tcW w:w="740" w:type="dxa"/>
            <w:vAlign w:val="bottom"/>
          </w:tcPr>
          <w:p>
            <w:pPr>
              <w:jc w:val="right"/>
              <w:spacing w:after="0"/>
              <w:rPr>
                <w:sz w:val="20"/>
                <w:szCs w:val="20"/>
                <w:color w:val="auto"/>
              </w:rPr>
            </w:pPr>
            <w:r>
              <w:rPr>
                <w:rFonts w:ascii="Arial" w:cs="Arial" w:eastAsia="Arial" w:hAnsi="Arial"/>
                <w:sz w:val="16"/>
                <w:szCs w:val="16"/>
                <w:color w:val="auto"/>
              </w:rPr>
              <w:t>1/18/23</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262,508</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675,020</w:t>
            </w: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1,500,794</w:t>
            </w:r>
          </w:p>
        </w:tc>
        <w:tc>
          <w:tcPr>
            <w:tcW w:w="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15,780</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875,001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800" w:type="dxa"/>
            <w:vAlign w:val="bottom"/>
            <w:vMerge w:val="continue"/>
          </w:tcPr>
          <w:p>
            <w:pPr>
              <w:spacing w:after="0"/>
              <w:rPr>
                <w:sz w:val="17"/>
                <w:szCs w:val="17"/>
                <w:color w:val="auto"/>
              </w:rPr>
            </w:pPr>
          </w:p>
        </w:tc>
        <w:tc>
          <w:tcPr>
            <w:tcW w:w="1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800" w:type="dxa"/>
            <w:vAlign w:val="bottom"/>
          </w:tcPr>
          <w:p>
            <w:pPr>
              <w:spacing w:after="0"/>
              <w:rPr>
                <w:sz w:val="18"/>
                <w:szCs w:val="18"/>
                <w:color w:val="auto"/>
              </w:rPr>
            </w:pPr>
          </w:p>
        </w:tc>
        <w:tc>
          <w:tcPr>
            <w:tcW w:w="1740" w:type="dxa"/>
            <w:vAlign w:val="bottom"/>
          </w:tcPr>
          <w:p>
            <w:pPr>
              <w:jc w:val="right"/>
              <w:ind w:right="220"/>
              <w:spacing w:after="0"/>
              <w:rPr>
                <w:sz w:val="20"/>
                <w:szCs w:val="20"/>
                <w:color w:val="auto"/>
              </w:rPr>
            </w:pPr>
            <w:r>
              <w:rPr>
                <w:rFonts w:ascii="Arial" w:cs="Arial" w:eastAsia="Arial" w:hAnsi="Arial"/>
                <w:sz w:val="16"/>
                <w:szCs w:val="16"/>
                <w:color w:val="auto"/>
              </w:rPr>
              <w:t>FCFM PSU</w:t>
            </w:r>
          </w:p>
        </w:tc>
        <w:tc>
          <w:tcPr>
            <w:tcW w:w="740" w:type="dxa"/>
            <w:vAlign w:val="bottom"/>
          </w:tcPr>
          <w:p>
            <w:pPr>
              <w:jc w:val="right"/>
              <w:spacing w:after="0"/>
              <w:rPr>
                <w:sz w:val="20"/>
                <w:szCs w:val="20"/>
                <w:color w:val="auto"/>
              </w:rPr>
            </w:pPr>
            <w:r>
              <w:rPr>
                <w:rFonts w:ascii="Arial" w:cs="Arial" w:eastAsia="Arial" w:hAnsi="Arial"/>
                <w:sz w:val="16"/>
                <w:szCs w:val="16"/>
                <w:color w:val="auto"/>
              </w:rPr>
              <w:t>1/18/23</w:t>
            </w: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7,214</w:t>
            </w:r>
          </w:p>
        </w:tc>
        <w:tc>
          <w:tcPr>
            <w:tcW w:w="680" w:type="dxa"/>
            <w:vAlign w:val="bottom"/>
          </w:tcPr>
          <w:p>
            <w:pPr>
              <w:ind w:left="80"/>
              <w:spacing w:after="0"/>
              <w:rPr>
                <w:sz w:val="20"/>
                <w:szCs w:val="20"/>
                <w:color w:val="auto"/>
              </w:rPr>
            </w:pPr>
            <w:r>
              <w:rPr>
                <w:rFonts w:ascii="Arial" w:cs="Arial" w:eastAsia="Arial" w:hAnsi="Arial"/>
                <w:sz w:val="16"/>
                <w:szCs w:val="16"/>
                <w:color w:val="auto"/>
              </w:rPr>
              <w:t>14,427</w:t>
            </w:r>
          </w:p>
        </w:tc>
        <w:tc>
          <w:tcPr>
            <w:tcW w:w="800" w:type="dxa"/>
            <w:vAlign w:val="bottom"/>
          </w:tcPr>
          <w:p>
            <w:pPr>
              <w:jc w:val="right"/>
              <w:spacing w:after="0"/>
              <w:rPr>
                <w:sz w:val="20"/>
                <w:szCs w:val="20"/>
                <w:color w:val="auto"/>
              </w:rPr>
            </w:pPr>
            <w:r>
              <w:rPr>
                <w:rFonts w:ascii="Arial" w:cs="Arial" w:eastAsia="Arial" w:hAnsi="Arial"/>
                <w:sz w:val="16"/>
                <w:szCs w:val="16"/>
                <w:color w:val="auto"/>
              </w:rPr>
              <w:t>36,068</w:t>
            </w: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799,977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740" w:type="dxa"/>
            <w:vAlign w:val="bottom"/>
          </w:tcPr>
          <w:p>
            <w:pPr>
              <w:jc w:val="right"/>
              <w:ind w:right="220"/>
              <w:spacing w:after="0"/>
              <w:rPr>
                <w:sz w:val="20"/>
                <w:szCs w:val="20"/>
                <w:color w:val="auto"/>
              </w:rPr>
            </w:pPr>
            <w:r>
              <w:rPr>
                <w:rFonts w:ascii="Arial" w:cs="Arial" w:eastAsia="Arial" w:hAnsi="Arial"/>
                <w:sz w:val="16"/>
                <w:szCs w:val="16"/>
                <w:color w:val="auto"/>
              </w:rPr>
              <w:t>ROCE PSU</w:t>
            </w:r>
          </w:p>
        </w:tc>
        <w:tc>
          <w:tcPr>
            <w:tcW w:w="740" w:type="dxa"/>
            <w:vAlign w:val="bottom"/>
          </w:tcPr>
          <w:p>
            <w:pPr>
              <w:jc w:val="right"/>
              <w:spacing w:after="0"/>
              <w:rPr>
                <w:sz w:val="20"/>
                <w:szCs w:val="20"/>
                <w:color w:val="auto"/>
              </w:rPr>
            </w:pPr>
            <w:r>
              <w:rPr>
                <w:rFonts w:ascii="Arial" w:cs="Arial" w:eastAsia="Arial" w:hAnsi="Arial"/>
                <w:sz w:val="16"/>
                <w:szCs w:val="16"/>
                <w:color w:val="auto"/>
              </w:rPr>
              <w:t>1/18/23</w:t>
            </w: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680" w:type="dxa"/>
            <w:vAlign w:val="bottom"/>
          </w:tcPr>
          <w:p>
            <w:pPr>
              <w:ind w:left="80"/>
              <w:spacing w:after="0"/>
              <w:rPr>
                <w:sz w:val="20"/>
                <w:szCs w:val="20"/>
                <w:color w:val="auto"/>
              </w:rPr>
            </w:pPr>
            <w:r>
              <w:rPr>
                <w:rFonts w:ascii="Arial" w:cs="Arial" w:eastAsia="Arial" w:hAnsi="Arial"/>
                <w:sz w:val="16"/>
                <w:szCs w:val="16"/>
                <w:color w:val="auto"/>
              </w:rPr>
              <w:t>14,427</w:t>
            </w:r>
          </w:p>
        </w:tc>
        <w:tc>
          <w:tcPr>
            <w:tcW w:w="800" w:type="dxa"/>
            <w:vAlign w:val="bottom"/>
          </w:tcPr>
          <w:p>
            <w:pPr>
              <w:jc w:val="right"/>
              <w:spacing w:after="0"/>
              <w:rPr>
                <w:sz w:val="20"/>
                <w:szCs w:val="20"/>
                <w:color w:val="auto"/>
              </w:rPr>
            </w:pPr>
            <w:r>
              <w:rPr>
                <w:rFonts w:ascii="Arial" w:cs="Arial" w:eastAsia="Arial" w:hAnsi="Arial"/>
                <w:sz w:val="16"/>
                <w:szCs w:val="16"/>
                <w:color w:val="auto"/>
              </w:rPr>
              <w:t>36,068</w:t>
            </w: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799,977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740" w:type="dxa"/>
            <w:vAlign w:val="bottom"/>
          </w:tcPr>
          <w:p>
            <w:pPr>
              <w:jc w:val="right"/>
              <w:ind w:right="220"/>
              <w:spacing w:after="0"/>
              <w:rPr>
                <w:sz w:val="20"/>
                <w:szCs w:val="20"/>
                <w:color w:val="auto"/>
              </w:rPr>
            </w:pPr>
            <w:r>
              <w:rPr>
                <w:rFonts w:ascii="Arial" w:cs="Arial" w:eastAsia="Arial" w:hAnsi="Arial"/>
                <w:sz w:val="16"/>
                <w:szCs w:val="16"/>
                <w:color w:val="auto"/>
              </w:rPr>
              <w:t>TSR PSU</w:t>
            </w:r>
          </w:p>
        </w:tc>
        <w:tc>
          <w:tcPr>
            <w:tcW w:w="740" w:type="dxa"/>
            <w:vAlign w:val="bottom"/>
          </w:tcPr>
          <w:p>
            <w:pPr>
              <w:jc w:val="right"/>
              <w:spacing w:after="0"/>
              <w:rPr>
                <w:sz w:val="20"/>
                <w:szCs w:val="20"/>
                <w:color w:val="auto"/>
              </w:rPr>
            </w:pPr>
            <w:r>
              <w:rPr>
                <w:rFonts w:ascii="Arial" w:cs="Arial" w:eastAsia="Arial" w:hAnsi="Arial"/>
                <w:sz w:val="16"/>
                <w:szCs w:val="16"/>
                <w:color w:val="auto"/>
              </w:rPr>
              <w:t>1/18/23</w:t>
            </w: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3,204</w:t>
            </w:r>
          </w:p>
        </w:tc>
        <w:tc>
          <w:tcPr>
            <w:tcW w:w="680" w:type="dxa"/>
            <w:vAlign w:val="bottom"/>
          </w:tcPr>
          <w:p>
            <w:pPr>
              <w:ind w:left="80"/>
              <w:spacing w:after="0"/>
              <w:rPr>
                <w:sz w:val="20"/>
                <w:szCs w:val="20"/>
                <w:color w:val="auto"/>
              </w:rPr>
            </w:pPr>
            <w:r>
              <w:rPr>
                <w:rFonts w:ascii="Arial" w:cs="Arial" w:eastAsia="Arial" w:hAnsi="Arial"/>
                <w:sz w:val="16"/>
                <w:szCs w:val="16"/>
                <w:color w:val="auto"/>
              </w:rPr>
              <w:t>12,814</w:t>
            </w:r>
          </w:p>
        </w:tc>
        <w:tc>
          <w:tcPr>
            <w:tcW w:w="800" w:type="dxa"/>
            <w:vAlign w:val="bottom"/>
          </w:tcPr>
          <w:p>
            <w:pPr>
              <w:jc w:val="right"/>
              <w:spacing w:after="0"/>
              <w:rPr>
                <w:sz w:val="20"/>
                <w:szCs w:val="20"/>
                <w:color w:val="auto"/>
              </w:rPr>
            </w:pPr>
            <w:r>
              <w:rPr>
                <w:rFonts w:ascii="Arial" w:cs="Arial" w:eastAsia="Arial" w:hAnsi="Arial"/>
                <w:sz w:val="16"/>
                <w:szCs w:val="16"/>
                <w:color w:val="auto"/>
              </w:rPr>
              <w:t>25,628</w:t>
            </w: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799,978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0" w:type="dxa"/>
            <w:vAlign w:val="bottom"/>
            <w:tcBorders>
              <w:bottom w:val="single" w:sz="8" w:color="0233A1"/>
            </w:tcBorders>
          </w:tcPr>
          <w:p>
            <w:pPr>
              <w:spacing w:after="0"/>
              <w:rPr>
                <w:sz w:val="18"/>
                <w:szCs w:val="18"/>
                <w:color w:val="auto"/>
              </w:rPr>
            </w:pPr>
          </w:p>
        </w:tc>
        <w:tc>
          <w:tcPr>
            <w:tcW w:w="1740" w:type="dxa"/>
            <w:vAlign w:val="bottom"/>
            <w:tcBorders>
              <w:bottom w:val="single" w:sz="8" w:color="0233A1"/>
            </w:tcBorders>
          </w:tcPr>
          <w:p>
            <w:pPr>
              <w:jc w:val="right"/>
              <w:ind w:right="220"/>
              <w:spacing w:after="0"/>
              <w:rPr>
                <w:sz w:val="20"/>
                <w:szCs w:val="20"/>
                <w:color w:val="auto"/>
              </w:rPr>
            </w:pPr>
            <w:r>
              <w:rPr>
                <w:rFonts w:ascii="Arial" w:cs="Arial" w:eastAsia="Arial" w:hAnsi="Arial"/>
                <w:sz w:val="16"/>
                <w:szCs w:val="16"/>
                <w:color w:val="auto"/>
              </w:rPr>
              <w:t>3-year RSU</w:t>
            </w:r>
          </w:p>
        </w:tc>
        <w:tc>
          <w:tcPr>
            <w:tcW w:w="740" w:type="dxa"/>
            <w:vAlign w:val="bottom"/>
            <w:tcBorders>
              <w:bottom w:val="single" w:sz="8" w:color="0233A1"/>
            </w:tcBorders>
          </w:tcPr>
          <w:p>
            <w:pPr>
              <w:jc w:val="right"/>
              <w:spacing w:after="0"/>
              <w:rPr>
                <w:sz w:val="20"/>
                <w:szCs w:val="20"/>
                <w:color w:val="auto"/>
              </w:rPr>
            </w:pPr>
            <w:r>
              <w:rPr>
                <w:rFonts w:ascii="Arial" w:cs="Arial" w:eastAsia="Arial" w:hAnsi="Arial"/>
                <w:sz w:val="16"/>
                <w:szCs w:val="16"/>
                <w:color w:val="auto"/>
              </w:rPr>
              <w:t>1/18/23</w:t>
            </w:r>
          </w:p>
        </w:tc>
        <w:tc>
          <w:tcPr>
            <w:tcW w:w="860" w:type="dxa"/>
            <w:vAlign w:val="bottom"/>
            <w:tcBorders>
              <w:bottom w:val="single" w:sz="8" w:color="0233A1"/>
            </w:tcBorders>
          </w:tcPr>
          <w:p>
            <w:pPr>
              <w:spacing w:after="0"/>
              <w:rPr>
                <w:sz w:val="18"/>
                <w:szCs w:val="18"/>
                <w:color w:val="auto"/>
              </w:rPr>
            </w:pPr>
          </w:p>
        </w:tc>
        <w:tc>
          <w:tcPr>
            <w:tcW w:w="820" w:type="dxa"/>
            <w:vAlign w:val="bottom"/>
            <w:tcBorders>
              <w:bottom w:val="single" w:sz="8" w:color="0233A1"/>
            </w:tcBorders>
          </w:tcPr>
          <w:p>
            <w:pPr>
              <w:spacing w:after="0"/>
              <w:rPr>
                <w:sz w:val="18"/>
                <w:szCs w:val="18"/>
                <w:color w:val="auto"/>
              </w:rPr>
            </w:pPr>
          </w:p>
        </w:tc>
        <w:tc>
          <w:tcPr>
            <w:tcW w:w="800" w:type="dxa"/>
            <w:vAlign w:val="bottom"/>
            <w:tcBorders>
              <w:bottom w:val="single" w:sz="8" w:color="0233A1"/>
            </w:tcBorders>
          </w:tcPr>
          <w:p>
            <w:pPr>
              <w:spacing w:after="0"/>
              <w:rPr>
                <w:sz w:val="18"/>
                <w:szCs w:val="18"/>
                <w:color w:val="auto"/>
              </w:rPr>
            </w:pPr>
          </w:p>
        </w:tc>
        <w:tc>
          <w:tcPr>
            <w:tcW w:w="100" w:type="dxa"/>
            <w:vAlign w:val="bottom"/>
            <w:tcBorders>
              <w:bottom w:val="single" w:sz="8" w:color="0233A1"/>
            </w:tcBorders>
          </w:tcPr>
          <w:p>
            <w:pPr>
              <w:spacing w:after="0"/>
              <w:rPr>
                <w:sz w:val="18"/>
                <w:szCs w:val="18"/>
                <w:color w:val="auto"/>
              </w:rPr>
            </w:pPr>
          </w:p>
        </w:tc>
        <w:tc>
          <w:tcPr>
            <w:tcW w:w="860" w:type="dxa"/>
            <w:vAlign w:val="bottom"/>
            <w:tcBorders>
              <w:bottom w:val="single" w:sz="8" w:color="0233A1"/>
            </w:tcBorders>
          </w:tcPr>
          <w:p>
            <w:pPr>
              <w:spacing w:after="0"/>
              <w:rPr>
                <w:sz w:val="18"/>
                <w:szCs w:val="18"/>
                <w:color w:val="auto"/>
              </w:rPr>
            </w:pPr>
          </w:p>
        </w:tc>
        <w:tc>
          <w:tcPr>
            <w:tcW w:w="680" w:type="dxa"/>
            <w:vAlign w:val="bottom"/>
            <w:tcBorders>
              <w:bottom w:val="single" w:sz="8" w:color="0233A1"/>
            </w:tcBorders>
          </w:tcPr>
          <w:p>
            <w:pPr>
              <w:spacing w:after="0"/>
              <w:rPr>
                <w:sz w:val="18"/>
                <w:szCs w:val="18"/>
                <w:color w:val="auto"/>
              </w:rPr>
            </w:pPr>
          </w:p>
        </w:tc>
        <w:tc>
          <w:tcPr>
            <w:tcW w:w="800" w:type="dxa"/>
            <w:vAlign w:val="bottom"/>
            <w:tcBorders>
              <w:bottom w:val="single" w:sz="8" w:color="0233A1"/>
            </w:tcBorders>
          </w:tcPr>
          <w:p>
            <w:pPr>
              <w:spacing w:after="0"/>
              <w:rPr>
                <w:sz w:val="18"/>
                <w:szCs w:val="18"/>
                <w:color w:val="auto"/>
              </w:rPr>
            </w:pPr>
          </w:p>
        </w:tc>
        <w:tc>
          <w:tcPr>
            <w:tcW w:w="60" w:type="dxa"/>
            <w:vAlign w:val="bottom"/>
            <w:tcBorders>
              <w:bottom w:val="single" w:sz="8" w:color="0233A1"/>
            </w:tcBorders>
          </w:tcPr>
          <w:p>
            <w:pPr>
              <w:spacing w:after="0"/>
              <w:rPr>
                <w:sz w:val="18"/>
                <w:szCs w:val="18"/>
                <w:color w:val="auto"/>
              </w:rPr>
            </w:pPr>
          </w:p>
        </w:tc>
        <w:tc>
          <w:tcPr>
            <w:tcW w:w="720" w:type="dxa"/>
            <w:vAlign w:val="bottom"/>
            <w:tcBorders>
              <w:bottom w:val="single" w:sz="8" w:color="0233A1"/>
            </w:tcBorders>
          </w:tcPr>
          <w:p>
            <w:pPr>
              <w:jc w:val="right"/>
              <w:spacing w:after="0"/>
              <w:rPr>
                <w:sz w:val="20"/>
                <w:szCs w:val="20"/>
                <w:color w:val="auto"/>
              </w:rPr>
            </w:pPr>
            <w:r>
              <w:rPr>
                <w:rFonts w:ascii="Arial" w:cs="Arial" w:eastAsia="Arial" w:hAnsi="Arial"/>
                <w:sz w:val="16"/>
                <w:szCs w:val="16"/>
                <w:color w:val="auto"/>
              </w:rPr>
              <w:t>14,427</w:t>
            </w:r>
          </w:p>
        </w:tc>
        <w:tc>
          <w:tcPr>
            <w:tcW w:w="200" w:type="dxa"/>
            <w:vAlign w:val="bottom"/>
            <w:tcBorders>
              <w:bottom w:val="single" w:sz="8" w:color="0233A1"/>
            </w:tcBorders>
          </w:tcPr>
          <w:p>
            <w:pPr>
              <w:spacing w:after="0"/>
              <w:rPr>
                <w:sz w:val="18"/>
                <w:szCs w:val="18"/>
                <w:color w:val="auto"/>
              </w:rPr>
            </w:pPr>
          </w:p>
        </w:tc>
        <w:tc>
          <w:tcPr>
            <w:tcW w:w="840" w:type="dxa"/>
            <w:vAlign w:val="bottom"/>
            <w:tcBorders>
              <w:bottom w:val="single" w:sz="8" w:color="0233A1"/>
            </w:tcBorders>
          </w:tcPr>
          <w:p>
            <w:pPr>
              <w:jc w:val="right"/>
              <w:spacing w:after="0"/>
              <w:rPr>
                <w:sz w:val="20"/>
                <w:szCs w:val="20"/>
                <w:color w:val="auto"/>
              </w:rPr>
            </w:pPr>
            <w:r>
              <w:rPr>
                <w:rFonts w:ascii="Arial" w:cs="Arial" w:eastAsia="Arial" w:hAnsi="Arial"/>
                <w:sz w:val="16"/>
                <w:szCs w:val="16"/>
                <w:color w:val="auto"/>
              </w:rPr>
              <w:t>799,977</w:t>
            </w:r>
          </w:p>
        </w:tc>
        <w:tc>
          <w:tcPr>
            <w:tcW w:w="220" w:type="dxa"/>
            <w:vAlign w:val="bottom"/>
            <w:tcBorders>
              <w:bottom w:val="single" w:sz="8" w:color="0233A1"/>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-144780</wp:posOffset>
            </wp:positionV>
            <wp:extent cx="5614670" cy="8255"/>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5614670" cy="8255"/>
                    </a:xfrm>
                    <a:prstGeom prst="rect">
                      <a:avLst/>
                    </a:prstGeom>
                    <a:noFill/>
                  </pic:spPr>
                </pic:pic>
              </a:graphicData>
            </a:graphic>
          </wp:anchor>
        </w:drawing>
        <w:drawing>
          <wp:anchor simplePos="0" relativeHeight="251657728" behindDoc="1" locked="0" layoutInCell="0" allowOverlap="1">
            <wp:simplePos x="0" y="0"/>
            <wp:positionH relativeFrom="column">
              <wp:posOffset>1522095</wp:posOffset>
            </wp:positionH>
            <wp:positionV relativeFrom="paragraph">
              <wp:posOffset>-281940</wp:posOffset>
            </wp:positionV>
            <wp:extent cx="5614670" cy="8890"/>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5614670" cy="8890"/>
                    </a:xfrm>
                    <a:prstGeom prst="rect">
                      <a:avLst/>
                    </a:prstGeom>
                    <a:noFill/>
                  </pic:spPr>
                </pic:pic>
              </a:graphicData>
            </a:graphic>
          </wp:anchor>
        </w:drawing>
        <w:drawing>
          <wp:anchor simplePos="0" relativeHeight="251657728" behindDoc="1" locked="0" layoutInCell="0" allowOverlap="1">
            <wp:simplePos x="0" y="0"/>
            <wp:positionH relativeFrom="column">
              <wp:posOffset>1522095</wp:posOffset>
            </wp:positionH>
            <wp:positionV relativeFrom="paragraph">
              <wp:posOffset>-419100</wp:posOffset>
            </wp:positionV>
            <wp:extent cx="5614670" cy="8255"/>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5614670" cy="8255"/>
                    </a:xfrm>
                    <a:prstGeom prst="rect">
                      <a:avLst/>
                    </a:prstGeom>
                    <a:noFill/>
                  </pic:spPr>
                </pic:pic>
              </a:graphicData>
            </a:graphic>
          </wp:anchor>
        </w:drawing>
        <w:drawing>
          <wp:anchor simplePos="0" relativeHeight="251657728" behindDoc="1" locked="0" layoutInCell="0" allowOverlap="1">
            <wp:simplePos x="0" y="0"/>
            <wp:positionH relativeFrom="column">
              <wp:posOffset>1522095</wp:posOffset>
            </wp:positionH>
            <wp:positionV relativeFrom="paragraph">
              <wp:posOffset>-556895</wp:posOffset>
            </wp:positionV>
            <wp:extent cx="5614670" cy="8890"/>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56146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-693420</wp:posOffset>
            </wp:positionV>
            <wp:extent cx="7132320" cy="8890"/>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1522095</wp:posOffset>
            </wp:positionH>
            <wp:positionV relativeFrom="paragraph">
              <wp:posOffset>-830580</wp:posOffset>
            </wp:positionV>
            <wp:extent cx="5614670" cy="8255"/>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5614670" cy="8255"/>
                    </a:xfrm>
                    <a:prstGeom prst="rect">
                      <a:avLst/>
                    </a:prstGeom>
                    <a:noFill/>
                  </pic:spPr>
                </pic:pic>
              </a:graphicData>
            </a:graphic>
          </wp:anchor>
        </w:drawing>
        <w:drawing>
          <wp:anchor simplePos="0" relativeHeight="251657728" behindDoc="1" locked="0" layoutInCell="0" allowOverlap="1">
            <wp:simplePos x="0" y="0"/>
            <wp:positionH relativeFrom="column">
              <wp:posOffset>1522095</wp:posOffset>
            </wp:positionH>
            <wp:positionV relativeFrom="paragraph">
              <wp:posOffset>-967740</wp:posOffset>
            </wp:positionV>
            <wp:extent cx="5614670" cy="8255"/>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5614670" cy="8255"/>
                    </a:xfrm>
                    <a:prstGeom prst="rect">
                      <a:avLst/>
                    </a:prstGeom>
                    <a:noFill/>
                  </pic:spPr>
                </pic:pic>
              </a:graphicData>
            </a:graphic>
          </wp:anchor>
        </w:drawing>
        <w:drawing>
          <wp:anchor simplePos="0" relativeHeight="251657728" behindDoc="1" locked="0" layoutInCell="0" allowOverlap="1">
            <wp:simplePos x="0" y="0"/>
            <wp:positionH relativeFrom="column">
              <wp:posOffset>1522095</wp:posOffset>
            </wp:positionH>
            <wp:positionV relativeFrom="paragraph">
              <wp:posOffset>-1104900</wp:posOffset>
            </wp:positionV>
            <wp:extent cx="5614670" cy="8255"/>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5614670" cy="8255"/>
                    </a:xfrm>
                    <a:prstGeom prst="rect">
                      <a:avLst/>
                    </a:prstGeom>
                    <a:noFill/>
                  </pic:spPr>
                </pic:pic>
              </a:graphicData>
            </a:graphic>
          </wp:anchor>
        </w:drawing>
        <w:drawing>
          <wp:anchor simplePos="0" relativeHeight="251657728" behindDoc="1" locked="0" layoutInCell="0" allowOverlap="1">
            <wp:simplePos x="0" y="0"/>
            <wp:positionH relativeFrom="column">
              <wp:posOffset>1522095</wp:posOffset>
            </wp:positionH>
            <wp:positionV relativeFrom="paragraph">
              <wp:posOffset>-1242695</wp:posOffset>
            </wp:positionV>
            <wp:extent cx="5614670" cy="8890"/>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56146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-1379220</wp:posOffset>
            </wp:positionV>
            <wp:extent cx="7132320" cy="8255"/>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1522095</wp:posOffset>
            </wp:positionH>
            <wp:positionV relativeFrom="paragraph">
              <wp:posOffset>-1516380</wp:posOffset>
            </wp:positionV>
            <wp:extent cx="5614670" cy="8255"/>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5614670" cy="8255"/>
                    </a:xfrm>
                    <a:prstGeom prst="rect">
                      <a:avLst/>
                    </a:prstGeom>
                    <a:noFill/>
                  </pic:spPr>
                </pic:pic>
              </a:graphicData>
            </a:graphic>
          </wp:anchor>
        </w:drawing>
        <w:drawing>
          <wp:anchor simplePos="0" relativeHeight="251657728" behindDoc="1" locked="0" layoutInCell="0" allowOverlap="1">
            <wp:simplePos x="0" y="0"/>
            <wp:positionH relativeFrom="column">
              <wp:posOffset>1522095</wp:posOffset>
            </wp:positionH>
            <wp:positionV relativeFrom="paragraph">
              <wp:posOffset>-1653540</wp:posOffset>
            </wp:positionV>
            <wp:extent cx="5614670" cy="8255"/>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5614670" cy="8255"/>
                    </a:xfrm>
                    <a:prstGeom prst="rect">
                      <a:avLst/>
                    </a:prstGeom>
                    <a:noFill/>
                  </pic:spPr>
                </pic:pic>
              </a:graphicData>
            </a:graphic>
          </wp:anchor>
        </w:drawing>
        <w:drawing>
          <wp:anchor simplePos="0" relativeHeight="251657728" behindDoc="1" locked="0" layoutInCell="0" allowOverlap="1">
            <wp:simplePos x="0" y="0"/>
            <wp:positionH relativeFrom="column">
              <wp:posOffset>1522095</wp:posOffset>
            </wp:positionH>
            <wp:positionV relativeFrom="paragraph">
              <wp:posOffset>-1790700</wp:posOffset>
            </wp:positionV>
            <wp:extent cx="5614670" cy="8255"/>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5614670" cy="8255"/>
                    </a:xfrm>
                    <a:prstGeom prst="rect">
                      <a:avLst/>
                    </a:prstGeom>
                    <a:noFill/>
                  </pic:spPr>
                </pic:pic>
              </a:graphicData>
            </a:graphic>
          </wp:anchor>
        </w:drawing>
        <w:drawing>
          <wp:anchor simplePos="0" relativeHeight="251657728" behindDoc="1" locked="0" layoutInCell="0" allowOverlap="1">
            <wp:simplePos x="0" y="0"/>
            <wp:positionH relativeFrom="column">
              <wp:posOffset>1522095</wp:posOffset>
            </wp:positionH>
            <wp:positionV relativeFrom="paragraph">
              <wp:posOffset>-1928495</wp:posOffset>
            </wp:positionV>
            <wp:extent cx="5614670" cy="8890"/>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56146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-2065020</wp:posOffset>
            </wp:positionV>
            <wp:extent cx="7132320" cy="8255"/>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1522095</wp:posOffset>
            </wp:positionH>
            <wp:positionV relativeFrom="paragraph">
              <wp:posOffset>-2202180</wp:posOffset>
            </wp:positionV>
            <wp:extent cx="5614670" cy="8255"/>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5614670" cy="8255"/>
                    </a:xfrm>
                    <a:prstGeom prst="rect">
                      <a:avLst/>
                    </a:prstGeom>
                    <a:noFill/>
                  </pic:spPr>
                </pic:pic>
              </a:graphicData>
            </a:graphic>
          </wp:anchor>
        </w:drawing>
        <w:drawing>
          <wp:anchor simplePos="0" relativeHeight="251657728" behindDoc="1" locked="0" layoutInCell="0" allowOverlap="1">
            <wp:simplePos x="0" y="0"/>
            <wp:positionH relativeFrom="column">
              <wp:posOffset>1522095</wp:posOffset>
            </wp:positionH>
            <wp:positionV relativeFrom="paragraph">
              <wp:posOffset>-2339340</wp:posOffset>
            </wp:positionV>
            <wp:extent cx="5614670" cy="8255"/>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5614670" cy="8255"/>
                    </a:xfrm>
                    <a:prstGeom prst="rect">
                      <a:avLst/>
                    </a:prstGeom>
                    <a:noFill/>
                  </pic:spPr>
                </pic:pic>
              </a:graphicData>
            </a:graphic>
          </wp:anchor>
        </w:drawing>
        <w:drawing>
          <wp:anchor simplePos="0" relativeHeight="251657728" behindDoc="1" locked="0" layoutInCell="0" allowOverlap="1">
            <wp:simplePos x="0" y="0"/>
            <wp:positionH relativeFrom="column">
              <wp:posOffset>1522095</wp:posOffset>
            </wp:positionH>
            <wp:positionV relativeFrom="paragraph">
              <wp:posOffset>-2476500</wp:posOffset>
            </wp:positionV>
            <wp:extent cx="5614670" cy="8255"/>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5614670" cy="8255"/>
                    </a:xfrm>
                    <a:prstGeom prst="rect">
                      <a:avLst/>
                    </a:prstGeom>
                    <a:noFill/>
                  </pic:spPr>
                </pic:pic>
              </a:graphicData>
            </a:graphic>
          </wp:anchor>
        </w:drawing>
        <w:drawing>
          <wp:anchor simplePos="0" relativeHeight="251657728" behindDoc="1" locked="0" layoutInCell="0" allowOverlap="1">
            <wp:simplePos x="0" y="0"/>
            <wp:positionH relativeFrom="column">
              <wp:posOffset>1522095</wp:posOffset>
            </wp:positionH>
            <wp:positionV relativeFrom="paragraph">
              <wp:posOffset>-2613660</wp:posOffset>
            </wp:positionV>
            <wp:extent cx="5614670" cy="8255"/>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56146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-2750820</wp:posOffset>
            </wp:positionV>
            <wp:extent cx="7132320" cy="8890"/>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1522095</wp:posOffset>
            </wp:positionH>
            <wp:positionV relativeFrom="paragraph">
              <wp:posOffset>-2887980</wp:posOffset>
            </wp:positionV>
            <wp:extent cx="5614670" cy="8255"/>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5614670" cy="8255"/>
                    </a:xfrm>
                    <a:prstGeom prst="rect">
                      <a:avLst/>
                    </a:prstGeom>
                    <a:noFill/>
                  </pic:spPr>
                </pic:pic>
              </a:graphicData>
            </a:graphic>
          </wp:anchor>
        </w:drawing>
        <w:drawing>
          <wp:anchor simplePos="0" relativeHeight="251657728" behindDoc="1" locked="0" layoutInCell="0" allowOverlap="1">
            <wp:simplePos x="0" y="0"/>
            <wp:positionH relativeFrom="column">
              <wp:posOffset>1522095</wp:posOffset>
            </wp:positionH>
            <wp:positionV relativeFrom="paragraph">
              <wp:posOffset>-3025140</wp:posOffset>
            </wp:positionV>
            <wp:extent cx="5614670" cy="8255"/>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5614670" cy="8255"/>
                    </a:xfrm>
                    <a:prstGeom prst="rect">
                      <a:avLst/>
                    </a:prstGeom>
                    <a:noFill/>
                  </pic:spPr>
                </pic:pic>
              </a:graphicData>
            </a:graphic>
          </wp:anchor>
        </w:drawing>
        <w:drawing>
          <wp:anchor simplePos="0" relativeHeight="251657728" behindDoc="1" locked="0" layoutInCell="0" allowOverlap="1">
            <wp:simplePos x="0" y="0"/>
            <wp:positionH relativeFrom="column">
              <wp:posOffset>1522095</wp:posOffset>
            </wp:positionH>
            <wp:positionV relativeFrom="paragraph">
              <wp:posOffset>-3162300</wp:posOffset>
            </wp:positionV>
            <wp:extent cx="5614670" cy="8255"/>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5614670" cy="8255"/>
                    </a:xfrm>
                    <a:prstGeom prst="rect">
                      <a:avLst/>
                    </a:prstGeom>
                    <a:noFill/>
                  </pic:spPr>
                </pic:pic>
              </a:graphicData>
            </a:graphic>
          </wp:anchor>
        </w:drawing>
        <w:drawing>
          <wp:anchor simplePos="0" relativeHeight="251657728" behindDoc="1" locked="0" layoutInCell="0" allowOverlap="1">
            <wp:simplePos x="0" y="0"/>
            <wp:positionH relativeFrom="column">
              <wp:posOffset>1522095</wp:posOffset>
            </wp:positionH>
            <wp:positionV relativeFrom="paragraph">
              <wp:posOffset>-3299460</wp:posOffset>
            </wp:positionV>
            <wp:extent cx="5614670" cy="8255"/>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5614670" cy="8255"/>
                    </a:xfrm>
                    <a:prstGeom prst="rect">
                      <a:avLst/>
                    </a:prstGeom>
                    <a:noFill/>
                  </pic:spPr>
                </pic:pic>
              </a:graphicData>
            </a:graphic>
          </wp:anchor>
        </w:drawing>
      </w:r>
    </w:p>
    <w:p>
      <w:pPr>
        <w:spacing w:after="0" w:line="38"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 xml:space="preserve">All equity grants were awarded under the 2017 SLB Omnibus Stock Incentive Plan (as amended and restated, the </w:t>
      </w:r>
      <w:r>
        <w:rPr>
          <w:rFonts w:ascii="Arial" w:cs="Arial" w:eastAsia="Arial" w:hAnsi="Arial"/>
          <w:sz w:val="14"/>
          <w:szCs w:val="14"/>
          <w:b w:val="1"/>
          <w:bCs w:val="1"/>
          <w:color w:val="auto"/>
        </w:rPr>
        <w:t>2017 Incentive Plan</w:t>
      </w:r>
      <w:r>
        <w:rPr>
          <w:rFonts w:ascii="Arial" w:cs="Arial" w:eastAsia="Arial" w:hAnsi="Arial"/>
          <w:sz w:val="14"/>
          <w:szCs w:val="14"/>
          <w:color w:val="auto"/>
        </w:rPr>
        <w:t>).</w:t>
      </w:r>
    </w:p>
    <w:p>
      <w:pPr>
        <w:spacing w:after="0" w:line="55" w:lineRule="exact"/>
        <w:rPr>
          <w:rFonts w:ascii="Arial" w:cs="Arial" w:eastAsia="Arial" w:hAnsi="Arial"/>
          <w:sz w:val="14"/>
          <w:szCs w:val="14"/>
          <w:color w:val="auto"/>
        </w:rPr>
      </w:pPr>
    </w:p>
    <w:p>
      <w:pPr>
        <w:jc w:val="both"/>
        <w:ind w:left="340" w:hanging="332"/>
        <w:spacing w:after="0" w:line="256" w:lineRule="auto"/>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These columns show the possible cash incentive payouts for each NEO for fiscal year 2023 based on performance goals set for the year. Threshold, target, and maximum possible payouts are based on the STI range established for each NEO, which is expressed as a percentage of base salary for the year. Actual cash incentive amounts earned for 2023 are reflected in the “Non-Equity Incentive Plan Compensation” column of the Summary Compensation Table. For information about the 2023 STI awards paid to our NEOs, see “Compensation Discussion and Analysis—Elements of 2023 Total Compensation—Short-Term Cash Incentive Awards” beginning on page 37.</w:t>
      </w:r>
    </w:p>
    <w:p>
      <w:pPr>
        <w:spacing w:after="0" w:line="15" w:lineRule="exact"/>
        <w:rPr>
          <w:rFonts w:ascii="Arial" w:cs="Arial" w:eastAsia="Arial" w:hAnsi="Arial"/>
          <w:sz w:val="14"/>
          <w:szCs w:val="14"/>
          <w:color w:val="auto"/>
        </w:rPr>
      </w:pPr>
    </w:p>
    <w:p>
      <w:pPr>
        <w:jc w:val="both"/>
        <w:ind w:left="340" w:hanging="332"/>
        <w:spacing w:after="0" w:line="250" w:lineRule="auto"/>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Relates to PSUs, all of which are subject to a three-year performance period. See “Compensation Discussion and Analysis—Elements of 2023 Total Compensation—Long-Term Equity Incentive Awards” beginning on page 41 for a detailed description of our PSUs, including the criteria to be applied in determining vesting of PSUs. “Threshold” represents the number of shares deliverable on achievement of the applicable threshold performance goal under each PSU grant. The PSU award agreements provide that no PSUs will vest unless a specified threshold level of performance is achieved. “Target” represents the number of shares deliverable on achievement of target performance under each PSU grant, and “Maximum” reflects the highest possible payout (250% of target for the 2023 FCF Margin PSUs and 2023 ROCE PSUs, and 200% of target for the 2023 TSR PSUs). PSUs do not accrue or pay dividends or dividend equivalents prior to vesting. Vested PSUs are paid in shares of our common stock.</w:t>
      </w:r>
    </w:p>
    <w:p>
      <w:pPr>
        <w:spacing w:after="0" w:line="19" w:lineRule="exact"/>
        <w:rPr>
          <w:rFonts w:ascii="Arial" w:cs="Arial" w:eastAsia="Arial" w:hAnsi="Arial"/>
          <w:sz w:val="14"/>
          <w:szCs w:val="14"/>
          <w:color w:val="auto"/>
        </w:rPr>
      </w:pPr>
    </w:p>
    <w:p>
      <w:pPr>
        <w:ind w:left="340" w:hanging="332"/>
        <w:spacing w:after="0" w:line="281" w:lineRule="auto"/>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Relates to RSUs, all of which will vest on the third anniversary of the grant date, subject to continued employment with SLB. RSUs do not accrue or pay dividends or dividend equivalents prior to vesting. Vested RSUs are paid in shares of our common stock.</w:t>
      </w:r>
    </w:p>
    <w:p>
      <w:pPr>
        <w:spacing w:after="0" w:line="1" w:lineRule="exact"/>
        <w:rPr>
          <w:rFonts w:ascii="Arial" w:cs="Arial" w:eastAsia="Arial" w:hAnsi="Arial"/>
          <w:sz w:val="14"/>
          <w:szCs w:val="14"/>
          <w:color w:val="auto"/>
        </w:rPr>
      </w:pPr>
    </w:p>
    <w:p>
      <w:pPr>
        <w:jc w:val="both"/>
        <w:ind w:left="340" w:hanging="332"/>
        <w:spacing w:after="0" w:line="258" w:lineRule="auto"/>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With respect to PSU awards, this column reflects the grant date fair value for such PSUs at target. We calculated the grant date fair value of each PSU award by multiplying the number of PSUs at target by the applicable grant date fair values for the PSUs: (i) $55.45 for the 2023 FCF Margin PSUs and 2023 ROCE PSUs; and (ii) $62.43 for the 2023 TSR PSUs. With respect to RSU awards, we calculated the grant date fair value by multiplying the number of RSUs by the grant date fair value of $55.45.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285115</wp:posOffset>
            </wp:positionV>
            <wp:extent cx="471805" cy="282575"/>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2024 Proxy Statement</w:t>
            </w:r>
          </w:p>
        </w:tc>
        <w:tc>
          <w:tcPr>
            <w:tcW w:w="3600" w:type="dxa"/>
            <w:vAlign w:val="bottom"/>
            <w:tcBorders>
              <w:bottom w:val="single" w:sz="8" w:color="auto"/>
            </w:tcBorders>
          </w:tcPr>
          <w:p>
            <w:pPr>
              <w:spacing w:after="0"/>
              <w:rPr>
                <w:sz w:val="12"/>
                <w:szCs w:val="12"/>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51</w:t>
            </w:r>
          </w:p>
        </w:tc>
        <w:tc>
          <w:tcPr>
            <w:tcW w:w="4480" w:type="dxa"/>
            <w:vAlign w:val="bottom"/>
            <w:tcBorders>
              <w:bottom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36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48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56" w:name="page57"/>
    <w:bookmarkEnd w:id="56"/>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color w:val="16458B"/>
        </w:rPr>
        <w:t>Outstanding Equity Awards at Year-End 2023</w:t>
      </w:r>
    </w:p>
    <w:p>
      <w:pPr>
        <w:spacing w:after="0" w:line="211" w:lineRule="exact"/>
        <w:rPr>
          <w:sz w:val="20"/>
          <w:szCs w:val="20"/>
          <w:color w:val="auto"/>
        </w:rPr>
      </w:pPr>
    </w:p>
    <w:p>
      <w:pPr>
        <w:ind w:right="20" w:firstLine="180"/>
        <w:spacing w:after="0" w:line="286" w:lineRule="auto"/>
        <w:rPr>
          <w:sz w:val="20"/>
          <w:szCs w:val="20"/>
          <w:color w:val="auto"/>
        </w:rPr>
      </w:pPr>
      <w:r>
        <w:rPr>
          <w:rFonts w:ascii="Arial" w:cs="Arial" w:eastAsia="Arial" w:hAnsi="Arial"/>
          <w:sz w:val="16"/>
          <w:szCs w:val="16"/>
          <w:color w:val="auto"/>
        </w:rPr>
        <w:t>The following table provides additional information regarding outstanding and unexercised stock options and outstanding PSU and RSU awards for each of our NEOs as of December 31,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Borders>
              <w:bottom w:val="single" w:sz="8" w:color="0233A1"/>
            </w:tcBorders>
          </w:tcPr>
          <w:p>
            <w:pPr>
              <w:spacing w:after="0"/>
              <w:rPr>
                <w:sz w:val="17"/>
                <w:szCs w:val="17"/>
                <w:color w:val="auto"/>
              </w:rPr>
            </w:pPr>
          </w:p>
        </w:tc>
        <w:tc>
          <w:tcPr>
            <w:tcW w:w="2240" w:type="dxa"/>
            <w:vAlign w:val="bottom"/>
            <w:tcBorders>
              <w:bottom w:val="single" w:sz="8" w:color="0233A1"/>
            </w:tcBorders>
            <w:gridSpan w:val="2"/>
          </w:tcPr>
          <w:p>
            <w:pPr>
              <w:jc w:val="right"/>
              <w:ind w:right="139"/>
              <w:spacing w:after="0"/>
              <w:rPr>
                <w:sz w:val="20"/>
                <w:szCs w:val="20"/>
                <w:color w:val="auto"/>
              </w:rPr>
            </w:pPr>
            <w:r>
              <w:rPr>
                <w:rFonts w:ascii="Arial" w:cs="Arial" w:eastAsia="Arial" w:hAnsi="Arial"/>
                <w:sz w:val="16"/>
                <w:szCs w:val="16"/>
                <w:b w:val="1"/>
                <w:bCs w:val="1"/>
                <w:color w:val="0233A1"/>
              </w:rPr>
              <w:t>Option Awards</w:t>
            </w:r>
          </w:p>
        </w:tc>
        <w:tc>
          <w:tcPr>
            <w:tcW w:w="740" w:type="dxa"/>
            <w:vAlign w:val="bottom"/>
            <w:tcBorders>
              <w:bottom w:val="single" w:sz="8" w:color="0233A1"/>
            </w:tcBorders>
          </w:tcPr>
          <w:p>
            <w:pPr>
              <w:spacing w:after="0"/>
              <w:rPr>
                <w:sz w:val="17"/>
                <w:szCs w:val="17"/>
                <w:color w:val="auto"/>
              </w:rPr>
            </w:pPr>
          </w:p>
        </w:tc>
        <w:tc>
          <w:tcPr>
            <w:tcW w:w="380" w:type="dxa"/>
            <w:vAlign w:val="bottom"/>
            <w:tcBorders>
              <w:bottom w:val="single" w:sz="8" w:color="0233A1"/>
            </w:tcBorders>
          </w:tcPr>
          <w:p>
            <w:pPr>
              <w:spacing w:after="0"/>
              <w:rPr>
                <w:sz w:val="17"/>
                <w:szCs w:val="17"/>
                <w:color w:val="auto"/>
              </w:rPr>
            </w:pPr>
          </w:p>
        </w:tc>
        <w:tc>
          <w:tcPr>
            <w:tcW w:w="420" w:type="dxa"/>
            <w:vAlign w:val="bottom"/>
            <w:tcBorders>
              <w:bottom w:val="single" w:sz="8" w:color="0233A1"/>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Borders>
              <w:bottom w:val="single" w:sz="8" w:color="0233A1"/>
            </w:tcBorders>
          </w:tcPr>
          <w:p>
            <w:pPr>
              <w:spacing w:after="0"/>
              <w:rPr>
                <w:sz w:val="17"/>
                <w:szCs w:val="17"/>
                <w:color w:val="auto"/>
              </w:rPr>
            </w:pPr>
          </w:p>
        </w:tc>
        <w:tc>
          <w:tcPr>
            <w:tcW w:w="1080" w:type="dxa"/>
            <w:vAlign w:val="bottom"/>
            <w:tcBorders>
              <w:bottom w:val="single" w:sz="8" w:color="0233A1"/>
            </w:tcBorders>
          </w:tcPr>
          <w:p>
            <w:pPr>
              <w:spacing w:after="0"/>
              <w:rPr>
                <w:sz w:val="17"/>
                <w:szCs w:val="17"/>
                <w:color w:val="auto"/>
              </w:rPr>
            </w:pPr>
          </w:p>
        </w:tc>
        <w:tc>
          <w:tcPr>
            <w:tcW w:w="1500" w:type="dxa"/>
            <w:vAlign w:val="bottom"/>
            <w:tcBorders>
              <w:bottom w:val="single" w:sz="8" w:color="0233A1"/>
            </w:tcBorders>
            <w:gridSpan w:val="2"/>
          </w:tcPr>
          <w:p>
            <w:pPr>
              <w:jc w:val="right"/>
              <w:ind w:right="420"/>
              <w:spacing w:after="0"/>
              <w:rPr>
                <w:sz w:val="20"/>
                <w:szCs w:val="20"/>
                <w:color w:val="auto"/>
              </w:rPr>
            </w:pPr>
            <w:r>
              <w:rPr>
                <w:rFonts w:ascii="Arial" w:cs="Arial" w:eastAsia="Arial" w:hAnsi="Arial"/>
                <w:sz w:val="16"/>
                <w:szCs w:val="16"/>
                <w:b w:val="1"/>
                <w:bCs w:val="1"/>
                <w:color w:val="0233A1"/>
              </w:rPr>
              <w:t>Stock Awards</w:t>
            </w:r>
          </w:p>
        </w:tc>
        <w:tc>
          <w:tcPr>
            <w:tcW w:w="1720" w:type="dxa"/>
            <w:vAlign w:val="bottom"/>
            <w:tcBorders>
              <w:bottom w:val="single" w:sz="8" w:color="0233A1"/>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00" w:type="dxa"/>
            <w:vAlign w:val="bottom"/>
            <w:gridSpan w:val="2"/>
          </w:tcPr>
          <w:p>
            <w:pPr>
              <w:jc w:val="right"/>
              <w:ind w:right="200"/>
              <w:spacing w:after="0" w:line="168" w:lineRule="exact"/>
              <w:rPr>
                <w:sz w:val="20"/>
                <w:szCs w:val="20"/>
                <w:color w:val="auto"/>
              </w:rPr>
            </w:pPr>
            <w:r>
              <w:rPr>
                <w:rFonts w:ascii="Arial" w:cs="Arial" w:eastAsia="Arial" w:hAnsi="Arial"/>
                <w:sz w:val="16"/>
                <w:szCs w:val="16"/>
                <w:b w:val="1"/>
                <w:bCs w:val="1"/>
                <w:color w:val="0233A1"/>
              </w:rPr>
              <w:t>Equity</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0233A1"/>
              </w:rPr>
              <w:t>Incentive</w:t>
            </w:r>
          </w:p>
        </w:tc>
        <w:tc>
          <w:tcPr>
            <w:tcW w:w="1720" w:type="dxa"/>
            <w:vAlign w:val="bottom"/>
          </w:tcPr>
          <w:p>
            <w:pPr>
              <w:jc w:val="right"/>
              <w:ind w:right="139"/>
              <w:spacing w:after="0"/>
              <w:rPr>
                <w:sz w:val="20"/>
                <w:szCs w:val="20"/>
                <w:color w:val="auto"/>
              </w:rPr>
            </w:pPr>
            <w:r>
              <w:rPr>
                <w:rFonts w:ascii="Arial" w:cs="Arial" w:eastAsia="Arial" w:hAnsi="Arial"/>
                <w:sz w:val="16"/>
                <w:szCs w:val="16"/>
                <w:b w:val="1"/>
                <w:bCs w:val="1"/>
                <w:color w:val="0233A1"/>
              </w:rPr>
              <w:t>Equity</w:t>
            </w: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b w:val="1"/>
                <w:bCs w:val="1"/>
                <w:color w:val="0233A1"/>
              </w:rPr>
              <w:t>Market</w:t>
            </w:r>
          </w:p>
        </w:tc>
        <w:tc>
          <w:tcPr>
            <w:tcW w:w="15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0233A1"/>
              </w:rPr>
              <w:t>Plan Awards:</w:t>
            </w:r>
          </w:p>
        </w:tc>
        <w:tc>
          <w:tcPr>
            <w:tcW w:w="1720" w:type="dxa"/>
            <w:vAlign w:val="bottom"/>
          </w:tcPr>
          <w:p>
            <w:pPr>
              <w:jc w:val="right"/>
              <w:ind w:right="139"/>
              <w:spacing w:after="0"/>
              <w:rPr>
                <w:sz w:val="20"/>
                <w:szCs w:val="20"/>
                <w:color w:val="auto"/>
              </w:rPr>
            </w:pPr>
            <w:r>
              <w:rPr>
                <w:rFonts w:ascii="Arial" w:cs="Arial" w:eastAsia="Arial" w:hAnsi="Arial"/>
                <w:sz w:val="16"/>
                <w:szCs w:val="16"/>
                <w:b w:val="1"/>
                <w:bCs w:val="1"/>
                <w:color w:val="0233A1"/>
              </w:rPr>
              <w:t>Incentive</w:t>
            </w: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0233A1"/>
              </w:rPr>
              <w:t>Number of</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0233A1"/>
              </w:rPr>
              <w:t>Number of</w:t>
            </w: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b w:val="1"/>
                <w:bCs w:val="1"/>
                <w:color w:val="0233A1"/>
              </w:rPr>
              <w:t>Number</w:t>
            </w:r>
          </w:p>
        </w:tc>
        <w:tc>
          <w:tcPr>
            <w:tcW w:w="1080" w:type="dxa"/>
            <w:vAlign w:val="bottom"/>
          </w:tcPr>
          <w:p>
            <w:pPr>
              <w:jc w:val="right"/>
              <w:ind w:right="79"/>
              <w:spacing w:after="0"/>
              <w:rPr>
                <w:sz w:val="20"/>
                <w:szCs w:val="20"/>
                <w:color w:val="auto"/>
              </w:rPr>
            </w:pPr>
            <w:r>
              <w:rPr>
                <w:rFonts w:ascii="Arial" w:cs="Arial" w:eastAsia="Arial" w:hAnsi="Arial"/>
                <w:sz w:val="16"/>
                <w:szCs w:val="16"/>
                <w:b w:val="1"/>
                <w:bCs w:val="1"/>
                <w:color w:val="0233A1"/>
              </w:rPr>
              <w:t>Value of</w:t>
            </w:r>
          </w:p>
        </w:tc>
        <w:tc>
          <w:tcPr>
            <w:tcW w:w="15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0233A1"/>
              </w:rPr>
              <w:t>Number of</w:t>
            </w:r>
          </w:p>
        </w:tc>
        <w:tc>
          <w:tcPr>
            <w:tcW w:w="1720" w:type="dxa"/>
            <w:vAlign w:val="bottom"/>
          </w:tcPr>
          <w:p>
            <w:pPr>
              <w:jc w:val="right"/>
              <w:ind w:right="139"/>
              <w:spacing w:after="0"/>
              <w:rPr>
                <w:sz w:val="20"/>
                <w:szCs w:val="20"/>
                <w:color w:val="auto"/>
              </w:rPr>
            </w:pPr>
            <w:r>
              <w:rPr>
                <w:rFonts w:ascii="Arial" w:cs="Arial" w:eastAsia="Arial" w:hAnsi="Arial"/>
                <w:sz w:val="16"/>
                <w:szCs w:val="16"/>
                <w:b w:val="1"/>
                <w:bCs w:val="1"/>
                <w:color w:val="0233A1"/>
              </w:rPr>
              <w:t>Plan Awards:</w:t>
            </w: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0233A1"/>
              </w:rPr>
              <w:t>Securities</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0233A1"/>
              </w:rPr>
              <w:t>Securities</w:t>
            </w: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b w:val="1"/>
                <w:bCs w:val="1"/>
                <w:color w:val="0233A1"/>
              </w:rPr>
              <w:t>of Shares</w:t>
            </w:r>
          </w:p>
        </w:tc>
        <w:tc>
          <w:tcPr>
            <w:tcW w:w="1080" w:type="dxa"/>
            <w:vAlign w:val="bottom"/>
          </w:tcPr>
          <w:p>
            <w:pPr>
              <w:jc w:val="right"/>
              <w:ind w:right="79"/>
              <w:spacing w:after="0"/>
              <w:rPr>
                <w:sz w:val="20"/>
                <w:szCs w:val="20"/>
                <w:color w:val="auto"/>
              </w:rPr>
            </w:pPr>
            <w:r>
              <w:rPr>
                <w:rFonts w:ascii="Arial" w:cs="Arial" w:eastAsia="Arial" w:hAnsi="Arial"/>
                <w:sz w:val="16"/>
                <w:szCs w:val="16"/>
                <w:b w:val="1"/>
                <w:bCs w:val="1"/>
                <w:color w:val="0233A1"/>
              </w:rPr>
              <w:t>Shares or</w:t>
            </w:r>
          </w:p>
        </w:tc>
        <w:tc>
          <w:tcPr>
            <w:tcW w:w="15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0233A1"/>
              </w:rPr>
              <w:t>Unearned</w:t>
            </w:r>
          </w:p>
        </w:tc>
        <w:tc>
          <w:tcPr>
            <w:tcW w:w="1720" w:type="dxa"/>
            <w:vAlign w:val="bottom"/>
          </w:tcPr>
          <w:p>
            <w:pPr>
              <w:jc w:val="right"/>
              <w:ind w:right="139"/>
              <w:spacing w:after="0"/>
              <w:rPr>
                <w:sz w:val="20"/>
                <w:szCs w:val="20"/>
                <w:color w:val="auto"/>
              </w:rPr>
            </w:pPr>
            <w:r>
              <w:rPr>
                <w:rFonts w:ascii="Arial" w:cs="Arial" w:eastAsia="Arial" w:hAnsi="Arial"/>
                <w:sz w:val="16"/>
                <w:szCs w:val="16"/>
                <w:b w:val="1"/>
                <w:bCs w:val="1"/>
                <w:color w:val="0233A1"/>
              </w:rPr>
              <w:t>Market or Payout</w:t>
            </w: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0233A1"/>
              </w:rPr>
              <w:t>Underlying</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0233A1"/>
              </w:rPr>
              <w:t>Underlying</w:t>
            </w: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b w:val="1"/>
                <w:bCs w:val="1"/>
                <w:color w:val="0233A1"/>
                <w:w w:val="99"/>
              </w:rPr>
              <w:t>or Units of</w:t>
            </w:r>
          </w:p>
        </w:tc>
        <w:tc>
          <w:tcPr>
            <w:tcW w:w="1080" w:type="dxa"/>
            <w:vAlign w:val="bottom"/>
          </w:tcPr>
          <w:p>
            <w:pPr>
              <w:jc w:val="right"/>
              <w:ind w:right="79"/>
              <w:spacing w:after="0"/>
              <w:rPr>
                <w:sz w:val="20"/>
                <w:szCs w:val="20"/>
                <w:color w:val="auto"/>
              </w:rPr>
            </w:pPr>
            <w:r>
              <w:rPr>
                <w:rFonts w:ascii="Arial" w:cs="Arial" w:eastAsia="Arial" w:hAnsi="Arial"/>
                <w:sz w:val="16"/>
                <w:szCs w:val="16"/>
                <w:b w:val="1"/>
                <w:bCs w:val="1"/>
                <w:color w:val="0233A1"/>
              </w:rPr>
              <w:t>Units of</w:t>
            </w:r>
          </w:p>
        </w:tc>
        <w:tc>
          <w:tcPr>
            <w:tcW w:w="15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0233A1"/>
              </w:rPr>
              <w:t>Shares, Units,</w:t>
            </w:r>
          </w:p>
        </w:tc>
        <w:tc>
          <w:tcPr>
            <w:tcW w:w="1720" w:type="dxa"/>
            <w:vAlign w:val="bottom"/>
          </w:tcPr>
          <w:p>
            <w:pPr>
              <w:jc w:val="right"/>
              <w:ind w:right="139"/>
              <w:spacing w:after="0"/>
              <w:rPr>
                <w:sz w:val="20"/>
                <w:szCs w:val="20"/>
                <w:color w:val="auto"/>
              </w:rPr>
            </w:pPr>
            <w:r>
              <w:rPr>
                <w:rFonts w:ascii="Arial" w:cs="Arial" w:eastAsia="Arial" w:hAnsi="Arial"/>
                <w:sz w:val="16"/>
                <w:szCs w:val="16"/>
                <w:b w:val="1"/>
                <w:bCs w:val="1"/>
                <w:color w:val="0233A1"/>
              </w:rPr>
              <w:t>Value of Unearned</w:t>
            </w: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0233A1"/>
              </w:rPr>
              <w:t>Unexercised</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0233A1"/>
              </w:rPr>
              <w:t>Unexercised</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0233A1"/>
              </w:rPr>
              <w:t>Option</w:t>
            </w: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0233A1"/>
              </w:rPr>
              <w:t>Stock That</w:t>
            </w:r>
          </w:p>
        </w:tc>
        <w:tc>
          <w:tcPr>
            <w:tcW w:w="1080" w:type="dxa"/>
            <w:vAlign w:val="bottom"/>
          </w:tcPr>
          <w:p>
            <w:pPr>
              <w:jc w:val="right"/>
              <w:ind w:right="79"/>
              <w:spacing w:after="0"/>
              <w:rPr>
                <w:sz w:val="20"/>
                <w:szCs w:val="20"/>
                <w:color w:val="auto"/>
              </w:rPr>
            </w:pPr>
            <w:r>
              <w:rPr>
                <w:rFonts w:ascii="Arial" w:cs="Arial" w:eastAsia="Arial" w:hAnsi="Arial"/>
                <w:sz w:val="16"/>
                <w:szCs w:val="16"/>
                <w:b w:val="1"/>
                <w:bCs w:val="1"/>
                <w:color w:val="0233A1"/>
              </w:rPr>
              <w:t>Stock That</w:t>
            </w:r>
          </w:p>
        </w:tc>
        <w:tc>
          <w:tcPr>
            <w:tcW w:w="15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0233A1"/>
              </w:rPr>
              <w:t>or Other Rights</w:t>
            </w:r>
          </w:p>
        </w:tc>
        <w:tc>
          <w:tcPr>
            <w:tcW w:w="1720" w:type="dxa"/>
            <w:vAlign w:val="bottom"/>
          </w:tcPr>
          <w:p>
            <w:pPr>
              <w:jc w:val="right"/>
              <w:ind w:right="139"/>
              <w:spacing w:after="0"/>
              <w:rPr>
                <w:sz w:val="20"/>
                <w:szCs w:val="20"/>
                <w:color w:val="auto"/>
              </w:rPr>
            </w:pPr>
            <w:r>
              <w:rPr>
                <w:rFonts w:ascii="Arial" w:cs="Arial" w:eastAsia="Arial" w:hAnsi="Arial"/>
                <w:sz w:val="16"/>
                <w:szCs w:val="16"/>
                <w:b w:val="1"/>
                <w:bCs w:val="1"/>
                <w:color w:val="0233A1"/>
              </w:rPr>
              <w:t>Shares, Units, or</w:t>
            </w: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0233A1"/>
              </w:rPr>
              <w:t>Option/</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0233A1"/>
              </w:rPr>
              <w:t>Options</w:t>
            </w:r>
          </w:p>
        </w:tc>
        <w:tc>
          <w:tcPr>
            <w:tcW w:w="1940" w:type="dxa"/>
            <w:vAlign w:val="bottom"/>
            <w:gridSpan w:val="2"/>
          </w:tcPr>
          <w:p>
            <w:pPr>
              <w:jc w:val="right"/>
              <w:spacing w:after="0"/>
              <w:rPr>
                <w:sz w:val="20"/>
                <w:szCs w:val="20"/>
                <w:color w:val="auto"/>
              </w:rPr>
            </w:pPr>
            <w:r>
              <w:rPr>
                <w:rFonts w:ascii="Arial" w:cs="Arial" w:eastAsia="Arial" w:hAnsi="Arial"/>
                <w:sz w:val="16"/>
                <w:szCs w:val="16"/>
                <w:b w:val="1"/>
                <w:bCs w:val="1"/>
                <w:color w:val="0233A1"/>
              </w:rPr>
              <w:t>Options Exercise</w:t>
            </w:r>
          </w:p>
        </w:tc>
        <w:tc>
          <w:tcPr>
            <w:tcW w:w="840" w:type="dxa"/>
            <w:vAlign w:val="bottom"/>
            <w:gridSpan w:val="3"/>
          </w:tcPr>
          <w:p>
            <w:pPr>
              <w:jc w:val="right"/>
              <w:ind w:right="40"/>
              <w:spacing w:after="0"/>
              <w:rPr>
                <w:sz w:val="20"/>
                <w:szCs w:val="20"/>
                <w:color w:val="auto"/>
              </w:rPr>
            </w:pPr>
            <w:r>
              <w:rPr>
                <w:rFonts w:ascii="Arial" w:cs="Arial" w:eastAsia="Arial" w:hAnsi="Arial"/>
                <w:sz w:val="16"/>
                <w:szCs w:val="16"/>
                <w:b w:val="1"/>
                <w:bCs w:val="1"/>
                <w:color w:val="0233A1"/>
              </w:rPr>
              <w:t>Option</w:t>
            </w:r>
          </w:p>
        </w:tc>
        <w:tc>
          <w:tcPr>
            <w:tcW w:w="20" w:type="dxa"/>
            <w:vAlign w:val="bottom"/>
          </w:tcPr>
          <w:p>
            <w:pPr>
              <w:spacing w:after="0"/>
              <w:rPr>
                <w:sz w:val="16"/>
                <w:szCs w:val="16"/>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b w:val="1"/>
                <w:bCs w:val="1"/>
                <w:color w:val="0233A1"/>
              </w:rPr>
              <w:t>Have Not</w:t>
            </w:r>
          </w:p>
        </w:tc>
        <w:tc>
          <w:tcPr>
            <w:tcW w:w="1080" w:type="dxa"/>
            <w:vAlign w:val="bottom"/>
          </w:tcPr>
          <w:p>
            <w:pPr>
              <w:jc w:val="right"/>
              <w:ind w:right="79"/>
              <w:spacing w:after="0"/>
              <w:rPr>
                <w:sz w:val="20"/>
                <w:szCs w:val="20"/>
                <w:color w:val="auto"/>
              </w:rPr>
            </w:pPr>
            <w:r>
              <w:rPr>
                <w:rFonts w:ascii="Arial" w:cs="Arial" w:eastAsia="Arial" w:hAnsi="Arial"/>
                <w:sz w:val="16"/>
                <w:szCs w:val="16"/>
                <w:b w:val="1"/>
                <w:bCs w:val="1"/>
                <w:color w:val="0233A1"/>
              </w:rPr>
              <w:t>Have Not</w:t>
            </w:r>
          </w:p>
        </w:tc>
        <w:tc>
          <w:tcPr>
            <w:tcW w:w="15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0233A1"/>
              </w:rPr>
              <w:t>That Have Not</w:t>
            </w:r>
          </w:p>
        </w:tc>
        <w:tc>
          <w:tcPr>
            <w:tcW w:w="1720" w:type="dxa"/>
            <w:vAlign w:val="bottom"/>
          </w:tcPr>
          <w:p>
            <w:pPr>
              <w:jc w:val="right"/>
              <w:ind w:right="139"/>
              <w:spacing w:after="0"/>
              <w:rPr>
                <w:sz w:val="20"/>
                <w:szCs w:val="20"/>
                <w:color w:val="auto"/>
              </w:rPr>
            </w:pPr>
            <w:r>
              <w:rPr>
                <w:rFonts w:ascii="Arial" w:cs="Arial" w:eastAsia="Arial" w:hAnsi="Arial"/>
                <w:sz w:val="16"/>
                <w:szCs w:val="16"/>
                <w:b w:val="1"/>
                <w:bCs w:val="1"/>
                <w:color w:val="0233A1"/>
              </w:rPr>
              <w:t>Other Rights That</w:t>
            </w:r>
          </w:p>
        </w:tc>
        <w:tc>
          <w:tcPr>
            <w:tcW w:w="0" w:type="dxa"/>
            <w:vAlign w:val="bottom"/>
          </w:tcPr>
          <w:p>
            <w:pPr>
              <w:spacing w:after="0"/>
              <w:rPr>
                <w:sz w:val="1"/>
                <w:szCs w:val="1"/>
                <w:color w:val="auto"/>
              </w:rPr>
            </w:pPr>
          </w:p>
        </w:tc>
      </w:tr>
      <w:tr>
        <w:trPr>
          <w:trHeight w:val="205"/>
        </w:trPr>
        <w:tc>
          <w:tcPr>
            <w:tcW w:w="11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0233A1"/>
              </w:rPr>
              <w:t>Name</w:t>
            </w:r>
          </w:p>
        </w:tc>
        <w:tc>
          <w:tcPr>
            <w:tcW w:w="19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0233A1"/>
              </w:rPr>
              <w:t>PSU/RSU Exercisable</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0233A1"/>
              </w:rPr>
              <w:t>Unexercisable</w:t>
            </w:r>
          </w:p>
        </w:tc>
        <w:tc>
          <w:tcPr>
            <w:tcW w:w="1580" w:type="dxa"/>
            <w:vAlign w:val="bottom"/>
            <w:gridSpan w:val="4"/>
          </w:tcPr>
          <w:p>
            <w:pPr>
              <w:jc w:val="right"/>
              <w:ind w:right="40"/>
              <w:spacing w:after="0"/>
              <w:rPr>
                <w:sz w:val="20"/>
                <w:szCs w:val="20"/>
                <w:color w:val="auto"/>
              </w:rPr>
            </w:pPr>
            <w:r>
              <w:rPr>
                <w:rFonts w:ascii="Arial" w:cs="Arial" w:eastAsia="Arial" w:hAnsi="Arial"/>
                <w:sz w:val="16"/>
                <w:szCs w:val="16"/>
                <w:b w:val="1"/>
                <w:bCs w:val="1"/>
                <w:color w:val="0233A1"/>
              </w:rPr>
              <w:t>Price Expiration</w:t>
            </w:r>
          </w:p>
        </w:tc>
        <w:tc>
          <w:tcPr>
            <w:tcW w:w="20" w:type="dxa"/>
            <w:vAlign w:val="bottom"/>
          </w:tcPr>
          <w:p>
            <w:pPr>
              <w:spacing w:after="0"/>
              <w:rPr>
                <w:sz w:val="17"/>
                <w:szCs w:val="17"/>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b w:val="1"/>
                <w:bCs w:val="1"/>
                <w:color w:val="0233A1"/>
              </w:rPr>
              <w:t>Vested</w:t>
            </w:r>
          </w:p>
        </w:tc>
        <w:tc>
          <w:tcPr>
            <w:tcW w:w="1080" w:type="dxa"/>
            <w:vAlign w:val="bottom"/>
          </w:tcPr>
          <w:p>
            <w:pPr>
              <w:jc w:val="right"/>
              <w:spacing w:after="0" w:line="205" w:lineRule="exact"/>
              <w:rPr>
                <w:sz w:val="20"/>
                <w:szCs w:val="20"/>
                <w:color w:val="auto"/>
              </w:rPr>
            </w:pPr>
            <w:r>
              <w:rPr>
                <w:rFonts w:ascii="Arial" w:cs="Arial" w:eastAsia="Arial" w:hAnsi="Arial"/>
                <w:sz w:val="15"/>
                <w:szCs w:val="15"/>
                <w:b w:val="1"/>
                <w:bCs w:val="1"/>
                <w:color w:val="0233A1"/>
              </w:rPr>
              <w:t>Vested</w:t>
            </w:r>
            <w:r>
              <w:rPr>
                <w:rFonts w:ascii="Arial" w:cs="Arial" w:eastAsia="Arial" w:hAnsi="Arial"/>
                <w:sz w:val="23"/>
                <w:szCs w:val="23"/>
                <w:b w:val="1"/>
                <w:bCs w:val="1"/>
                <w:color w:val="0233A1"/>
                <w:vertAlign w:val="subscript"/>
              </w:rPr>
              <w:t>(1)</w:t>
            </w:r>
          </w:p>
        </w:tc>
        <w:tc>
          <w:tcPr>
            <w:tcW w:w="15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0233A1"/>
              </w:rPr>
              <w:t>Vested</w:t>
            </w:r>
          </w:p>
        </w:tc>
        <w:tc>
          <w:tcPr>
            <w:tcW w:w="1720" w:type="dxa"/>
            <w:vAlign w:val="bottom"/>
          </w:tcPr>
          <w:p>
            <w:pPr>
              <w:jc w:val="right"/>
              <w:spacing w:after="0" w:line="205" w:lineRule="exact"/>
              <w:rPr>
                <w:sz w:val="20"/>
                <w:szCs w:val="20"/>
                <w:color w:val="auto"/>
              </w:rPr>
            </w:pPr>
            <w:r>
              <w:rPr>
                <w:rFonts w:ascii="Arial" w:cs="Arial" w:eastAsia="Arial" w:hAnsi="Arial"/>
                <w:sz w:val="15"/>
                <w:szCs w:val="15"/>
                <w:b w:val="1"/>
                <w:bCs w:val="1"/>
                <w:color w:val="0233A1"/>
              </w:rPr>
              <w:t>Have Not Vested</w:t>
            </w:r>
            <w:r>
              <w:rPr>
                <w:rFonts w:ascii="Arial" w:cs="Arial" w:eastAsia="Arial" w:hAnsi="Arial"/>
                <w:sz w:val="23"/>
                <w:szCs w:val="23"/>
                <w:b w:val="1"/>
                <w:bCs w:val="1"/>
                <w:color w:val="0233A1"/>
                <w:vertAlign w:val="subscript"/>
              </w:rPr>
              <w:t>(1)</w:t>
            </w:r>
          </w:p>
        </w:tc>
        <w:tc>
          <w:tcPr>
            <w:tcW w:w="0" w:type="dxa"/>
            <w:vAlign w:val="bottom"/>
          </w:tcPr>
          <w:p>
            <w:pPr>
              <w:spacing w:after="0"/>
              <w:rPr>
                <w:sz w:val="1"/>
                <w:szCs w:val="1"/>
                <w:color w:val="auto"/>
              </w:rPr>
            </w:pPr>
          </w:p>
        </w:tc>
      </w:tr>
      <w:tr>
        <w:trPr>
          <w:trHeight w:val="187"/>
        </w:trPr>
        <w:tc>
          <w:tcPr>
            <w:tcW w:w="1160" w:type="dxa"/>
            <w:vAlign w:val="bottom"/>
            <w:tcBorders>
              <w:bottom w:val="single" w:sz="8" w:color="0233A1"/>
            </w:tcBorders>
            <w:gridSpan w:val="2"/>
            <w:vMerge w:val="continue"/>
          </w:tcPr>
          <w:p>
            <w:pPr>
              <w:spacing w:after="0"/>
              <w:rPr>
                <w:sz w:val="16"/>
                <w:szCs w:val="16"/>
                <w:color w:val="auto"/>
              </w:rPr>
            </w:pPr>
          </w:p>
        </w:tc>
        <w:tc>
          <w:tcPr>
            <w:tcW w:w="880" w:type="dxa"/>
            <w:vAlign w:val="bottom"/>
            <w:tcBorders>
              <w:bottom w:val="single" w:sz="8" w:color="0233A1"/>
            </w:tcBorders>
          </w:tcPr>
          <w:p>
            <w:pPr>
              <w:jc w:val="right"/>
              <w:spacing w:after="0"/>
              <w:rPr>
                <w:sz w:val="20"/>
                <w:szCs w:val="20"/>
                <w:color w:val="auto"/>
              </w:rPr>
            </w:pPr>
            <w:r>
              <w:rPr>
                <w:rFonts w:ascii="Arial" w:cs="Arial" w:eastAsia="Arial" w:hAnsi="Arial"/>
                <w:sz w:val="16"/>
                <w:szCs w:val="16"/>
                <w:b w:val="1"/>
                <w:bCs w:val="1"/>
                <w:color w:val="0233A1"/>
              </w:rPr>
              <w:t>Grant Date</w:t>
            </w:r>
          </w:p>
        </w:tc>
        <w:tc>
          <w:tcPr>
            <w:tcW w:w="1040" w:type="dxa"/>
            <w:vAlign w:val="bottom"/>
            <w:tcBorders>
              <w:bottom w:val="single" w:sz="8" w:color="0233A1"/>
            </w:tcBorders>
          </w:tcPr>
          <w:p>
            <w:pPr>
              <w:jc w:val="right"/>
              <w:spacing w:after="0"/>
              <w:rPr>
                <w:sz w:val="20"/>
                <w:szCs w:val="20"/>
                <w:color w:val="auto"/>
              </w:rPr>
            </w:pPr>
            <w:r>
              <w:rPr>
                <w:rFonts w:ascii="Arial" w:cs="Arial" w:eastAsia="Arial" w:hAnsi="Arial"/>
                <w:sz w:val="16"/>
                <w:szCs w:val="16"/>
                <w:b w:val="1"/>
                <w:bCs w:val="1"/>
                <w:color w:val="0233A1"/>
              </w:rPr>
              <w:t>(#)</w:t>
            </w:r>
          </w:p>
        </w:tc>
        <w:tc>
          <w:tcPr>
            <w:tcW w:w="1200" w:type="dxa"/>
            <w:vAlign w:val="bottom"/>
            <w:tcBorders>
              <w:bottom w:val="single" w:sz="8" w:color="0233A1"/>
            </w:tcBorders>
          </w:tcPr>
          <w:p>
            <w:pPr>
              <w:jc w:val="right"/>
              <w:spacing w:after="0"/>
              <w:rPr>
                <w:sz w:val="20"/>
                <w:szCs w:val="20"/>
                <w:color w:val="auto"/>
              </w:rPr>
            </w:pPr>
            <w:r>
              <w:rPr>
                <w:rFonts w:ascii="Arial" w:cs="Arial" w:eastAsia="Arial" w:hAnsi="Arial"/>
                <w:sz w:val="16"/>
                <w:szCs w:val="16"/>
                <w:b w:val="1"/>
                <w:bCs w:val="1"/>
                <w:color w:val="0233A1"/>
              </w:rPr>
              <w:t>(#)</w:t>
            </w:r>
          </w:p>
        </w:tc>
        <w:tc>
          <w:tcPr>
            <w:tcW w:w="740" w:type="dxa"/>
            <w:vAlign w:val="bottom"/>
            <w:tcBorders>
              <w:bottom w:val="single" w:sz="8" w:color="0233A1"/>
            </w:tcBorders>
          </w:tcPr>
          <w:p>
            <w:pPr>
              <w:jc w:val="right"/>
              <w:spacing w:after="0"/>
              <w:rPr>
                <w:sz w:val="20"/>
                <w:szCs w:val="20"/>
                <w:color w:val="auto"/>
              </w:rPr>
            </w:pPr>
            <w:r>
              <w:rPr>
                <w:rFonts w:ascii="Arial" w:cs="Arial" w:eastAsia="Arial" w:hAnsi="Arial"/>
                <w:sz w:val="16"/>
                <w:szCs w:val="16"/>
                <w:b w:val="1"/>
                <w:bCs w:val="1"/>
                <w:color w:val="0233A1"/>
              </w:rPr>
              <w:t>($)</w:t>
            </w:r>
          </w:p>
        </w:tc>
        <w:tc>
          <w:tcPr>
            <w:tcW w:w="380" w:type="dxa"/>
            <w:vAlign w:val="bottom"/>
            <w:tcBorders>
              <w:bottom w:val="single" w:sz="8" w:color="0233A1"/>
            </w:tcBorders>
          </w:tcPr>
          <w:p>
            <w:pPr>
              <w:spacing w:after="0"/>
              <w:rPr>
                <w:sz w:val="16"/>
                <w:szCs w:val="16"/>
                <w:color w:val="auto"/>
              </w:rPr>
            </w:pPr>
          </w:p>
        </w:tc>
        <w:tc>
          <w:tcPr>
            <w:tcW w:w="460" w:type="dxa"/>
            <w:vAlign w:val="bottom"/>
            <w:tcBorders>
              <w:bottom w:val="single" w:sz="8" w:color="0233A1"/>
            </w:tcBorders>
            <w:gridSpan w:val="2"/>
          </w:tcPr>
          <w:p>
            <w:pPr>
              <w:jc w:val="right"/>
              <w:ind w:right="40"/>
              <w:spacing w:after="0"/>
              <w:rPr>
                <w:sz w:val="20"/>
                <w:szCs w:val="20"/>
                <w:color w:val="auto"/>
              </w:rPr>
            </w:pPr>
            <w:r>
              <w:rPr>
                <w:rFonts w:ascii="Arial" w:cs="Arial" w:eastAsia="Arial" w:hAnsi="Arial"/>
                <w:sz w:val="16"/>
                <w:szCs w:val="16"/>
                <w:b w:val="1"/>
                <w:bCs w:val="1"/>
                <w:color w:val="0233A1"/>
              </w:rPr>
              <w:t>Date</w:t>
            </w:r>
          </w:p>
        </w:tc>
        <w:tc>
          <w:tcPr>
            <w:tcW w:w="1080" w:type="dxa"/>
            <w:vAlign w:val="bottom"/>
            <w:tcBorders>
              <w:bottom w:val="single" w:sz="8" w:color="0233A1"/>
            </w:tcBorders>
            <w:gridSpan w:val="2"/>
          </w:tcPr>
          <w:p>
            <w:pPr>
              <w:jc w:val="right"/>
              <w:ind w:right="159"/>
              <w:spacing w:after="0"/>
              <w:rPr>
                <w:sz w:val="20"/>
                <w:szCs w:val="20"/>
                <w:color w:val="auto"/>
              </w:rPr>
            </w:pPr>
            <w:r>
              <w:rPr>
                <w:rFonts w:ascii="Arial" w:cs="Arial" w:eastAsia="Arial" w:hAnsi="Arial"/>
                <w:sz w:val="16"/>
                <w:szCs w:val="16"/>
                <w:b w:val="1"/>
                <w:bCs w:val="1"/>
                <w:color w:val="0233A1"/>
              </w:rPr>
              <w:t>(#)</w:t>
            </w:r>
          </w:p>
        </w:tc>
        <w:tc>
          <w:tcPr>
            <w:tcW w:w="1080" w:type="dxa"/>
            <w:vAlign w:val="bottom"/>
            <w:tcBorders>
              <w:bottom w:val="single" w:sz="8" w:color="0233A1"/>
            </w:tcBorders>
          </w:tcPr>
          <w:p>
            <w:pPr>
              <w:jc w:val="right"/>
              <w:ind w:right="79"/>
              <w:spacing w:after="0"/>
              <w:rPr>
                <w:sz w:val="20"/>
                <w:szCs w:val="20"/>
                <w:color w:val="auto"/>
              </w:rPr>
            </w:pPr>
            <w:r>
              <w:rPr>
                <w:rFonts w:ascii="Arial" w:cs="Arial" w:eastAsia="Arial" w:hAnsi="Arial"/>
                <w:sz w:val="16"/>
                <w:szCs w:val="16"/>
                <w:b w:val="1"/>
                <w:bCs w:val="1"/>
                <w:color w:val="0233A1"/>
              </w:rPr>
              <w:t>($)</w:t>
            </w:r>
          </w:p>
        </w:tc>
        <w:tc>
          <w:tcPr>
            <w:tcW w:w="1420" w:type="dxa"/>
            <w:vAlign w:val="bottom"/>
            <w:tcBorders>
              <w:bottom w:val="single" w:sz="8" w:color="0233A1"/>
            </w:tcBorders>
          </w:tcPr>
          <w:p>
            <w:pPr>
              <w:jc w:val="right"/>
              <w:ind w:right="39"/>
              <w:spacing w:after="0"/>
              <w:rPr>
                <w:sz w:val="20"/>
                <w:szCs w:val="20"/>
                <w:color w:val="auto"/>
              </w:rPr>
            </w:pPr>
            <w:r>
              <w:rPr>
                <w:rFonts w:ascii="Arial" w:cs="Arial" w:eastAsia="Arial" w:hAnsi="Arial"/>
                <w:sz w:val="16"/>
                <w:szCs w:val="16"/>
                <w:b w:val="1"/>
                <w:bCs w:val="1"/>
                <w:color w:val="0233A1"/>
              </w:rPr>
              <w:t>(#)</w:t>
            </w:r>
          </w:p>
        </w:tc>
        <w:tc>
          <w:tcPr>
            <w:tcW w:w="80" w:type="dxa"/>
            <w:vAlign w:val="bottom"/>
            <w:tcBorders>
              <w:bottom w:val="single" w:sz="8" w:color="0233A1"/>
            </w:tcBorders>
          </w:tcPr>
          <w:p>
            <w:pPr>
              <w:spacing w:after="0"/>
              <w:rPr>
                <w:sz w:val="16"/>
                <w:szCs w:val="16"/>
                <w:color w:val="auto"/>
              </w:rPr>
            </w:pPr>
          </w:p>
        </w:tc>
        <w:tc>
          <w:tcPr>
            <w:tcW w:w="1720" w:type="dxa"/>
            <w:vAlign w:val="bottom"/>
            <w:tcBorders>
              <w:bottom w:val="single" w:sz="8" w:color="0233A1"/>
            </w:tcBorders>
          </w:tcPr>
          <w:p>
            <w:pPr>
              <w:jc w:val="right"/>
              <w:ind w:right="139"/>
              <w:spacing w:after="0"/>
              <w:rPr>
                <w:sz w:val="20"/>
                <w:szCs w:val="20"/>
                <w:color w:val="auto"/>
              </w:rPr>
            </w:pPr>
            <w:r>
              <w:rPr>
                <w:rFonts w:ascii="Arial" w:cs="Arial" w:eastAsia="Arial" w:hAnsi="Arial"/>
                <w:sz w:val="16"/>
                <w:szCs w:val="16"/>
                <w:b w:val="1"/>
                <w:bCs w:val="1"/>
                <w:color w:val="0233A1"/>
              </w:rPr>
              <w:t>($)</w:t>
            </w:r>
          </w:p>
        </w:tc>
        <w:tc>
          <w:tcPr>
            <w:tcW w:w="0" w:type="dxa"/>
            <w:vAlign w:val="bottom"/>
          </w:tcPr>
          <w:p>
            <w:pPr>
              <w:spacing w:after="0"/>
              <w:rPr>
                <w:sz w:val="1"/>
                <w:szCs w:val="1"/>
                <w:color w:val="auto"/>
              </w:rPr>
            </w:pPr>
          </w:p>
        </w:tc>
      </w:tr>
      <w:tr>
        <w:trPr>
          <w:trHeight w:val="195"/>
        </w:trPr>
        <w:tc>
          <w:tcPr>
            <w:tcW w:w="1160" w:type="dxa"/>
            <w:vAlign w:val="bottom"/>
            <w:gridSpan w:val="2"/>
          </w:tcPr>
          <w:p>
            <w:pPr>
              <w:ind w:left="60"/>
              <w:spacing w:after="0"/>
              <w:rPr>
                <w:sz w:val="20"/>
                <w:szCs w:val="20"/>
                <w:color w:val="auto"/>
              </w:rPr>
            </w:pPr>
            <w:r>
              <w:rPr>
                <w:rFonts w:ascii="Arial" w:cs="Arial" w:eastAsia="Arial" w:hAnsi="Arial"/>
                <w:sz w:val="16"/>
                <w:szCs w:val="16"/>
                <w:color w:val="auto"/>
              </w:rPr>
              <w:t>O. Le Peuch</w:t>
            </w:r>
          </w:p>
        </w:tc>
        <w:tc>
          <w:tcPr>
            <w:tcW w:w="880" w:type="dxa"/>
            <w:vAlign w:val="bottom"/>
          </w:tcPr>
          <w:p>
            <w:pPr>
              <w:jc w:val="right"/>
              <w:spacing w:after="0"/>
              <w:rPr>
                <w:sz w:val="20"/>
                <w:szCs w:val="20"/>
                <w:color w:val="auto"/>
              </w:rPr>
            </w:pPr>
            <w:r>
              <w:rPr>
                <w:rFonts w:ascii="Arial" w:cs="Arial" w:eastAsia="Arial" w:hAnsi="Arial"/>
                <w:sz w:val="16"/>
                <w:szCs w:val="16"/>
                <w:color w:val="auto"/>
              </w:rPr>
              <w:t>4/16/2014</w:t>
            </w:r>
          </w:p>
        </w:tc>
        <w:tc>
          <w:tcPr>
            <w:tcW w:w="1040" w:type="dxa"/>
            <w:vAlign w:val="bottom"/>
          </w:tcPr>
          <w:p>
            <w:pPr>
              <w:jc w:val="right"/>
              <w:spacing w:after="0"/>
              <w:rPr>
                <w:sz w:val="20"/>
                <w:szCs w:val="20"/>
                <w:color w:val="auto"/>
              </w:rPr>
            </w:pPr>
            <w:r>
              <w:rPr>
                <w:rFonts w:ascii="Arial" w:cs="Arial" w:eastAsia="Arial" w:hAnsi="Arial"/>
                <w:sz w:val="16"/>
                <w:szCs w:val="16"/>
                <w:color w:val="auto"/>
              </w:rPr>
              <w:t>30,000</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100.555</w:t>
            </w:r>
          </w:p>
        </w:tc>
        <w:tc>
          <w:tcPr>
            <w:tcW w:w="840" w:type="dxa"/>
            <w:vAlign w:val="bottom"/>
            <w:gridSpan w:val="3"/>
          </w:tcPr>
          <w:p>
            <w:pPr>
              <w:jc w:val="right"/>
              <w:ind w:right="40"/>
              <w:spacing w:after="0"/>
              <w:rPr>
                <w:sz w:val="20"/>
                <w:szCs w:val="20"/>
                <w:color w:val="auto"/>
              </w:rPr>
            </w:pPr>
            <w:r>
              <w:rPr>
                <w:rFonts w:ascii="Arial" w:cs="Arial" w:eastAsia="Arial" w:hAnsi="Arial"/>
                <w:sz w:val="16"/>
                <w:szCs w:val="16"/>
                <w:color w:val="auto"/>
              </w:rPr>
              <w:t>4/16/2024</w:t>
            </w: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4/16/2015</w:t>
            </w:r>
          </w:p>
        </w:tc>
        <w:tc>
          <w:tcPr>
            <w:tcW w:w="1040" w:type="dxa"/>
            <w:vAlign w:val="bottom"/>
          </w:tcPr>
          <w:p>
            <w:pPr>
              <w:jc w:val="right"/>
              <w:spacing w:after="0"/>
              <w:rPr>
                <w:sz w:val="20"/>
                <w:szCs w:val="20"/>
                <w:color w:val="auto"/>
              </w:rPr>
            </w:pPr>
            <w:r>
              <w:rPr>
                <w:rFonts w:ascii="Arial" w:cs="Arial" w:eastAsia="Arial" w:hAnsi="Arial"/>
                <w:sz w:val="16"/>
                <w:szCs w:val="16"/>
                <w:color w:val="auto"/>
              </w:rPr>
              <w:t>24,000</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91.740</w:t>
            </w:r>
          </w:p>
        </w:tc>
        <w:tc>
          <w:tcPr>
            <w:tcW w:w="840" w:type="dxa"/>
            <w:vAlign w:val="bottom"/>
            <w:gridSpan w:val="3"/>
          </w:tcPr>
          <w:p>
            <w:pPr>
              <w:jc w:val="right"/>
              <w:ind w:right="40"/>
              <w:spacing w:after="0"/>
              <w:rPr>
                <w:sz w:val="20"/>
                <w:szCs w:val="20"/>
                <w:color w:val="auto"/>
              </w:rPr>
            </w:pPr>
            <w:r>
              <w:rPr>
                <w:rFonts w:ascii="Arial" w:cs="Arial" w:eastAsia="Arial" w:hAnsi="Arial"/>
                <w:sz w:val="16"/>
                <w:szCs w:val="16"/>
                <w:color w:val="auto"/>
              </w:rPr>
              <w:t>4/16/2025</w:t>
            </w: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4/20/2016</w:t>
            </w:r>
          </w:p>
        </w:tc>
        <w:tc>
          <w:tcPr>
            <w:tcW w:w="1040" w:type="dxa"/>
            <w:vAlign w:val="bottom"/>
          </w:tcPr>
          <w:p>
            <w:pPr>
              <w:jc w:val="right"/>
              <w:spacing w:after="0"/>
              <w:rPr>
                <w:sz w:val="20"/>
                <w:szCs w:val="20"/>
                <w:color w:val="auto"/>
              </w:rPr>
            </w:pPr>
            <w:r>
              <w:rPr>
                <w:rFonts w:ascii="Arial" w:cs="Arial" w:eastAsia="Arial" w:hAnsi="Arial"/>
                <w:sz w:val="16"/>
                <w:szCs w:val="16"/>
                <w:color w:val="auto"/>
              </w:rPr>
              <w:t>30,000</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80.525</w:t>
            </w:r>
          </w:p>
        </w:tc>
        <w:tc>
          <w:tcPr>
            <w:tcW w:w="840" w:type="dxa"/>
            <w:vAlign w:val="bottom"/>
            <w:gridSpan w:val="3"/>
          </w:tcPr>
          <w:p>
            <w:pPr>
              <w:jc w:val="right"/>
              <w:ind w:right="40"/>
              <w:spacing w:after="0"/>
              <w:rPr>
                <w:sz w:val="20"/>
                <w:szCs w:val="20"/>
                <w:color w:val="auto"/>
              </w:rPr>
            </w:pPr>
            <w:r>
              <w:rPr>
                <w:rFonts w:ascii="Arial" w:cs="Arial" w:eastAsia="Arial" w:hAnsi="Arial"/>
                <w:sz w:val="16"/>
                <w:szCs w:val="16"/>
                <w:color w:val="auto"/>
              </w:rPr>
              <w:t>4/20/2026</w:t>
            </w: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1/19/2017</w:t>
            </w:r>
          </w:p>
        </w:tc>
        <w:tc>
          <w:tcPr>
            <w:tcW w:w="1040" w:type="dxa"/>
            <w:vAlign w:val="bottom"/>
          </w:tcPr>
          <w:p>
            <w:pPr>
              <w:jc w:val="right"/>
              <w:spacing w:after="0"/>
              <w:rPr>
                <w:sz w:val="20"/>
                <w:szCs w:val="20"/>
                <w:color w:val="auto"/>
              </w:rPr>
            </w:pPr>
            <w:r>
              <w:rPr>
                <w:rFonts w:ascii="Arial" w:cs="Arial" w:eastAsia="Arial" w:hAnsi="Arial"/>
                <w:sz w:val="16"/>
                <w:szCs w:val="16"/>
                <w:color w:val="auto"/>
              </w:rPr>
              <w:t>15,000</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87.380</w:t>
            </w:r>
          </w:p>
        </w:tc>
        <w:tc>
          <w:tcPr>
            <w:tcW w:w="840" w:type="dxa"/>
            <w:vAlign w:val="bottom"/>
            <w:gridSpan w:val="3"/>
          </w:tcPr>
          <w:p>
            <w:pPr>
              <w:jc w:val="right"/>
              <w:ind w:right="40"/>
              <w:spacing w:after="0"/>
              <w:rPr>
                <w:sz w:val="20"/>
                <w:szCs w:val="20"/>
                <w:color w:val="auto"/>
              </w:rPr>
            </w:pPr>
            <w:r>
              <w:rPr>
                <w:rFonts w:ascii="Arial" w:cs="Arial" w:eastAsia="Arial" w:hAnsi="Arial"/>
                <w:sz w:val="16"/>
                <w:szCs w:val="16"/>
                <w:color w:val="auto"/>
              </w:rPr>
              <w:t>1/19/2027</w:t>
            </w: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1/20/2021</w:t>
            </w: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6"/>
                <w:szCs w:val="16"/>
                <w:color w:val="auto"/>
              </w:rPr>
              <w:t>110,290</w:t>
            </w:r>
            <w:r>
              <w:rPr>
                <w:rFonts w:ascii="Arial" w:cs="Arial" w:eastAsia="Arial" w:hAnsi="Arial"/>
                <w:sz w:val="26"/>
                <w:szCs w:val="26"/>
                <w:color w:val="auto"/>
                <w:vertAlign w:val="superscript"/>
              </w:rPr>
              <w:t>(3)</w:t>
            </w:r>
          </w:p>
        </w:tc>
        <w:tc>
          <w:tcPr>
            <w:tcW w:w="1080" w:type="dxa"/>
            <w:vAlign w:val="bottom"/>
          </w:tcPr>
          <w:p>
            <w:pPr>
              <w:spacing w:after="0"/>
              <w:rPr>
                <w:sz w:val="24"/>
                <w:szCs w:val="24"/>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6"/>
                <w:szCs w:val="16"/>
                <w:color w:val="auto"/>
              </w:rPr>
              <w:t>220,580</w:t>
            </w:r>
            <w:r>
              <w:rPr>
                <w:rFonts w:ascii="Arial" w:cs="Arial" w:eastAsia="Arial" w:hAnsi="Arial"/>
                <w:sz w:val="26"/>
                <w:szCs w:val="26"/>
                <w:color w:val="auto"/>
                <w:vertAlign w:val="superscript"/>
              </w:rPr>
              <w:t>(2)</w:t>
            </w:r>
          </w:p>
        </w:tc>
        <w:tc>
          <w:tcPr>
            <w:tcW w:w="1720" w:type="dxa"/>
            <w:vAlign w:val="bottom"/>
          </w:tcPr>
          <w:p>
            <w:pPr>
              <w:jc w:val="right"/>
              <w:ind w:right="139"/>
              <w:spacing w:after="0"/>
              <w:rPr>
                <w:sz w:val="20"/>
                <w:szCs w:val="20"/>
                <w:color w:val="auto"/>
              </w:rPr>
            </w:pPr>
            <w:r>
              <w:rPr>
                <w:rFonts w:ascii="Arial" w:cs="Arial" w:eastAsia="Arial" w:hAnsi="Arial"/>
                <w:sz w:val="16"/>
                <w:szCs w:val="16"/>
                <w:color w:val="auto"/>
              </w:rPr>
              <w:t>11,478,983</w:t>
            </w:r>
          </w:p>
        </w:tc>
        <w:tc>
          <w:tcPr>
            <w:tcW w:w="0" w:type="dxa"/>
            <w:vAlign w:val="bottom"/>
          </w:tcPr>
          <w:p>
            <w:pPr>
              <w:spacing w:after="0"/>
              <w:rPr>
                <w:sz w:val="1"/>
                <w:szCs w:val="1"/>
                <w:color w:val="auto"/>
              </w:rPr>
            </w:pPr>
          </w:p>
        </w:tc>
      </w:tr>
      <w:tr>
        <w:trPr>
          <w:trHeight w:val="257"/>
        </w:trPr>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1/20/2021</w:t>
            </w:r>
          </w:p>
        </w:tc>
        <w:tc>
          <w:tcPr>
            <w:tcW w:w="10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80" w:type="dxa"/>
            <w:vAlign w:val="bottom"/>
            <w:gridSpan w:val="2"/>
            <w:vMerge w:val="continue"/>
          </w:tcPr>
          <w:p>
            <w:pPr>
              <w:spacing w:after="0"/>
              <w:rPr>
                <w:sz w:val="22"/>
                <w:szCs w:val="22"/>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5,739,492</w:t>
            </w:r>
          </w:p>
        </w:tc>
        <w:tc>
          <w:tcPr>
            <w:tcW w:w="150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96,440</w:t>
            </w:r>
            <w:r>
              <w:rPr>
                <w:rFonts w:ascii="Arial" w:cs="Arial" w:eastAsia="Arial" w:hAnsi="Arial"/>
                <w:sz w:val="26"/>
                <w:szCs w:val="26"/>
                <w:color w:val="auto"/>
                <w:vertAlign w:val="superscript"/>
              </w:rPr>
              <w:t>(4)</w:t>
            </w: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2/3/2021</w:t>
            </w:r>
          </w:p>
        </w:tc>
        <w:tc>
          <w:tcPr>
            <w:tcW w:w="10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1720" w:type="dxa"/>
            <w:vAlign w:val="bottom"/>
          </w:tcPr>
          <w:p>
            <w:pPr>
              <w:jc w:val="right"/>
              <w:ind w:right="139"/>
              <w:spacing w:after="0"/>
              <w:rPr>
                <w:sz w:val="20"/>
                <w:szCs w:val="20"/>
                <w:color w:val="auto"/>
              </w:rPr>
            </w:pPr>
            <w:r>
              <w:rPr>
                <w:rFonts w:ascii="Arial" w:cs="Arial" w:eastAsia="Arial" w:hAnsi="Arial"/>
                <w:sz w:val="16"/>
                <w:szCs w:val="16"/>
                <w:color w:val="auto"/>
              </w:rPr>
              <w:t>5,018,738</w:t>
            </w:r>
          </w:p>
        </w:tc>
        <w:tc>
          <w:tcPr>
            <w:tcW w:w="0" w:type="dxa"/>
            <w:vAlign w:val="bottom"/>
          </w:tcPr>
          <w:p>
            <w:pPr>
              <w:spacing w:after="0"/>
              <w:rPr>
                <w:sz w:val="1"/>
                <w:szCs w:val="1"/>
                <w:color w:val="auto"/>
              </w:rPr>
            </w:pPr>
          </w:p>
        </w:tc>
      </w:tr>
      <w:tr>
        <w:trPr>
          <w:trHeight w:val="296"/>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1/19/2022</w:t>
            </w: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6"/>
                <w:szCs w:val="16"/>
                <w:color w:val="auto"/>
              </w:rPr>
              <w:t>83,705</w:t>
            </w:r>
            <w:r>
              <w:rPr>
                <w:rFonts w:ascii="Arial" w:cs="Arial" w:eastAsia="Arial" w:hAnsi="Arial"/>
                <w:sz w:val="26"/>
                <w:szCs w:val="26"/>
                <w:color w:val="auto"/>
                <w:vertAlign w:val="superscript"/>
              </w:rPr>
              <w:t>(6)</w:t>
            </w:r>
          </w:p>
        </w:tc>
        <w:tc>
          <w:tcPr>
            <w:tcW w:w="1080" w:type="dxa"/>
            <w:vAlign w:val="bottom"/>
          </w:tcPr>
          <w:p>
            <w:pPr>
              <w:spacing w:after="0"/>
              <w:rPr>
                <w:sz w:val="24"/>
                <w:szCs w:val="24"/>
                <w:color w:val="auto"/>
              </w:rPr>
            </w:pPr>
          </w:p>
        </w:tc>
        <w:tc>
          <w:tcPr>
            <w:tcW w:w="1500" w:type="dxa"/>
            <w:vAlign w:val="bottom"/>
            <w:gridSpan w:val="2"/>
          </w:tcPr>
          <w:p>
            <w:pPr>
              <w:jc w:val="right"/>
              <w:ind w:right="40"/>
              <w:spacing w:after="0" w:line="296" w:lineRule="exact"/>
              <w:rPr>
                <w:sz w:val="20"/>
                <w:szCs w:val="20"/>
                <w:color w:val="auto"/>
              </w:rPr>
            </w:pPr>
            <w:r>
              <w:rPr>
                <w:rFonts w:ascii="Arial" w:cs="Arial" w:eastAsia="Arial" w:hAnsi="Arial"/>
                <w:sz w:val="16"/>
                <w:szCs w:val="16"/>
                <w:color w:val="auto"/>
              </w:rPr>
              <w:t>242,204</w:t>
            </w:r>
            <w:r>
              <w:rPr>
                <w:rFonts w:ascii="Arial" w:cs="Arial" w:eastAsia="Arial" w:hAnsi="Arial"/>
                <w:sz w:val="26"/>
                <w:szCs w:val="26"/>
                <w:color w:val="auto"/>
                <w:vertAlign w:val="superscript"/>
              </w:rPr>
              <w:t>(5)</w:t>
            </w:r>
          </w:p>
        </w:tc>
        <w:tc>
          <w:tcPr>
            <w:tcW w:w="1720" w:type="dxa"/>
            <w:vAlign w:val="bottom"/>
          </w:tcPr>
          <w:p>
            <w:pPr>
              <w:jc w:val="right"/>
              <w:ind w:right="139"/>
              <w:spacing w:after="0"/>
              <w:rPr>
                <w:sz w:val="20"/>
                <w:szCs w:val="20"/>
                <w:color w:val="auto"/>
              </w:rPr>
            </w:pPr>
            <w:r>
              <w:rPr>
                <w:rFonts w:ascii="Arial" w:cs="Arial" w:eastAsia="Arial" w:hAnsi="Arial"/>
                <w:sz w:val="16"/>
                <w:szCs w:val="16"/>
                <w:color w:val="auto"/>
              </w:rPr>
              <w:t>12,604,296</w:t>
            </w:r>
          </w:p>
        </w:tc>
        <w:tc>
          <w:tcPr>
            <w:tcW w:w="0" w:type="dxa"/>
            <w:vAlign w:val="bottom"/>
          </w:tcPr>
          <w:p>
            <w:pPr>
              <w:spacing w:after="0"/>
              <w:rPr>
                <w:sz w:val="1"/>
                <w:szCs w:val="1"/>
                <w:color w:val="auto"/>
              </w:rPr>
            </w:pPr>
          </w:p>
        </w:tc>
      </w:tr>
      <w:tr>
        <w:trPr>
          <w:trHeight w:val="257"/>
        </w:trPr>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1/19/2022</w:t>
            </w:r>
          </w:p>
        </w:tc>
        <w:tc>
          <w:tcPr>
            <w:tcW w:w="10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80" w:type="dxa"/>
            <w:vAlign w:val="bottom"/>
            <w:gridSpan w:val="2"/>
            <w:vMerge w:val="continue"/>
          </w:tcPr>
          <w:p>
            <w:pPr>
              <w:spacing w:after="0"/>
              <w:rPr>
                <w:sz w:val="22"/>
                <w:szCs w:val="22"/>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4,356,008</w:t>
            </w:r>
          </w:p>
        </w:tc>
        <w:tc>
          <w:tcPr>
            <w:tcW w:w="150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156,260</w:t>
            </w:r>
            <w:r>
              <w:rPr>
                <w:rFonts w:ascii="Arial" w:cs="Arial" w:eastAsia="Arial" w:hAnsi="Arial"/>
                <w:sz w:val="26"/>
                <w:szCs w:val="26"/>
                <w:color w:val="auto"/>
                <w:vertAlign w:val="superscript"/>
              </w:rPr>
              <w:t>(7)</w:t>
            </w: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1/18/2023</w:t>
            </w:r>
          </w:p>
        </w:tc>
        <w:tc>
          <w:tcPr>
            <w:tcW w:w="10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6"/>
                <w:szCs w:val="16"/>
                <w:color w:val="auto"/>
              </w:rPr>
              <w:t>54,103</w:t>
            </w:r>
            <w:r>
              <w:rPr>
                <w:rFonts w:ascii="Arial" w:cs="Arial" w:eastAsia="Arial" w:hAnsi="Arial"/>
                <w:sz w:val="26"/>
                <w:szCs w:val="26"/>
                <w:color w:val="auto"/>
                <w:vertAlign w:val="superscript"/>
              </w:rPr>
              <w:t>(8)</w:t>
            </w:r>
          </w:p>
        </w:tc>
        <w:tc>
          <w:tcPr>
            <w:tcW w:w="1080" w:type="dxa"/>
            <w:vAlign w:val="bottom"/>
          </w:tcPr>
          <w:p>
            <w:pPr>
              <w:spacing w:after="0"/>
              <w:rPr>
                <w:sz w:val="22"/>
                <w:szCs w:val="22"/>
                <w:color w:val="auto"/>
              </w:rPr>
            </w:pPr>
          </w:p>
        </w:tc>
        <w:tc>
          <w:tcPr>
            <w:tcW w:w="1500" w:type="dxa"/>
            <w:vAlign w:val="bottom"/>
            <w:gridSpan w:val="2"/>
            <w:vMerge w:val="continue"/>
          </w:tcPr>
          <w:p>
            <w:pPr>
              <w:spacing w:after="0"/>
              <w:rPr>
                <w:sz w:val="22"/>
                <w:szCs w:val="22"/>
                <w:color w:val="auto"/>
              </w:rPr>
            </w:pPr>
          </w:p>
        </w:tc>
        <w:tc>
          <w:tcPr>
            <w:tcW w:w="1720" w:type="dxa"/>
            <w:vAlign w:val="bottom"/>
          </w:tcPr>
          <w:p>
            <w:pPr>
              <w:jc w:val="right"/>
              <w:ind w:right="139"/>
              <w:spacing w:after="0"/>
              <w:rPr>
                <w:sz w:val="20"/>
                <w:szCs w:val="20"/>
                <w:color w:val="auto"/>
              </w:rPr>
            </w:pPr>
            <w:r>
              <w:rPr>
                <w:rFonts w:ascii="Arial" w:cs="Arial" w:eastAsia="Arial" w:hAnsi="Arial"/>
                <w:sz w:val="16"/>
                <w:szCs w:val="16"/>
                <w:color w:val="auto"/>
              </w:rPr>
              <w:t>8,131,770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1/18/2023</w:t>
            </w:r>
          </w:p>
        </w:tc>
        <w:tc>
          <w:tcPr>
            <w:tcW w:w="10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2,815,520</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60" w:type="dxa"/>
            <w:vAlign w:val="bottom"/>
            <w:gridSpan w:val="2"/>
          </w:tcPr>
          <w:p>
            <w:pPr>
              <w:ind w:left="60"/>
              <w:spacing w:after="0"/>
              <w:rPr>
                <w:sz w:val="20"/>
                <w:szCs w:val="20"/>
                <w:color w:val="auto"/>
              </w:rPr>
            </w:pPr>
            <w:r>
              <w:rPr>
                <w:rFonts w:ascii="Arial" w:cs="Arial" w:eastAsia="Arial" w:hAnsi="Arial"/>
                <w:sz w:val="16"/>
                <w:szCs w:val="16"/>
                <w:color w:val="auto"/>
              </w:rPr>
              <w:t>S. Biguet</w:t>
            </w:r>
          </w:p>
        </w:tc>
        <w:tc>
          <w:tcPr>
            <w:tcW w:w="880" w:type="dxa"/>
            <w:vAlign w:val="bottom"/>
          </w:tcPr>
          <w:p>
            <w:pPr>
              <w:jc w:val="right"/>
              <w:spacing w:after="0"/>
              <w:rPr>
                <w:sz w:val="20"/>
                <w:szCs w:val="20"/>
                <w:color w:val="auto"/>
              </w:rPr>
            </w:pPr>
            <w:r>
              <w:rPr>
                <w:rFonts w:ascii="Arial" w:cs="Arial" w:eastAsia="Arial" w:hAnsi="Arial"/>
                <w:sz w:val="16"/>
                <w:szCs w:val="16"/>
                <w:color w:val="auto"/>
              </w:rPr>
              <w:t>1/16/2014</w:t>
            </w:r>
          </w:p>
        </w:tc>
        <w:tc>
          <w:tcPr>
            <w:tcW w:w="1040" w:type="dxa"/>
            <w:vAlign w:val="bottom"/>
          </w:tcPr>
          <w:p>
            <w:pPr>
              <w:jc w:val="right"/>
              <w:spacing w:after="0"/>
              <w:rPr>
                <w:sz w:val="20"/>
                <w:szCs w:val="20"/>
                <w:color w:val="auto"/>
              </w:rPr>
            </w:pPr>
            <w:r>
              <w:rPr>
                <w:rFonts w:ascii="Arial" w:cs="Arial" w:eastAsia="Arial" w:hAnsi="Arial"/>
                <w:sz w:val="16"/>
                <w:szCs w:val="16"/>
                <w:color w:val="auto"/>
              </w:rPr>
              <w:t>13,000</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88.765</w:t>
            </w:r>
          </w:p>
        </w:tc>
        <w:tc>
          <w:tcPr>
            <w:tcW w:w="840" w:type="dxa"/>
            <w:vAlign w:val="bottom"/>
            <w:gridSpan w:val="3"/>
          </w:tcPr>
          <w:p>
            <w:pPr>
              <w:jc w:val="right"/>
              <w:ind w:right="40"/>
              <w:spacing w:after="0"/>
              <w:rPr>
                <w:sz w:val="20"/>
                <w:szCs w:val="20"/>
                <w:color w:val="auto"/>
              </w:rPr>
            </w:pPr>
            <w:r>
              <w:rPr>
                <w:rFonts w:ascii="Arial" w:cs="Arial" w:eastAsia="Arial" w:hAnsi="Arial"/>
                <w:sz w:val="16"/>
                <w:szCs w:val="16"/>
                <w:color w:val="auto"/>
              </w:rPr>
              <w:t>1/16/2024</w:t>
            </w: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1/15/2015</w:t>
            </w:r>
          </w:p>
        </w:tc>
        <w:tc>
          <w:tcPr>
            <w:tcW w:w="1040" w:type="dxa"/>
            <w:vAlign w:val="bottom"/>
          </w:tcPr>
          <w:p>
            <w:pPr>
              <w:jc w:val="right"/>
              <w:spacing w:after="0"/>
              <w:rPr>
                <w:sz w:val="20"/>
                <w:szCs w:val="20"/>
                <w:color w:val="auto"/>
              </w:rPr>
            </w:pPr>
            <w:r>
              <w:rPr>
                <w:rFonts w:ascii="Arial" w:cs="Arial" w:eastAsia="Arial" w:hAnsi="Arial"/>
                <w:sz w:val="16"/>
                <w:szCs w:val="16"/>
                <w:color w:val="auto"/>
              </w:rPr>
              <w:t>18,000</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77.795</w:t>
            </w:r>
          </w:p>
        </w:tc>
        <w:tc>
          <w:tcPr>
            <w:tcW w:w="840" w:type="dxa"/>
            <w:vAlign w:val="bottom"/>
            <w:gridSpan w:val="3"/>
          </w:tcPr>
          <w:p>
            <w:pPr>
              <w:jc w:val="right"/>
              <w:ind w:right="40"/>
              <w:spacing w:after="0"/>
              <w:rPr>
                <w:sz w:val="20"/>
                <w:szCs w:val="20"/>
                <w:color w:val="auto"/>
              </w:rPr>
            </w:pPr>
            <w:r>
              <w:rPr>
                <w:rFonts w:ascii="Arial" w:cs="Arial" w:eastAsia="Arial" w:hAnsi="Arial"/>
                <w:sz w:val="16"/>
                <w:szCs w:val="16"/>
                <w:color w:val="auto"/>
              </w:rPr>
              <w:t>1/15/2025</w:t>
            </w: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1/21/2016</w:t>
            </w:r>
          </w:p>
        </w:tc>
        <w:tc>
          <w:tcPr>
            <w:tcW w:w="1040" w:type="dxa"/>
            <w:vAlign w:val="bottom"/>
          </w:tcPr>
          <w:p>
            <w:pPr>
              <w:jc w:val="right"/>
              <w:spacing w:after="0"/>
              <w:rPr>
                <w:sz w:val="20"/>
                <w:szCs w:val="20"/>
                <w:color w:val="auto"/>
              </w:rPr>
            </w:pPr>
            <w:r>
              <w:rPr>
                <w:rFonts w:ascii="Arial" w:cs="Arial" w:eastAsia="Arial" w:hAnsi="Arial"/>
                <w:sz w:val="16"/>
                <w:szCs w:val="16"/>
                <w:color w:val="auto"/>
              </w:rPr>
              <w:t>28,000</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61.920</w:t>
            </w:r>
          </w:p>
        </w:tc>
        <w:tc>
          <w:tcPr>
            <w:tcW w:w="840" w:type="dxa"/>
            <w:vAlign w:val="bottom"/>
            <w:gridSpan w:val="3"/>
          </w:tcPr>
          <w:p>
            <w:pPr>
              <w:jc w:val="right"/>
              <w:ind w:right="40"/>
              <w:spacing w:after="0"/>
              <w:rPr>
                <w:sz w:val="20"/>
                <w:szCs w:val="20"/>
                <w:color w:val="auto"/>
              </w:rPr>
            </w:pPr>
            <w:r>
              <w:rPr>
                <w:rFonts w:ascii="Arial" w:cs="Arial" w:eastAsia="Arial" w:hAnsi="Arial"/>
                <w:sz w:val="16"/>
                <w:szCs w:val="16"/>
                <w:color w:val="auto"/>
              </w:rPr>
              <w:t>1/21/2026</w:t>
            </w: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67,220</w:t>
            </w:r>
            <w:r>
              <w:rPr>
                <w:rFonts w:ascii="Arial" w:cs="Arial" w:eastAsia="Arial" w:hAnsi="Arial"/>
                <w:sz w:val="26"/>
                <w:szCs w:val="26"/>
                <w:color w:val="auto"/>
                <w:vertAlign w:val="superscript"/>
              </w:rPr>
              <w:t>(2)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1/20/2021</w:t>
            </w:r>
          </w:p>
        </w:tc>
        <w:tc>
          <w:tcPr>
            <w:tcW w:w="10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6"/>
                <w:szCs w:val="16"/>
                <w:color w:val="auto"/>
              </w:rPr>
              <w:t>33,610</w:t>
            </w:r>
            <w:r>
              <w:rPr>
                <w:rFonts w:ascii="Arial" w:cs="Arial" w:eastAsia="Arial" w:hAnsi="Arial"/>
                <w:sz w:val="26"/>
                <w:szCs w:val="26"/>
                <w:color w:val="auto"/>
                <w:vertAlign w:val="superscript"/>
              </w:rPr>
              <w:t>(3)</w:t>
            </w:r>
          </w:p>
        </w:tc>
        <w:tc>
          <w:tcPr>
            <w:tcW w:w="1080" w:type="dxa"/>
            <w:vAlign w:val="bottom"/>
          </w:tcPr>
          <w:p>
            <w:pPr>
              <w:spacing w:after="0"/>
              <w:rPr>
                <w:sz w:val="23"/>
                <w:szCs w:val="23"/>
                <w:color w:val="auto"/>
              </w:rPr>
            </w:pPr>
          </w:p>
        </w:tc>
        <w:tc>
          <w:tcPr>
            <w:tcW w:w="1500" w:type="dxa"/>
            <w:vAlign w:val="bottom"/>
            <w:gridSpan w:val="2"/>
            <w:vMerge w:val="continue"/>
          </w:tcPr>
          <w:p>
            <w:pPr>
              <w:spacing w:after="0"/>
              <w:rPr>
                <w:sz w:val="23"/>
                <w:szCs w:val="23"/>
                <w:color w:val="auto"/>
              </w:rPr>
            </w:pPr>
          </w:p>
        </w:tc>
        <w:tc>
          <w:tcPr>
            <w:tcW w:w="1720" w:type="dxa"/>
            <w:vAlign w:val="bottom"/>
          </w:tcPr>
          <w:p>
            <w:pPr>
              <w:jc w:val="right"/>
              <w:ind w:right="139"/>
              <w:spacing w:after="0"/>
              <w:rPr>
                <w:sz w:val="20"/>
                <w:szCs w:val="20"/>
                <w:color w:val="auto"/>
              </w:rPr>
            </w:pPr>
            <w:r>
              <w:rPr>
                <w:rFonts w:ascii="Arial" w:cs="Arial" w:eastAsia="Arial" w:hAnsi="Arial"/>
                <w:sz w:val="16"/>
                <w:szCs w:val="16"/>
                <w:color w:val="auto"/>
              </w:rPr>
              <w:t>3,498,129</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1/20/2021</w:t>
            </w:r>
          </w:p>
        </w:tc>
        <w:tc>
          <w:tcPr>
            <w:tcW w:w="10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80" w:type="dxa"/>
            <w:vAlign w:val="bottom"/>
            <w:gridSpan w:val="2"/>
            <w:vMerge w:val="continue"/>
          </w:tcPr>
          <w:p>
            <w:pPr>
              <w:spacing w:after="0"/>
              <w:rPr>
                <w:sz w:val="21"/>
                <w:szCs w:val="21"/>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1,749,064</w:t>
            </w:r>
          </w:p>
        </w:tc>
        <w:tc>
          <w:tcPr>
            <w:tcW w:w="150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29,390</w:t>
            </w:r>
            <w:r>
              <w:rPr>
                <w:rFonts w:ascii="Arial" w:cs="Arial" w:eastAsia="Arial" w:hAnsi="Arial"/>
                <w:sz w:val="26"/>
                <w:szCs w:val="26"/>
                <w:color w:val="auto"/>
                <w:vertAlign w:val="superscript"/>
              </w:rPr>
              <w:t>(4)</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2/3/2021</w:t>
            </w:r>
          </w:p>
        </w:tc>
        <w:tc>
          <w:tcPr>
            <w:tcW w:w="10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1720" w:type="dxa"/>
            <w:vAlign w:val="bottom"/>
          </w:tcPr>
          <w:p>
            <w:pPr>
              <w:jc w:val="right"/>
              <w:ind w:right="139"/>
              <w:spacing w:after="0"/>
              <w:rPr>
                <w:sz w:val="20"/>
                <w:szCs w:val="20"/>
                <w:color w:val="auto"/>
              </w:rPr>
            </w:pPr>
            <w:r>
              <w:rPr>
                <w:rFonts w:ascii="Arial" w:cs="Arial" w:eastAsia="Arial" w:hAnsi="Arial"/>
                <w:sz w:val="16"/>
                <w:szCs w:val="16"/>
                <w:color w:val="auto"/>
              </w:rPr>
              <w:t>1,529,456</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1/19/2022</w:t>
            </w: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6"/>
                <w:szCs w:val="16"/>
                <w:color w:val="auto"/>
              </w:rPr>
              <w:t>24,414</w:t>
            </w:r>
            <w:r>
              <w:rPr>
                <w:rFonts w:ascii="Arial" w:cs="Arial" w:eastAsia="Arial" w:hAnsi="Arial"/>
                <w:sz w:val="26"/>
                <w:szCs w:val="26"/>
                <w:color w:val="auto"/>
                <w:vertAlign w:val="superscript"/>
              </w:rPr>
              <w:t>(6)</w:t>
            </w:r>
          </w:p>
        </w:tc>
        <w:tc>
          <w:tcPr>
            <w:tcW w:w="1080" w:type="dxa"/>
            <w:vAlign w:val="bottom"/>
          </w:tcPr>
          <w:p>
            <w:pPr>
              <w:spacing w:after="0"/>
              <w:rPr>
                <w:sz w:val="24"/>
                <w:szCs w:val="24"/>
                <w:color w:val="auto"/>
              </w:rPr>
            </w:pPr>
          </w:p>
        </w:tc>
        <w:tc>
          <w:tcPr>
            <w:tcW w:w="1500" w:type="dxa"/>
            <w:vAlign w:val="bottom"/>
            <w:gridSpan w:val="2"/>
          </w:tcPr>
          <w:p>
            <w:pPr>
              <w:jc w:val="right"/>
              <w:ind w:right="40"/>
              <w:spacing w:after="0" w:line="282" w:lineRule="exact"/>
              <w:rPr>
                <w:sz w:val="20"/>
                <w:szCs w:val="20"/>
                <w:color w:val="auto"/>
              </w:rPr>
            </w:pPr>
            <w:r>
              <w:rPr>
                <w:rFonts w:ascii="Arial" w:cs="Arial" w:eastAsia="Arial" w:hAnsi="Arial"/>
                <w:sz w:val="16"/>
                <w:szCs w:val="16"/>
                <w:color w:val="auto"/>
              </w:rPr>
              <w:t>70,643</w:t>
            </w:r>
            <w:r>
              <w:rPr>
                <w:rFonts w:ascii="Arial" w:cs="Arial" w:eastAsia="Arial" w:hAnsi="Arial"/>
                <w:sz w:val="26"/>
                <w:szCs w:val="26"/>
                <w:color w:val="auto"/>
                <w:vertAlign w:val="superscript"/>
              </w:rPr>
              <w:t>(5)</w:t>
            </w:r>
          </w:p>
        </w:tc>
        <w:tc>
          <w:tcPr>
            <w:tcW w:w="1720" w:type="dxa"/>
            <w:vAlign w:val="bottom"/>
          </w:tcPr>
          <w:p>
            <w:pPr>
              <w:jc w:val="right"/>
              <w:ind w:right="139"/>
              <w:spacing w:after="0"/>
              <w:rPr>
                <w:sz w:val="20"/>
                <w:szCs w:val="20"/>
                <w:color w:val="auto"/>
              </w:rPr>
            </w:pPr>
            <w:r>
              <w:rPr>
                <w:rFonts w:ascii="Arial" w:cs="Arial" w:eastAsia="Arial" w:hAnsi="Arial"/>
                <w:sz w:val="16"/>
                <w:szCs w:val="16"/>
                <w:color w:val="auto"/>
              </w:rPr>
              <w:t>3,676,262</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1/19/2022</w:t>
            </w:r>
          </w:p>
        </w:tc>
        <w:tc>
          <w:tcPr>
            <w:tcW w:w="10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80" w:type="dxa"/>
            <w:vAlign w:val="bottom"/>
            <w:gridSpan w:val="2"/>
            <w:vMerge w:val="continue"/>
          </w:tcPr>
          <w:p>
            <w:pPr>
              <w:spacing w:after="0"/>
              <w:rPr>
                <w:sz w:val="21"/>
                <w:szCs w:val="21"/>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1,270,505</w:t>
            </w:r>
          </w:p>
        </w:tc>
        <w:tc>
          <w:tcPr>
            <w:tcW w:w="150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45,576</w:t>
            </w:r>
            <w:r>
              <w:rPr>
                <w:rFonts w:ascii="Arial" w:cs="Arial" w:eastAsia="Arial" w:hAnsi="Arial"/>
                <w:sz w:val="26"/>
                <w:szCs w:val="26"/>
                <w:color w:val="auto"/>
                <w:vertAlign w:val="superscript"/>
              </w:rPr>
              <w:t>(7)</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1/18/2023</w:t>
            </w:r>
          </w:p>
        </w:tc>
        <w:tc>
          <w:tcPr>
            <w:tcW w:w="10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6"/>
                <w:szCs w:val="16"/>
                <w:color w:val="auto"/>
              </w:rPr>
              <w:t>15,780</w:t>
            </w:r>
            <w:r>
              <w:rPr>
                <w:rFonts w:ascii="Arial" w:cs="Arial" w:eastAsia="Arial" w:hAnsi="Arial"/>
                <w:sz w:val="26"/>
                <w:szCs w:val="26"/>
                <w:color w:val="auto"/>
                <w:vertAlign w:val="superscript"/>
              </w:rPr>
              <w:t>(8)</w:t>
            </w:r>
          </w:p>
        </w:tc>
        <w:tc>
          <w:tcPr>
            <w:tcW w:w="1080" w:type="dxa"/>
            <w:vAlign w:val="bottom"/>
          </w:tcPr>
          <w:p>
            <w:pPr>
              <w:spacing w:after="0"/>
              <w:rPr>
                <w:sz w:val="21"/>
                <w:szCs w:val="21"/>
                <w:color w:val="auto"/>
              </w:rPr>
            </w:pPr>
          </w:p>
        </w:tc>
        <w:tc>
          <w:tcPr>
            <w:tcW w:w="1500" w:type="dxa"/>
            <w:vAlign w:val="bottom"/>
            <w:gridSpan w:val="2"/>
            <w:vMerge w:val="continue"/>
          </w:tcPr>
          <w:p>
            <w:pPr>
              <w:spacing w:after="0"/>
              <w:rPr>
                <w:sz w:val="21"/>
                <w:szCs w:val="21"/>
                <w:color w:val="auto"/>
              </w:rPr>
            </w:pPr>
          </w:p>
        </w:tc>
        <w:tc>
          <w:tcPr>
            <w:tcW w:w="1720" w:type="dxa"/>
            <w:vAlign w:val="bottom"/>
          </w:tcPr>
          <w:p>
            <w:pPr>
              <w:jc w:val="right"/>
              <w:ind w:right="139"/>
              <w:spacing w:after="0"/>
              <w:rPr>
                <w:sz w:val="20"/>
                <w:szCs w:val="20"/>
                <w:color w:val="auto"/>
              </w:rPr>
            </w:pPr>
            <w:r>
              <w:rPr>
                <w:rFonts w:ascii="Arial" w:cs="Arial" w:eastAsia="Arial" w:hAnsi="Arial"/>
                <w:sz w:val="16"/>
                <w:szCs w:val="16"/>
                <w:color w:val="auto"/>
              </w:rPr>
              <w:t>2,371,775</w:t>
            </w:r>
          </w:p>
        </w:tc>
        <w:tc>
          <w:tcPr>
            <w:tcW w:w="0" w:type="dxa"/>
            <w:vAlign w:val="bottom"/>
          </w:tcPr>
          <w:p>
            <w:pPr>
              <w:spacing w:after="0"/>
              <w:rPr>
                <w:sz w:val="1"/>
                <w:szCs w:val="1"/>
                <w:color w:val="auto"/>
              </w:rPr>
            </w:pPr>
          </w:p>
        </w:tc>
      </w:tr>
      <w:tr>
        <w:trPr>
          <w:trHeight w:val="320"/>
        </w:trPr>
        <w:tc>
          <w:tcPr>
            <w:tcW w:w="1160" w:type="dxa"/>
            <w:vAlign w:val="bottom"/>
            <w:gridSpan w:val="2"/>
            <w:vMerge w:val="restart"/>
          </w:tcPr>
          <w:p>
            <w:pPr>
              <w:ind w:left="60"/>
              <w:spacing w:after="0"/>
              <w:rPr>
                <w:sz w:val="20"/>
                <w:szCs w:val="20"/>
                <w:color w:val="auto"/>
              </w:rPr>
            </w:pPr>
            <w:r>
              <w:rPr>
                <w:rFonts w:ascii="Arial" w:cs="Arial" w:eastAsia="Arial" w:hAnsi="Arial"/>
                <w:sz w:val="16"/>
                <w:szCs w:val="16"/>
                <w:color w:val="auto"/>
              </w:rPr>
              <w:t>K. Al</w:t>
            </w:r>
          </w:p>
        </w:tc>
        <w:tc>
          <w:tcPr>
            <w:tcW w:w="880" w:type="dxa"/>
            <w:vAlign w:val="bottom"/>
          </w:tcPr>
          <w:p>
            <w:pPr>
              <w:jc w:val="right"/>
              <w:spacing w:after="0"/>
              <w:rPr>
                <w:sz w:val="20"/>
                <w:szCs w:val="20"/>
                <w:color w:val="auto"/>
              </w:rPr>
            </w:pPr>
            <w:r>
              <w:rPr>
                <w:rFonts w:ascii="Arial" w:cs="Arial" w:eastAsia="Arial" w:hAnsi="Arial"/>
                <w:sz w:val="16"/>
                <w:szCs w:val="16"/>
                <w:color w:val="auto"/>
              </w:rPr>
              <w:t>1/18/2023</w:t>
            </w: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gridSpan w:val="2"/>
            <w:vMerge w:val="continue"/>
          </w:tcPr>
          <w:p>
            <w:pPr>
              <w:spacing w:after="0"/>
              <w:rPr>
                <w:sz w:val="24"/>
                <w:szCs w:val="24"/>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821,191</w:t>
            </w: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1160" w:type="dxa"/>
            <w:vAlign w:val="bottom"/>
            <w:gridSpan w:val="2"/>
            <w:vMerge w:val="continue"/>
          </w:tcPr>
          <w:p>
            <w:pPr>
              <w:spacing w:after="0"/>
              <w:rPr>
                <w:sz w:val="6"/>
                <w:szCs w:val="6"/>
                <w:color w:val="auto"/>
              </w:rPr>
            </w:pPr>
          </w:p>
        </w:tc>
        <w:tc>
          <w:tcPr>
            <w:tcW w:w="8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160" w:type="dxa"/>
            <w:vAlign w:val="bottom"/>
            <w:gridSpan w:val="2"/>
          </w:tcPr>
          <w:p>
            <w:pPr>
              <w:ind w:left="60"/>
              <w:spacing w:after="0"/>
              <w:rPr>
                <w:sz w:val="20"/>
                <w:szCs w:val="20"/>
                <w:color w:val="auto"/>
              </w:rPr>
            </w:pPr>
            <w:r>
              <w:rPr>
                <w:rFonts w:ascii="Arial" w:cs="Arial" w:eastAsia="Arial" w:hAnsi="Arial"/>
                <w:sz w:val="16"/>
                <w:szCs w:val="16"/>
                <w:color w:val="auto"/>
              </w:rPr>
              <w:t>Mogharbel</w:t>
            </w:r>
          </w:p>
        </w:tc>
        <w:tc>
          <w:tcPr>
            <w:tcW w:w="880" w:type="dxa"/>
            <w:vAlign w:val="bottom"/>
          </w:tcPr>
          <w:p>
            <w:pPr>
              <w:jc w:val="right"/>
              <w:spacing w:after="0"/>
              <w:rPr>
                <w:sz w:val="20"/>
                <w:szCs w:val="20"/>
                <w:color w:val="auto"/>
              </w:rPr>
            </w:pPr>
            <w:r>
              <w:rPr>
                <w:rFonts w:ascii="Arial" w:cs="Arial" w:eastAsia="Arial" w:hAnsi="Arial"/>
                <w:sz w:val="16"/>
                <w:szCs w:val="16"/>
                <w:color w:val="auto"/>
              </w:rPr>
              <w:t>1/16/2014</w:t>
            </w:r>
          </w:p>
        </w:tc>
        <w:tc>
          <w:tcPr>
            <w:tcW w:w="1040" w:type="dxa"/>
            <w:vAlign w:val="bottom"/>
          </w:tcPr>
          <w:p>
            <w:pPr>
              <w:jc w:val="right"/>
              <w:spacing w:after="0"/>
              <w:rPr>
                <w:sz w:val="20"/>
                <w:szCs w:val="20"/>
                <w:color w:val="auto"/>
              </w:rPr>
            </w:pPr>
            <w:r>
              <w:rPr>
                <w:rFonts w:ascii="Arial" w:cs="Arial" w:eastAsia="Arial" w:hAnsi="Arial"/>
                <w:sz w:val="16"/>
                <w:szCs w:val="16"/>
                <w:color w:val="auto"/>
              </w:rPr>
              <w:t>53,000</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88.765</w:t>
            </w:r>
          </w:p>
        </w:tc>
        <w:tc>
          <w:tcPr>
            <w:tcW w:w="840" w:type="dxa"/>
            <w:vAlign w:val="bottom"/>
            <w:gridSpan w:val="3"/>
          </w:tcPr>
          <w:p>
            <w:pPr>
              <w:jc w:val="right"/>
              <w:ind w:right="40"/>
              <w:spacing w:after="0"/>
              <w:rPr>
                <w:sz w:val="20"/>
                <w:szCs w:val="20"/>
                <w:color w:val="auto"/>
              </w:rPr>
            </w:pPr>
            <w:r>
              <w:rPr>
                <w:rFonts w:ascii="Arial" w:cs="Arial" w:eastAsia="Arial" w:hAnsi="Arial"/>
                <w:sz w:val="16"/>
                <w:szCs w:val="16"/>
                <w:color w:val="auto"/>
              </w:rPr>
              <w:t>1/16/2024</w:t>
            </w: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1/15/2015</w:t>
            </w:r>
          </w:p>
        </w:tc>
        <w:tc>
          <w:tcPr>
            <w:tcW w:w="1040" w:type="dxa"/>
            <w:vAlign w:val="bottom"/>
          </w:tcPr>
          <w:p>
            <w:pPr>
              <w:jc w:val="right"/>
              <w:spacing w:after="0"/>
              <w:rPr>
                <w:sz w:val="20"/>
                <w:szCs w:val="20"/>
                <w:color w:val="auto"/>
              </w:rPr>
            </w:pPr>
            <w:r>
              <w:rPr>
                <w:rFonts w:ascii="Arial" w:cs="Arial" w:eastAsia="Arial" w:hAnsi="Arial"/>
                <w:sz w:val="16"/>
                <w:szCs w:val="16"/>
                <w:color w:val="auto"/>
              </w:rPr>
              <w:t>71,000</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77.795</w:t>
            </w:r>
          </w:p>
        </w:tc>
        <w:tc>
          <w:tcPr>
            <w:tcW w:w="840" w:type="dxa"/>
            <w:vAlign w:val="bottom"/>
            <w:gridSpan w:val="3"/>
          </w:tcPr>
          <w:p>
            <w:pPr>
              <w:jc w:val="right"/>
              <w:ind w:right="40"/>
              <w:spacing w:after="0"/>
              <w:rPr>
                <w:sz w:val="20"/>
                <w:szCs w:val="20"/>
                <w:color w:val="auto"/>
              </w:rPr>
            </w:pPr>
            <w:r>
              <w:rPr>
                <w:rFonts w:ascii="Arial" w:cs="Arial" w:eastAsia="Arial" w:hAnsi="Arial"/>
                <w:sz w:val="16"/>
                <w:szCs w:val="16"/>
                <w:color w:val="auto"/>
              </w:rPr>
              <w:t>1/15/2025</w:t>
            </w: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1/21/2016</w:t>
            </w:r>
          </w:p>
        </w:tc>
        <w:tc>
          <w:tcPr>
            <w:tcW w:w="1040" w:type="dxa"/>
            <w:vAlign w:val="bottom"/>
          </w:tcPr>
          <w:p>
            <w:pPr>
              <w:jc w:val="right"/>
              <w:spacing w:after="0"/>
              <w:rPr>
                <w:sz w:val="20"/>
                <w:szCs w:val="20"/>
                <w:color w:val="auto"/>
              </w:rPr>
            </w:pPr>
            <w:r>
              <w:rPr>
                <w:rFonts w:ascii="Arial" w:cs="Arial" w:eastAsia="Arial" w:hAnsi="Arial"/>
                <w:sz w:val="16"/>
                <w:szCs w:val="16"/>
                <w:color w:val="auto"/>
              </w:rPr>
              <w:t>114,000</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61.920</w:t>
            </w:r>
          </w:p>
        </w:tc>
        <w:tc>
          <w:tcPr>
            <w:tcW w:w="840" w:type="dxa"/>
            <w:vAlign w:val="bottom"/>
            <w:gridSpan w:val="3"/>
          </w:tcPr>
          <w:p>
            <w:pPr>
              <w:jc w:val="right"/>
              <w:ind w:right="40"/>
              <w:spacing w:after="0"/>
              <w:rPr>
                <w:sz w:val="20"/>
                <w:szCs w:val="20"/>
                <w:color w:val="auto"/>
              </w:rPr>
            </w:pPr>
            <w:r>
              <w:rPr>
                <w:rFonts w:ascii="Arial" w:cs="Arial" w:eastAsia="Arial" w:hAnsi="Arial"/>
                <w:sz w:val="16"/>
                <w:szCs w:val="16"/>
                <w:color w:val="auto"/>
              </w:rPr>
              <w:t>1/21/2026</w:t>
            </w: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73,520</w:t>
            </w:r>
            <w:r>
              <w:rPr>
                <w:rFonts w:ascii="Arial" w:cs="Arial" w:eastAsia="Arial" w:hAnsi="Arial"/>
                <w:sz w:val="26"/>
                <w:szCs w:val="26"/>
                <w:color w:val="auto"/>
                <w:vertAlign w:val="superscript"/>
              </w:rPr>
              <w:t>(2)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1/20/2021</w:t>
            </w:r>
          </w:p>
        </w:tc>
        <w:tc>
          <w:tcPr>
            <w:tcW w:w="10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6"/>
                <w:szCs w:val="16"/>
                <w:color w:val="auto"/>
              </w:rPr>
              <w:t>36,760</w:t>
            </w:r>
            <w:r>
              <w:rPr>
                <w:rFonts w:ascii="Arial" w:cs="Arial" w:eastAsia="Arial" w:hAnsi="Arial"/>
                <w:sz w:val="26"/>
                <w:szCs w:val="26"/>
                <w:color w:val="auto"/>
                <w:vertAlign w:val="superscript"/>
              </w:rPr>
              <w:t>(3)</w:t>
            </w:r>
          </w:p>
        </w:tc>
        <w:tc>
          <w:tcPr>
            <w:tcW w:w="1080" w:type="dxa"/>
            <w:vAlign w:val="bottom"/>
          </w:tcPr>
          <w:p>
            <w:pPr>
              <w:spacing w:after="0"/>
              <w:rPr>
                <w:sz w:val="23"/>
                <w:szCs w:val="23"/>
                <w:color w:val="auto"/>
              </w:rPr>
            </w:pPr>
          </w:p>
        </w:tc>
        <w:tc>
          <w:tcPr>
            <w:tcW w:w="1500" w:type="dxa"/>
            <w:vAlign w:val="bottom"/>
            <w:gridSpan w:val="2"/>
            <w:vMerge w:val="continue"/>
          </w:tcPr>
          <w:p>
            <w:pPr>
              <w:spacing w:after="0"/>
              <w:rPr>
                <w:sz w:val="23"/>
                <w:szCs w:val="23"/>
                <w:color w:val="auto"/>
              </w:rPr>
            </w:pPr>
          </w:p>
        </w:tc>
        <w:tc>
          <w:tcPr>
            <w:tcW w:w="1720" w:type="dxa"/>
            <w:vAlign w:val="bottom"/>
          </w:tcPr>
          <w:p>
            <w:pPr>
              <w:jc w:val="right"/>
              <w:ind w:right="139"/>
              <w:spacing w:after="0"/>
              <w:rPr>
                <w:sz w:val="20"/>
                <w:szCs w:val="20"/>
                <w:color w:val="auto"/>
              </w:rPr>
            </w:pPr>
            <w:r>
              <w:rPr>
                <w:rFonts w:ascii="Arial" w:cs="Arial" w:eastAsia="Arial" w:hAnsi="Arial"/>
                <w:sz w:val="16"/>
                <w:szCs w:val="16"/>
                <w:color w:val="auto"/>
              </w:rPr>
              <w:t>3,825,981</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1/20/2021</w:t>
            </w:r>
          </w:p>
        </w:tc>
        <w:tc>
          <w:tcPr>
            <w:tcW w:w="10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80" w:type="dxa"/>
            <w:vAlign w:val="bottom"/>
            <w:gridSpan w:val="2"/>
            <w:vMerge w:val="continue"/>
          </w:tcPr>
          <w:p>
            <w:pPr>
              <w:spacing w:after="0"/>
              <w:rPr>
                <w:sz w:val="21"/>
                <w:szCs w:val="21"/>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1,912,990</w:t>
            </w:r>
          </w:p>
        </w:tc>
        <w:tc>
          <w:tcPr>
            <w:tcW w:w="150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32,150</w:t>
            </w:r>
            <w:r>
              <w:rPr>
                <w:rFonts w:ascii="Arial" w:cs="Arial" w:eastAsia="Arial" w:hAnsi="Arial"/>
                <w:sz w:val="26"/>
                <w:szCs w:val="26"/>
                <w:color w:val="auto"/>
                <w:vertAlign w:val="superscript"/>
              </w:rPr>
              <w:t>(4)</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2/3/2021</w:t>
            </w:r>
          </w:p>
        </w:tc>
        <w:tc>
          <w:tcPr>
            <w:tcW w:w="10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1720" w:type="dxa"/>
            <w:vAlign w:val="bottom"/>
          </w:tcPr>
          <w:p>
            <w:pPr>
              <w:jc w:val="right"/>
              <w:ind w:right="139"/>
              <w:spacing w:after="0"/>
              <w:rPr>
                <w:sz w:val="20"/>
                <w:szCs w:val="20"/>
                <w:color w:val="auto"/>
              </w:rPr>
            </w:pPr>
            <w:r>
              <w:rPr>
                <w:rFonts w:ascii="Arial" w:cs="Arial" w:eastAsia="Arial" w:hAnsi="Arial"/>
                <w:sz w:val="16"/>
                <w:szCs w:val="16"/>
                <w:color w:val="auto"/>
              </w:rPr>
              <w:t>1,673,086</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1/19/2022</w:t>
            </w: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6"/>
                <w:szCs w:val="16"/>
                <w:color w:val="auto"/>
              </w:rPr>
              <w:t>24,414</w:t>
            </w:r>
            <w:r>
              <w:rPr>
                <w:rFonts w:ascii="Arial" w:cs="Arial" w:eastAsia="Arial" w:hAnsi="Arial"/>
                <w:sz w:val="26"/>
                <w:szCs w:val="26"/>
                <w:color w:val="auto"/>
                <w:vertAlign w:val="superscript"/>
              </w:rPr>
              <w:t>(6)</w:t>
            </w:r>
          </w:p>
        </w:tc>
        <w:tc>
          <w:tcPr>
            <w:tcW w:w="1080" w:type="dxa"/>
            <w:vAlign w:val="bottom"/>
          </w:tcPr>
          <w:p>
            <w:pPr>
              <w:spacing w:after="0"/>
              <w:rPr>
                <w:sz w:val="24"/>
                <w:szCs w:val="24"/>
                <w:color w:val="auto"/>
              </w:rPr>
            </w:pPr>
          </w:p>
        </w:tc>
        <w:tc>
          <w:tcPr>
            <w:tcW w:w="1500" w:type="dxa"/>
            <w:vAlign w:val="bottom"/>
            <w:gridSpan w:val="2"/>
          </w:tcPr>
          <w:p>
            <w:pPr>
              <w:jc w:val="right"/>
              <w:ind w:right="40"/>
              <w:spacing w:after="0" w:line="282" w:lineRule="exact"/>
              <w:rPr>
                <w:sz w:val="20"/>
                <w:szCs w:val="20"/>
                <w:color w:val="auto"/>
              </w:rPr>
            </w:pPr>
            <w:r>
              <w:rPr>
                <w:rFonts w:ascii="Arial" w:cs="Arial" w:eastAsia="Arial" w:hAnsi="Arial"/>
                <w:sz w:val="16"/>
                <w:szCs w:val="16"/>
                <w:color w:val="auto"/>
              </w:rPr>
              <w:t>70,643</w:t>
            </w:r>
            <w:r>
              <w:rPr>
                <w:rFonts w:ascii="Arial" w:cs="Arial" w:eastAsia="Arial" w:hAnsi="Arial"/>
                <w:sz w:val="26"/>
                <w:szCs w:val="26"/>
                <w:color w:val="auto"/>
                <w:vertAlign w:val="superscript"/>
              </w:rPr>
              <w:t>(5)</w:t>
            </w:r>
          </w:p>
        </w:tc>
        <w:tc>
          <w:tcPr>
            <w:tcW w:w="1720" w:type="dxa"/>
            <w:vAlign w:val="bottom"/>
          </w:tcPr>
          <w:p>
            <w:pPr>
              <w:jc w:val="right"/>
              <w:ind w:right="139"/>
              <w:spacing w:after="0"/>
              <w:rPr>
                <w:sz w:val="20"/>
                <w:szCs w:val="20"/>
                <w:color w:val="auto"/>
              </w:rPr>
            </w:pPr>
            <w:r>
              <w:rPr>
                <w:rFonts w:ascii="Arial" w:cs="Arial" w:eastAsia="Arial" w:hAnsi="Arial"/>
                <w:sz w:val="16"/>
                <w:szCs w:val="16"/>
                <w:color w:val="auto"/>
              </w:rPr>
              <w:t>3,676,262</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1/19/2022</w:t>
            </w:r>
          </w:p>
        </w:tc>
        <w:tc>
          <w:tcPr>
            <w:tcW w:w="10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80" w:type="dxa"/>
            <w:vAlign w:val="bottom"/>
            <w:gridSpan w:val="2"/>
            <w:vMerge w:val="continue"/>
          </w:tcPr>
          <w:p>
            <w:pPr>
              <w:spacing w:after="0"/>
              <w:rPr>
                <w:sz w:val="21"/>
                <w:szCs w:val="21"/>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1,270,505</w:t>
            </w:r>
          </w:p>
        </w:tc>
        <w:tc>
          <w:tcPr>
            <w:tcW w:w="150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45,576</w:t>
            </w:r>
            <w:r>
              <w:rPr>
                <w:rFonts w:ascii="Arial" w:cs="Arial" w:eastAsia="Arial" w:hAnsi="Arial"/>
                <w:sz w:val="26"/>
                <w:szCs w:val="26"/>
                <w:color w:val="auto"/>
                <w:vertAlign w:val="superscript"/>
              </w:rPr>
              <w:t>(7)</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1/18/2023</w:t>
            </w:r>
          </w:p>
        </w:tc>
        <w:tc>
          <w:tcPr>
            <w:tcW w:w="10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6"/>
                <w:szCs w:val="16"/>
                <w:color w:val="auto"/>
              </w:rPr>
              <w:t>15,780</w:t>
            </w:r>
            <w:r>
              <w:rPr>
                <w:rFonts w:ascii="Arial" w:cs="Arial" w:eastAsia="Arial" w:hAnsi="Arial"/>
                <w:sz w:val="26"/>
                <w:szCs w:val="26"/>
                <w:color w:val="auto"/>
                <w:vertAlign w:val="superscript"/>
              </w:rPr>
              <w:t>(8)</w:t>
            </w:r>
          </w:p>
        </w:tc>
        <w:tc>
          <w:tcPr>
            <w:tcW w:w="1080" w:type="dxa"/>
            <w:vAlign w:val="bottom"/>
          </w:tcPr>
          <w:p>
            <w:pPr>
              <w:spacing w:after="0"/>
              <w:rPr>
                <w:sz w:val="21"/>
                <w:szCs w:val="21"/>
                <w:color w:val="auto"/>
              </w:rPr>
            </w:pPr>
          </w:p>
        </w:tc>
        <w:tc>
          <w:tcPr>
            <w:tcW w:w="1500" w:type="dxa"/>
            <w:vAlign w:val="bottom"/>
            <w:gridSpan w:val="2"/>
            <w:vMerge w:val="continue"/>
          </w:tcPr>
          <w:p>
            <w:pPr>
              <w:spacing w:after="0"/>
              <w:rPr>
                <w:sz w:val="21"/>
                <w:szCs w:val="21"/>
                <w:color w:val="auto"/>
              </w:rPr>
            </w:pPr>
          </w:p>
        </w:tc>
        <w:tc>
          <w:tcPr>
            <w:tcW w:w="1720" w:type="dxa"/>
            <w:vAlign w:val="bottom"/>
          </w:tcPr>
          <w:p>
            <w:pPr>
              <w:jc w:val="right"/>
              <w:ind w:right="139"/>
              <w:spacing w:after="0"/>
              <w:rPr>
                <w:sz w:val="20"/>
                <w:szCs w:val="20"/>
                <w:color w:val="auto"/>
              </w:rPr>
            </w:pPr>
            <w:r>
              <w:rPr>
                <w:rFonts w:ascii="Arial" w:cs="Arial" w:eastAsia="Arial" w:hAnsi="Arial"/>
                <w:sz w:val="16"/>
                <w:szCs w:val="16"/>
                <w:color w:val="auto"/>
              </w:rPr>
              <w:t>2,371,775</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1/18/2023</w:t>
            </w:r>
          </w:p>
        </w:tc>
        <w:tc>
          <w:tcPr>
            <w:tcW w:w="10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821,191</w:t>
            </w: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gridSpan w:val="2"/>
          </w:tcPr>
          <w:p>
            <w:pPr>
              <w:ind w:left="60"/>
              <w:spacing w:after="0"/>
              <w:rPr>
                <w:sz w:val="20"/>
                <w:szCs w:val="20"/>
                <w:color w:val="auto"/>
              </w:rPr>
            </w:pPr>
            <w:r>
              <w:rPr>
                <w:rFonts w:ascii="Arial" w:cs="Arial" w:eastAsia="Arial" w:hAnsi="Arial"/>
                <w:sz w:val="16"/>
                <w:szCs w:val="16"/>
                <w:color w:val="auto"/>
              </w:rPr>
              <w:t>A. Merad</w:t>
            </w:r>
          </w:p>
        </w:tc>
        <w:tc>
          <w:tcPr>
            <w:tcW w:w="880" w:type="dxa"/>
            <w:vAlign w:val="bottom"/>
          </w:tcPr>
          <w:p>
            <w:pPr>
              <w:jc w:val="right"/>
              <w:spacing w:after="0"/>
              <w:rPr>
                <w:sz w:val="20"/>
                <w:szCs w:val="20"/>
                <w:color w:val="auto"/>
              </w:rPr>
            </w:pPr>
            <w:r>
              <w:rPr>
                <w:rFonts w:ascii="Arial" w:cs="Arial" w:eastAsia="Arial" w:hAnsi="Arial"/>
                <w:sz w:val="16"/>
                <w:szCs w:val="16"/>
                <w:color w:val="auto"/>
              </w:rPr>
              <w:t>4/16/2014</w:t>
            </w:r>
          </w:p>
        </w:tc>
        <w:tc>
          <w:tcPr>
            <w:tcW w:w="1040" w:type="dxa"/>
            <w:vAlign w:val="bottom"/>
          </w:tcPr>
          <w:p>
            <w:pPr>
              <w:jc w:val="right"/>
              <w:spacing w:after="0"/>
              <w:rPr>
                <w:sz w:val="20"/>
                <w:szCs w:val="20"/>
                <w:color w:val="auto"/>
              </w:rPr>
            </w:pPr>
            <w:r>
              <w:rPr>
                <w:rFonts w:ascii="Arial" w:cs="Arial" w:eastAsia="Arial" w:hAnsi="Arial"/>
                <w:sz w:val="16"/>
                <w:szCs w:val="16"/>
                <w:color w:val="auto"/>
              </w:rPr>
              <w:t>20,000</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100.555</w:t>
            </w:r>
          </w:p>
        </w:tc>
        <w:tc>
          <w:tcPr>
            <w:tcW w:w="840" w:type="dxa"/>
            <w:vAlign w:val="bottom"/>
            <w:gridSpan w:val="3"/>
          </w:tcPr>
          <w:p>
            <w:pPr>
              <w:jc w:val="right"/>
              <w:ind w:right="40"/>
              <w:spacing w:after="0"/>
              <w:rPr>
                <w:sz w:val="20"/>
                <w:szCs w:val="20"/>
                <w:color w:val="auto"/>
              </w:rPr>
            </w:pPr>
            <w:r>
              <w:rPr>
                <w:rFonts w:ascii="Arial" w:cs="Arial" w:eastAsia="Arial" w:hAnsi="Arial"/>
                <w:sz w:val="16"/>
                <w:szCs w:val="16"/>
                <w:color w:val="auto"/>
              </w:rPr>
              <w:t>4/16/2024</w:t>
            </w: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4/16/2015</w:t>
            </w:r>
          </w:p>
        </w:tc>
        <w:tc>
          <w:tcPr>
            <w:tcW w:w="1040" w:type="dxa"/>
            <w:vAlign w:val="bottom"/>
          </w:tcPr>
          <w:p>
            <w:pPr>
              <w:jc w:val="right"/>
              <w:spacing w:after="0"/>
              <w:rPr>
                <w:sz w:val="20"/>
                <w:szCs w:val="20"/>
                <w:color w:val="auto"/>
              </w:rPr>
            </w:pPr>
            <w:r>
              <w:rPr>
                <w:rFonts w:ascii="Arial" w:cs="Arial" w:eastAsia="Arial" w:hAnsi="Arial"/>
                <w:sz w:val="16"/>
                <w:szCs w:val="16"/>
                <w:color w:val="auto"/>
              </w:rPr>
              <w:t>20,000</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91.740</w:t>
            </w:r>
          </w:p>
        </w:tc>
        <w:tc>
          <w:tcPr>
            <w:tcW w:w="840" w:type="dxa"/>
            <w:vAlign w:val="bottom"/>
            <w:gridSpan w:val="3"/>
          </w:tcPr>
          <w:p>
            <w:pPr>
              <w:jc w:val="right"/>
              <w:ind w:right="40"/>
              <w:spacing w:after="0"/>
              <w:rPr>
                <w:sz w:val="20"/>
                <w:szCs w:val="20"/>
                <w:color w:val="auto"/>
              </w:rPr>
            </w:pPr>
            <w:r>
              <w:rPr>
                <w:rFonts w:ascii="Arial" w:cs="Arial" w:eastAsia="Arial" w:hAnsi="Arial"/>
                <w:sz w:val="16"/>
                <w:szCs w:val="16"/>
                <w:color w:val="auto"/>
              </w:rPr>
              <w:t>4/16/2025</w:t>
            </w: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4/20/2016</w:t>
            </w:r>
          </w:p>
        </w:tc>
        <w:tc>
          <w:tcPr>
            <w:tcW w:w="1040" w:type="dxa"/>
            <w:vAlign w:val="bottom"/>
          </w:tcPr>
          <w:p>
            <w:pPr>
              <w:jc w:val="right"/>
              <w:spacing w:after="0"/>
              <w:rPr>
                <w:sz w:val="20"/>
                <w:szCs w:val="20"/>
                <w:color w:val="auto"/>
              </w:rPr>
            </w:pPr>
            <w:r>
              <w:rPr>
                <w:rFonts w:ascii="Arial" w:cs="Arial" w:eastAsia="Arial" w:hAnsi="Arial"/>
                <w:sz w:val="16"/>
                <w:szCs w:val="16"/>
                <w:color w:val="auto"/>
              </w:rPr>
              <w:t>20,000</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80.525</w:t>
            </w:r>
          </w:p>
        </w:tc>
        <w:tc>
          <w:tcPr>
            <w:tcW w:w="840" w:type="dxa"/>
            <w:vAlign w:val="bottom"/>
            <w:gridSpan w:val="3"/>
          </w:tcPr>
          <w:p>
            <w:pPr>
              <w:jc w:val="right"/>
              <w:ind w:right="40"/>
              <w:spacing w:after="0"/>
              <w:rPr>
                <w:sz w:val="20"/>
                <w:szCs w:val="20"/>
                <w:color w:val="auto"/>
              </w:rPr>
            </w:pPr>
            <w:r>
              <w:rPr>
                <w:rFonts w:ascii="Arial" w:cs="Arial" w:eastAsia="Arial" w:hAnsi="Arial"/>
                <w:sz w:val="16"/>
                <w:szCs w:val="16"/>
                <w:color w:val="auto"/>
              </w:rPr>
              <w:t>4/20/2026</w:t>
            </w: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67,220</w:t>
            </w:r>
            <w:r>
              <w:rPr>
                <w:rFonts w:ascii="Arial" w:cs="Arial" w:eastAsia="Arial" w:hAnsi="Arial"/>
                <w:sz w:val="26"/>
                <w:szCs w:val="26"/>
                <w:color w:val="auto"/>
                <w:vertAlign w:val="superscript"/>
              </w:rPr>
              <w:t>(2)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1/20/2021</w:t>
            </w:r>
          </w:p>
        </w:tc>
        <w:tc>
          <w:tcPr>
            <w:tcW w:w="10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6"/>
                <w:szCs w:val="16"/>
                <w:color w:val="auto"/>
              </w:rPr>
              <w:t>33,610</w:t>
            </w:r>
            <w:r>
              <w:rPr>
                <w:rFonts w:ascii="Arial" w:cs="Arial" w:eastAsia="Arial" w:hAnsi="Arial"/>
                <w:sz w:val="26"/>
                <w:szCs w:val="26"/>
                <w:color w:val="auto"/>
                <w:vertAlign w:val="superscript"/>
              </w:rPr>
              <w:t>(3)</w:t>
            </w:r>
          </w:p>
        </w:tc>
        <w:tc>
          <w:tcPr>
            <w:tcW w:w="1080" w:type="dxa"/>
            <w:vAlign w:val="bottom"/>
          </w:tcPr>
          <w:p>
            <w:pPr>
              <w:spacing w:after="0"/>
              <w:rPr>
                <w:sz w:val="23"/>
                <w:szCs w:val="23"/>
                <w:color w:val="auto"/>
              </w:rPr>
            </w:pPr>
          </w:p>
        </w:tc>
        <w:tc>
          <w:tcPr>
            <w:tcW w:w="1500" w:type="dxa"/>
            <w:vAlign w:val="bottom"/>
            <w:gridSpan w:val="2"/>
            <w:vMerge w:val="continue"/>
          </w:tcPr>
          <w:p>
            <w:pPr>
              <w:spacing w:after="0"/>
              <w:rPr>
                <w:sz w:val="23"/>
                <w:szCs w:val="23"/>
                <w:color w:val="auto"/>
              </w:rPr>
            </w:pPr>
          </w:p>
        </w:tc>
        <w:tc>
          <w:tcPr>
            <w:tcW w:w="1720" w:type="dxa"/>
            <w:vAlign w:val="bottom"/>
          </w:tcPr>
          <w:p>
            <w:pPr>
              <w:jc w:val="right"/>
              <w:ind w:right="139"/>
              <w:spacing w:after="0"/>
              <w:rPr>
                <w:sz w:val="20"/>
                <w:szCs w:val="20"/>
                <w:color w:val="auto"/>
              </w:rPr>
            </w:pPr>
            <w:r>
              <w:rPr>
                <w:rFonts w:ascii="Arial" w:cs="Arial" w:eastAsia="Arial" w:hAnsi="Arial"/>
                <w:sz w:val="16"/>
                <w:szCs w:val="16"/>
                <w:color w:val="auto"/>
              </w:rPr>
              <w:t>3,498,129</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1/20/2021</w:t>
            </w:r>
          </w:p>
        </w:tc>
        <w:tc>
          <w:tcPr>
            <w:tcW w:w="10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80" w:type="dxa"/>
            <w:vAlign w:val="bottom"/>
            <w:gridSpan w:val="2"/>
            <w:vMerge w:val="continue"/>
          </w:tcPr>
          <w:p>
            <w:pPr>
              <w:spacing w:after="0"/>
              <w:rPr>
                <w:sz w:val="21"/>
                <w:szCs w:val="21"/>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1,749,064</w:t>
            </w:r>
          </w:p>
        </w:tc>
        <w:tc>
          <w:tcPr>
            <w:tcW w:w="150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29,390</w:t>
            </w:r>
            <w:r>
              <w:rPr>
                <w:rFonts w:ascii="Arial" w:cs="Arial" w:eastAsia="Arial" w:hAnsi="Arial"/>
                <w:sz w:val="26"/>
                <w:szCs w:val="26"/>
                <w:color w:val="auto"/>
                <w:vertAlign w:val="superscript"/>
              </w:rPr>
              <w:t>(4)</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2/3/2021</w:t>
            </w:r>
          </w:p>
        </w:tc>
        <w:tc>
          <w:tcPr>
            <w:tcW w:w="10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1720" w:type="dxa"/>
            <w:vAlign w:val="bottom"/>
          </w:tcPr>
          <w:p>
            <w:pPr>
              <w:jc w:val="right"/>
              <w:ind w:right="139"/>
              <w:spacing w:after="0"/>
              <w:rPr>
                <w:sz w:val="20"/>
                <w:szCs w:val="20"/>
                <w:color w:val="auto"/>
              </w:rPr>
            </w:pPr>
            <w:r>
              <w:rPr>
                <w:rFonts w:ascii="Arial" w:cs="Arial" w:eastAsia="Arial" w:hAnsi="Arial"/>
                <w:sz w:val="16"/>
                <w:szCs w:val="16"/>
                <w:color w:val="auto"/>
              </w:rPr>
              <w:t>1,529,456</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1/19/2022</w:t>
            </w: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6"/>
                <w:szCs w:val="16"/>
                <w:color w:val="auto"/>
              </w:rPr>
              <w:t>22,321</w:t>
            </w:r>
            <w:r>
              <w:rPr>
                <w:rFonts w:ascii="Arial" w:cs="Arial" w:eastAsia="Arial" w:hAnsi="Arial"/>
                <w:sz w:val="26"/>
                <w:szCs w:val="26"/>
                <w:color w:val="auto"/>
                <w:vertAlign w:val="superscript"/>
              </w:rPr>
              <w:t>(6)</w:t>
            </w:r>
          </w:p>
        </w:tc>
        <w:tc>
          <w:tcPr>
            <w:tcW w:w="1080" w:type="dxa"/>
            <w:vAlign w:val="bottom"/>
          </w:tcPr>
          <w:p>
            <w:pPr>
              <w:spacing w:after="0"/>
              <w:rPr>
                <w:sz w:val="24"/>
                <w:szCs w:val="24"/>
                <w:color w:val="auto"/>
              </w:rPr>
            </w:pPr>
          </w:p>
        </w:tc>
        <w:tc>
          <w:tcPr>
            <w:tcW w:w="1500" w:type="dxa"/>
            <w:vAlign w:val="bottom"/>
            <w:gridSpan w:val="2"/>
          </w:tcPr>
          <w:p>
            <w:pPr>
              <w:jc w:val="right"/>
              <w:ind w:right="40"/>
              <w:spacing w:after="0" w:line="282" w:lineRule="exact"/>
              <w:rPr>
                <w:sz w:val="20"/>
                <w:szCs w:val="20"/>
                <w:color w:val="auto"/>
              </w:rPr>
            </w:pPr>
            <w:r>
              <w:rPr>
                <w:rFonts w:ascii="Arial" w:cs="Arial" w:eastAsia="Arial" w:hAnsi="Arial"/>
                <w:sz w:val="16"/>
                <w:szCs w:val="16"/>
                <w:color w:val="auto"/>
              </w:rPr>
              <w:t>64,587</w:t>
            </w:r>
            <w:r>
              <w:rPr>
                <w:rFonts w:ascii="Arial" w:cs="Arial" w:eastAsia="Arial" w:hAnsi="Arial"/>
                <w:sz w:val="26"/>
                <w:szCs w:val="26"/>
                <w:color w:val="auto"/>
                <w:vertAlign w:val="superscript"/>
              </w:rPr>
              <w:t>(5)</w:t>
            </w:r>
          </w:p>
        </w:tc>
        <w:tc>
          <w:tcPr>
            <w:tcW w:w="1720" w:type="dxa"/>
            <w:vAlign w:val="bottom"/>
          </w:tcPr>
          <w:p>
            <w:pPr>
              <w:jc w:val="right"/>
              <w:ind w:right="139"/>
              <w:spacing w:after="0"/>
              <w:rPr>
                <w:sz w:val="20"/>
                <w:szCs w:val="20"/>
                <w:color w:val="auto"/>
              </w:rPr>
            </w:pPr>
            <w:r>
              <w:rPr>
                <w:rFonts w:ascii="Arial" w:cs="Arial" w:eastAsia="Arial" w:hAnsi="Arial"/>
                <w:sz w:val="16"/>
                <w:szCs w:val="16"/>
                <w:color w:val="auto"/>
              </w:rPr>
              <w:t>3,361,107</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1/19/2022</w:t>
            </w:r>
          </w:p>
        </w:tc>
        <w:tc>
          <w:tcPr>
            <w:tcW w:w="10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80" w:type="dxa"/>
            <w:vAlign w:val="bottom"/>
            <w:gridSpan w:val="2"/>
            <w:vMerge w:val="continue"/>
          </w:tcPr>
          <w:p>
            <w:pPr>
              <w:spacing w:after="0"/>
              <w:rPr>
                <w:sz w:val="21"/>
                <w:szCs w:val="21"/>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1,161,585</w:t>
            </w:r>
          </w:p>
        </w:tc>
        <w:tc>
          <w:tcPr>
            <w:tcW w:w="150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5,604</w:t>
            </w:r>
            <w:r>
              <w:rPr>
                <w:rFonts w:ascii="Arial" w:cs="Arial" w:eastAsia="Arial" w:hAnsi="Arial"/>
                <w:sz w:val="26"/>
                <w:szCs w:val="26"/>
                <w:color w:val="auto"/>
                <w:vertAlign w:val="superscript"/>
              </w:rPr>
              <w:t>(5)</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4/19/2022</w:t>
            </w:r>
          </w:p>
        </w:tc>
        <w:tc>
          <w:tcPr>
            <w:tcW w:w="10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6"/>
                <w:szCs w:val="16"/>
                <w:color w:val="auto"/>
              </w:rPr>
              <w:t>1,799</w:t>
            </w:r>
            <w:r>
              <w:rPr>
                <w:rFonts w:ascii="Arial" w:cs="Arial" w:eastAsia="Arial" w:hAnsi="Arial"/>
                <w:sz w:val="26"/>
                <w:szCs w:val="26"/>
                <w:color w:val="auto"/>
                <w:vertAlign w:val="superscript"/>
              </w:rPr>
              <w:t>(9)</w:t>
            </w:r>
          </w:p>
        </w:tc>
        <w:tc>
          <w:tcPr>
            <w:tcW w:w="1080" w:type="dxa"/>
            <w:vAlign w:val="bottom"/>
          </w:tcPr>
          <w:p>
            <w:pPr>
              <w:spacing w:after="0"/>
              <w:rPr>
                <w:sz w:val="21"/>
                <w:szCs w:val="21"/>
                <w:color w:val="auto"/>
              </w:rPr>
            </w:pPr>
          </w:p>
        </w:tc>
        <w:tc>
          <w:tcPr>
            <w:tcW w:w="1500" w:type="dxa"/>
            <w:vAlign w:val="bottom"/>
            <w:gridSpan w:val="2"/>
            <w:vMerge w:val="continue"/>
          </w:tcPr>
          <w:p>
            <w:pPr>
              <w:spacing w:after="0"/>
              <w:rPr>
                <w:sz w:val="21"/>
                <w:szCs w:val="21"/>
                <w:color w:val="auto"/>
              </w:rPr>
            </w:pPr>
          </w:p>
        </w:tc>
        <w:tc>
          <w:tcPr>
            <w:tcW w:w="1720" w:type="dxa"/>
            <w:vAlign w:val="bottom"/>
          </w:tcPr>
          <w:p>
            <w:pPr>
              <w:jc w:val="right"/>
              <w:ind w:right="139"/>
              <w:spacing w:after="0"/>
              <w:rPr>
                <w:sz w:val="20"/>
                <w:szCs w:val="20"/>
                <w:color w:val="auto"/>
              </w:rPr>
            </w:pPr>
            <w:r>
              <w:rPr>
                <w:rFonts w:ascii="Arial" w:cs="Arial" w:eastAsia="Arial" w:hAnsi="Arial"/>
                <w:sz w:val="16"/>
                <w:szCs w:val="16"/>
                <w:color w:val="auto"/>
              </w:rPr>
              <w:t>291,632</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4/19/2022</w:t>
            </w:r>
          </w:p>
        </w:tc>
        <w:tc>
          <w:tcPr>
            <w:tcW w:w="10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80" w:type="dxa"/>
            <w:vAlign w:val="bottom"/>
            <w:gridSpan w:val="2"/>
            <w:vMerge w:val="continue"/>
          </w:tcPr>
          <w:p>
            <w:pPr>
              <w:spacing w:after="0"/>
              <w:rPr>
                <w:sz w:val="21"/>
                <w:szCs w:val="21"/>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93,620</w:t>
            </w:r>
          </w:p>
        </w:tc>
        <w:tc>
          <w:tcPr>
            <w:tcW w:w="150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45,576</w:t>
            </w:r>
            <w:r>
              <w:rPr>
                <w:rFonts w:ascii="Arial" w:cs="Arial" w:eastAsia="Arial" w:hAnsi="Arial"/>
                <w:sz w:val="26"/>
                <w:szCs w:val="26"/>
                <w:color w:val="auto"/>
                <w:vertAlign w:val="superscript"/>
              </w:rPr>
              <w:t>(7)</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1/18/2023</w:t>
            </w:r>
          </w:p>
        </w:tc>
        <w:tc>
          <w:tcPr>
            <w:tcW w:w="10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6"/>
                <w:szCs w:val="16"/>
                <w:color w:val="auto"/>
              </w:rPr>
              <w:t>15,780</w:t>
            </w:r>
            <w:r>
              <w:rPr>
                <w:rFonts w:ascii="Arial" w:cs="Arial" w:eastAsia="Arial" w:hAnsi="Arial"/>
                <w:sz w:val="26"/>
                <w:szCs w:val="26"/>
                <w:color w:val="auto"/>
                <w:vertAlign w:val="superscript"/>
              </w:rPr>
              <w:t>(8)</w:t>
            </w:r>
          </w:p>
        </w:tc>
        <w:tc>
          <w:tcPr>
            <w:tcW w:w="1080" w:type="dxa"/>
            <w:vAlign w:val="bottom"/>
          </w:tcPr>
          <w:p>
            <w:pPr>
              <w:spacing w:after="0"/>
              <w:rPr>
                <w:sz w:val="21"/>
                <w:szCs w:val="21"/>
                <w:color w:val="auto"/>
              </w:rPr>
            </w:pPr>
          </w:p>
        </w:tc>
        <w:tc>
          <w:tcPr>
            <w:tcW w:w="1500" w:type="dxa"/>
            <w:vAlign w:val="bottom"/>
            <w:gridSpan w:val="2"/>
            <w:vMerge w:val="continue"/>
          </w:tcPr>
          <w:p>
            <w:pPr>
              <w:spacing w:after="0"/>
              <w:rPr>
                <w:sz w:val="21"/>
                <w:szCs w:val="21"/>
                <w:color w:val="auto"/>
              </w:rPr>
            </w:pPr>
          </w:p>
        </w:tc>
        <w:tc>
          <w:tcPr>
            <w:tcW w:w="1720" w:type="dxa"/>
            <w:vAlign w:val="bottom"/>
          </w:tcPr>
          <w:p>
            <w:pPr>
              <w:jc w:val="right"/>
              <w:ind w:right="139"/>
              <w:spacing w:after="0"/>
              <w:rPr>
                <w:sz w:val="20"/>
                <w:szCs w:val="20"/>
                <w:color w:val="auto"/>
              </w:rPr>
            </w:pPr>
            <w:r>
              <w:rPr>
                <w:rFonts w:ascii="Arial" w:cs="Arial" w:eastAsia="Arial" w:hAnsi="Arial"/>
                <w:sz w:val="16"/>
                <w:szCs w:val="16"/>
                <w:color w:val="auto"/>
              </w:rPr>
              <w:t>2,371,775</w:t>
            </w:r>
          </w:p>
        </w:tc>
        <w:tc>
          <w:tcPr>
            <w:tcW w:w="0" w:type="dxa"/>
            <w:vAlign w:val="bottom"/>
          </w:tcPr>
          <w:p>
            <w:pPr>
              <w:spacing w:after="0"/>
              <w:rPr>
                <w:sz w:val="1"/>
                <w:szCs w:val="1"/>
                <w:color w:val="auto"/>
              </w:rPr>
            </w:pPr>
          </w:p>
        </w:tc>
      </w:tr>
      <w:tr>
        <w:trPr>
          <w:trHeight w:val="320"/>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1/18/2023</w:t>
            </w: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gridSpan w:val="2"/>
            <w:vMerge w:val="continue"/>
          </w:tcPr>
          <w:p>
            <w:pPr>
              <w:spacing w:after="0"/>
              <w:rPr>
                <w:sz w:val="24"/>
                <w:szCs w:val="24"/>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821,191</w:t>
            </w: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9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2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52</w:t>
            </w:r>
          </w:p>
        </w:tc>
        <w:tc>
          <w:tcPr>
            <w:tcW w:w="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vMerge w:val="restart"/>
          </w:tcPr>
          <w:p>
            <w:pPr>
              <w:jc w:val="right"/>
              <w:spacing w:after="0"/>
              <w:rPr>
                <w:sz w:val="20"/>
                <w:szCs w:val="20"/>
                <w:color w:val="auto"/>
              </w:rPr>
            </w:pPr>
            <w:r>
              <w:rPr>
                <w:rFonts w:ascii="Arial" w:cs="Arial" w:eastAsia="Arial" w:hAnsi="Arial"/>
                <w:sz w:val="16"/>
                <w:szCs w:val="16"/>
                <w:b w:val="1"/>
                <w:bCs w:val="1"/>
                <w:color w:val="636466"/>
              </w:rPr>
              <w:t>2024 Proxy Statement</w:t>
            </w:r>
          </w:p>
        </w:tc>
        <w:tc>
          <w:tcPr>
            <w:tcW w:w="0" w:type="dxa"/>
            <w:vAlign w:val="bottom"/>
          </w:tcPr>
          <w:p>
            <w:pPr>
              <w:spacing w:after="0"/>
              <w:rPr>
                <w:sz w:val="1"/>
                <w:szCs w:val="1"/>
                <w:color w:val="auto"/>
              </w:rPr>
            </w:pPr>
          </w:p>
        </w:tc>
      </w:tr>
      <w:tr>
        <w:trPr>
          <w:trHeight w:val="87"/>
        </w:trPr>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6"/>
        </w:trPr>
        <w:tc>
          <w:tcPr>
            <w:tcW w:w="920" w:type="dxa"/>
            <w:vAlign w:val="bottom"/>
            <w:tcBorders>
              <w:bottom w:val="single" w:sz="8" w:color="C0C0C0"/>
            </w:tcBorders>
          </w:tcPr>
          <w:p>
            <w:pPr>
              <w:spacing w:after="0"/>
              <w:rPr>
                <w:sz w:val="24"/>
                <w:szCs w:val="24"/>
                <w:color w:val="auto"/>
              </w:rPr>
            </w:pPr>
          </w:p>
        </w:tc>
        <w:tc>
          <w:tcPr>
            <w:tcW w:w="240" w:type="dxa"/>
            <w:vAlign w:val="bottom"/>
            <w:tcBorders>
              <w:bottom w:val="single" w:sz="8" w:color="C0C0C0"/>
            </w:tcBorders>
          </w:tcPr>
          <w:p>
            <w:pPr>
              <w:spacing w:after="0"/>
              <w:rPr>
                <w:sz w:val="24"/>
                <w:szCs w:val="24"/>
                <w:color w:val="auto"/>
              </w:rPr>
            </w:pPr>
          </w:p>
        </w:tc>
        <w:tc>
          <w:tcPr>
            <w:tcW w:w="880" w:type="dxa"/>
            <w:vAlign w:val="bottom"/>
            <w:tcBorders>
              <w:bottom w:val="single" w:sz="8" w:color="C0C0C0"/>
            </w:tcBorders>
          </w:tcPr>
          <w:p>
            <w:pPr>
              <w:spacing w:after="0"/>
              <w:rPr>
                <w:sz w:val="24"/>
                <w:szCs w:val="24"/>
                <w:color w:val="auto"/>
              </w:rPr>
            </w:pPr>
          </w:p>
        </w:tc>
        <w:tc>
          <w:tcPr>
            <w:tcW w:w="1040" w:type="dxa"/>
            <w:vAlign w:val="bottom"/>
            <w:tcBorders>
              <w:bottom w:val="single" w:sz="8" w:color="C0C0C0"/>
            </w:tcBorders>
          </w:tcPr>
          <w:p>
            <w:pPr>
              <w:spacing w:after="0"/>
              <w:rPr>
                <w:sz w:val="24"/>
                <w:szCs w:val="24"/>
                <w:color w:val="auto"/>
              </w:rPr>
            </w:pPr>
          </w:p>
        </w:tc>
        <w:tc>
          <w:tcPr>
            <w:tcW w:w="1200" w:type="dxa"/>
            <w:vAlign w:val="bottom"/>
            <w:tcBorders>
              <w:bottom w:val="single" w:sz="8" w:color="C0C0C0"/>
            </w:tcBorders>
          </w:tcPr>
          <w:p>
            <w:pPr>
              <w:spacing w:after="0"/>
              <w:rPr>
                <w:sz w:val="24"/>
                <w:szCs w:val="24"/>
                <w:color w:val="auto"/>
              </w:rPr>
            </w:pPr>
          </w:p>
        </w:tc>
        <w:tc>
          <w:tcPr>
            <w:tcW w:w="740" w:type="dxa"/>
            <w:vAlign w:val="bottom"/>
            <w:tcBorders>
              <w:bottom w:val="single" w:sz="8" w:color="C0C0C0"/>
            </w:tcBorders>
          </w:tcPr>
          <w:p>
            <w:pPr>
              <w:spacing w:after="0"/>
              <w:rPr>
                <w:sz w:val="24"/>
                <w:szCs w:val="24"/>
                <w:color w:val="auto"/>
              </w:rPr>
            </w:pPr>
          </w:p>
        </w:tc>
        <w:tc>
          <w:tcPr>
            <w:tcW w:w="380" w:type="dxa"/>
            <w:vAlign w:val="bottom"/>
            <w:tcBorders>
              <w:bottom w:val="single" w:sz="8" w:color="C0C0C0"/>
            </w:tcBorders>
          </w:tcPr>
          <w:p>
            <w:pPr>
              <w:spacing w:after="0"/>
              <w:rPr>
                <w:sz w:val="24"/>
                <w:szCs w:val="24"/>
                <w:color w:val="auto"/>
              </w:rPr>
            </w:pPr>
          </w:p>
        </w:tc>
        <w:tc>
          <w:tcPr>
            <w:tcW w:w="420" w:type="dxa"/>
            <w:vAlign w:val="bottom"/>
            <w:tcBorders>
              <w:bottom w:val="single" w:sz="8" w:color="C0C0C0"/>
            </w:tcBorders>
          </w:tcPr>
          <w:p>
            <w:pPr>
              <w:spacing w:after="0"/>
              <w:rPr>
                <w:sz w:val="24"/>
                <w:szCs w:val="24"/>
                <w:color w:val="auto"/>
              </w:rPr>
            </w:pPr>
          </w:p>
        </w:tc>
        <w:tc>
          <w:tcPr>
            <w:tcW w:w="40" w:type="dxa"/>
            <w:vAlign w:val="bottom"/>
            <w:tcBorders>
              <w:bottom w:val="single" w:sz="8" w:color="C0C0C0"/>
            </w:tcBorders>
          </w:tcPr>
          <w:p>
            <w:pPr>
              <w:spacing w:after="0"/>
              <w:rPr>
                <w:sz w:val="24"/>
                <w:szCs w:val="24"/>
                <w:color w:val="auto"/>
              </w:rPr>
            </w:pPr>
          </w:p>
        </w:tc>
        <w:tc>
          <w:tcPr>
            <w:tcW w:w="20" w:type="dxa"/>
            <w:vAlign w:val="bottom"/>
            <w:tcBorders>
              <w:bottom w:val="single" w:sz="8" w:color="C0C0C0"/>
            </w:tcBorders>
          </w:tcPr>
          <w:p>
            <w:pPr>
              <w:spacing w:after="0"/>
              <w:rPr>
                <w:sz w:val="24"/>
                <w:szCs w:val="24"/>
                <w:color w:val="auto"/>
              </w:rPr>
            </w:pPr>
          </w:p>
        </w:tc>
        <w:tc>
          <w:tcPr>
            <w:tcW w:w="1060" w:type="dxa"/>
            <w:vAlign w:val="bottom"/>
            <w:tcBorders>
              <w:bottom w:val="single" w:sz="8" w:color="C0C0C0"/>
            </w:tcBorders>
          </w:tcPr>
          <w:p>
            <w:pPr>
              <w:spacing w:after="0"/>
              <w:rPr>
                <w:sz w:val="24"/>
                <w:szCs w:val="24"/>
                <w:color w:val="auto"/>
              </w:rPr>
            </w:pPr>
          </w:p>
        </w:tc>
        <w:tc>
          <w:tcPr>
            <w:tcW w:w="1080" w:type="dxa"/>
            <w:vAlign w:val="bottom"/>
            <w:tcBorders>
              <w:bottom w:val="single" w:sz="8" w:color="C0C0C0"/>
            </w:tcBorders>
          </w:tcPr>
          <w:p>
            <w:pPr>
              <w:spacing w:after="0"/>
              <w:rPr>
                <w:sz w:val="24"/>
                <w:szCs w:val="24"/>
                <w:color w:val="auto"/>
              </w:rPr>
            </w:pPr>
          </w:p>
        </w:tc>
        <w:tc>
          <w:tcPr>
            <w:tcW w:w="1420" w:type="dxa"/>
            <w:vAlign w:val="bottom"/>
            <w:tcBorders>
              <w:bottom w:val="single" w:sz="8" w:color="C0C0C0"/>
            </w:tcBorders>
          </w:tcPr>
          <w:p>
            <w:pPr>
              <w:spacing w:after="0"/>
              <w:rPr>
                <w:sz w:val="24"/>
                <w:szCs w:val="24"/>
                <w:color w:val="auto"/>
              </w:rPr>
            </w:pPr>
          </w:p>
        </w:tc>
        <w:tc>
          <w:tcPr>
            <w:tcW w:w="80" w:type="dxa"/>
            <w:vAlign w:val="bottom"/>
            <w:tcBorders>
              <w:bottom w:val="single" w:sz="8" w:color="C0C0C0"/>
            </w:tcBorders>
          </w:tcPr>
          <w:p>
            <w:pPr>
              <w:spacing w:after="0"/>
              <w:rPr>
                <w:sz w:val="24"/>
                <w:szCs w:val="24"/>
                <w:color w:val="auto"/>
              </w:rPr>
            </w:pPr>
          </w:p>
        </w:tc>
        <w:tc>
          <w:tcPr>
            <w:tcW w:w="17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-711200</wp:posOffset>
            </wp:positionV>
            <wp:extent cx="7132320" cy="8890"/>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-864870</wp:posOffset>
            </wp:positionV>
            <wp:extent cx="6403340" cy="8890"/>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6403340" cy="8890"/>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-1019175</wp:posOffset>
            </wp:positionV>
            <wp:extent cx="6403340" cy="8255"/>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6403340"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-1173480</wp:posOffset>
            </wp:positionV>
            <wp:extent cx="6403340" cy="8890"/>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6403340" cy="8890"/>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-1327785</wp:posOffset>
            </wp:positionV>
            <wp:extent cx="6403340" cy="8890"/>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6403340" cy="8890"/>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-1482090</wp:posOffset>
            </wp:positionV>
            <wp:extent cx="6403340" cy="8890"/>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6403340" cy="8890"/>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-1636395</wp:posOffset>
            </wp:positionV>
            <wp:extent cx="6403340" cy="8890"/>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6403340" cy="8890"/>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-1790700</wp:posOffset>
            </wp:positionV>
            <wp:extent cx="6403340" cy="8890"/>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6403340" cy="8890"/>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-1945005</wp:posOffset>
            </wp:positionV>
            <wp:extent cx="6403340" cy="8890"/>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6403340" cy="8890"/>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-2099310</wp:posOffset>
            </wp:positionV>
            <wp:extent cx="6403340" cy="8255"/>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6403340"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-2228215</wp:posOffset>
            </wp:positionV>
            <wp:extent cx="6403340" cy="8890"/>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6403340" cy="8890"/>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-2357120</wp:posOffset>
            </wp:positionV>
            <wp:extent cx="6403340" cy="8890"/>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64033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-2485390</wp:posOffset>
            </wp:positionV>
            <wp:extent cx="7132320" cy="8890"/>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-2639695</wp:posOffset>
            </wp:positionV>
            <wp:extent cx="6403340" cy="8890"/>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6403340" cy="8890"/>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-2794000</wp:posOffset>
            </wp:positionV>
            <wp:extent cx="6403340" cy="8255"/>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6403340"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-2948305</wp:posOffset>
            </wp:positionV>
            <wp:extent cx="6403340" cy="8255"/>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6403340"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-3102610</wp:posOffset>
            </wp:positionV>
            <wp:extent cx="6403340" cy="8255"/>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6403340"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-3256915</wp:posOffset>
            </wp:positionV>
            <wp:extent cx="6403340" cy="8255"/>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6403340"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-3411220</wp:posOffset>
            </wp:positionV>
            <wp:extent cx="6403340" cy="8890"/>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6403340" cy="8890"/>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-3565525</wp:posOffset>
            </wp:positionV>
            <wp:extent cx="6403340" cy="8890"/>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6403340" cy="8890"/>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-3693795</wp:posOffset>
            </wp:positionV>
            <wp:extent cx="6403340" cy="8890"/>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6403340" cy="8890"/>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-3822700</wp:posOffset>
            </wp:positionV>
            <wp:extent cx="6403340" cy="8890"/>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64033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-4070985</wp:posOffset>
            </wp:positionV>
            <wp:extent cx="7132320" cy="8255"/>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-4225290</wp:posOffset>
            </wp:positionV>
            <wp:extent cx="6403340" cy="8255"/>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6403340"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-4379595</wp:posOffset>
            </wp:positionV>
            <wp:extent cx="6403340" cy="8255"/>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6403340"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-4533900</wp:posOffset>
            </wp:positionV>
            <wp:extent cx="6403340" cy="8890"/>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6403340" cy="8890"/>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-4688205</wp:posOffset>
            </wp:positionV>
            <wp:extent cx="6403340" cy="8890"/>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6403340" cy="8890"/>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-4842510</wp:posOffset>
            </wp:positionV>
            <wp:extent cx="6403340" cy="8255"/>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6403340"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-4996815</wp:posOffset>
            </wp:positionV>
            <wp:extent cx="6403340" cy="8255"/>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6403340"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-5151120</wp:posOffset>
            </wp:positionV>
            <wp:extent cx="6403340" cy="8255"/>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6403340"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-5280025</wp:posOffset>
            </wp:positionV>
            <wp:extent cx="6403340" cy="8255"/>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6403340"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-5417185</wp:posOffset>
            </wp:positionV>
            <wp:extent cx="6403340" cy="8890"/>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64033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-5554345</wp:posOffset>
            </wp:positionV>
            <wp:extent cx="7132320" cy="8255"/>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-5716905</wp:posOffset>
            </wp:positionV>
            <wp:extent cx="6403340" cy="8255"/>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6403340"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-5880100</wp:posOffset>
            </wp:positionV>
            <wp:extent cx="6403340" cy="8255"/>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6403340"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-6042660</wp:posOffset>
            </wp:positionV>
            <wp:extent cx="6403340" cy="8255"/>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6403340"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-6205855</wp:posOffset>
            </wp:positionV>
            <wp:extent cx="6403340" cy="8890"/>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6403340" cy="8890"/>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-6368415</wp:posOffset>
            </wp:positionV>
            <wp:extent cx="6403340" cy="8255"/>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6403340"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-6531610</wp:posOffset>
            </wp:positionV>
            <wp:extent cx="6403340" cy="8255"/>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6403340"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-6694170</wp:posOffset>
            </wp:positionV>
            <wp:extent cx="6403340" cy="8255"/>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6403340"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-6831330</wp:posOffset>
            </wp:positionV>
            <wp:extent cx="6403340" cy="8255"/>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6403340"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-6968490</wp:posOffset>
            </wp:positionV>
            <wp:extent cx="6403340" cy="8255"/>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6403340"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-7105650</wp:posOffset>
            </wp:positionV>
            <wp:extent cx="6403340" cy="8255"/>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64033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-530860</wp:posOffset>
            </wp:positionV>
            <wp:extent cx="471170" cy="283210"/>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471170" cy="283210"/>
                    </a:xfrm>
                    <a:prstGeom prst="rect">
                      <a:avLst/>
                    </a:prstGeom>
                    <a:noFill/>
                  </pic:spPr>
                </pic:pic>
              </a:graphicData>
            </a:graphic>
          </wp:anchor>
        </w:drawing>
      </w:r>
    </w:p>
    <w:p>
      <w:pPr>
        <w:sectPr>
          <w:pgSz w:w="11900" w:h="16838" w:orient="portrait"/>
          <w:cols w:equalWidth="0" w:num="1">
            <w:col w:w="11240"/>
          </w:cols>
          <w:pgMar w:left="320" w:top="238" w:right="339" w:bottom="1081"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61"/>
        </w:trPr>
        <w:tc>
          <w:tcPr>
            <w:tcW w:w="1920" w:type="dxa"/>
            <w:vAlign w:val="bottom"/>
            <w:gridSpan w:val="3"/>
          </w:tcPr>
          <w:p>
            <w:pPr>
              <w:jc w:val="right"/>
              <w:ind w:right="639"/>
              <w:spacing w:after="0"/>
              <w:rPr>
                <w:sz w:val="20"/>
                <w:szCs w:val="20"/>
                <w:color w:val="auto"/>
              </w:rPr>
            </w:pPr>
            <w:r>
              <w:rPr>
                <w:rFonts w:ascii="Arial" w:cs="Arial" w:eastAsia="Arial" w:hAnsi="Arial"/>
                <w:sz w:val="14"/>
                <w:szCs w:val="14"/>
                <w:b w:val="1"/>
                <w:bCs w:val="1"/>
                <w:color w:val="0000EE"/>
              </w:rPr>
              <w:t>Back to Contents</w:t>
            </w: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040" w:type="dxa"/>
            <w:vAlign w:val="bottom"/>
            <w:tcBorders>
              <w:top w:val="single" w:sz="8" w:color="0000EE"/>
            </w:tcBorders>
          </w:tcPr>
          <w:p>
            <w:pPr>
              <w:spacing w:after="0"/>
              <w:rPr>
                <w:sz w:val="24"/>
                <w:szCs w:val="24"/>
                <w:color w:val="auto"/>
              </w:rPr>
            </w:pPr>
          </w:p>
        </w:tc>
        <w:tc>
          <w:tcPr>
            <w:tcW w:w="160" w:type="dxa"/>
            <w:vAlign w:val="bottom"/>
            <w:tcBorders>
              <w:top w:val="single" w:sz="8" w:color="0000EE"/>
              <w:bottom w:val="single" w:sz="8" w:color="0233A1"/>
            </w:tcBorders>
          </w:tcPr>
          <w:p>
            <w:pPr>
              <w:spacing w:after="0"/>
              <w:rPr>
                <w:sz w:val="24"/>
                <w:szCs w:val="24"/>
                <w:color w:val="auto"/>
              </w:rPr>
            </w:pPr>
          </w:p>
        </w:tc>
        <w:tc>
          <w:tcPr>
            <w:tcW w:w="720" w:type="dxa"/>
            <w:vAlign w:val="bottom"/>
            <w:tcBorders>
              <w:bottom w:val="single" w:sz="8" w:color="0233A1"/>
            </w:tcBorders>
          </w:tcPr>
          <w:p>
            <w:pPr>
              <w:spacing w:after="0"/>
              <w:rPr>
                <w:sz w:val="24"/>
                <w:szCs w:val="24"/>
                <w:color w:val="auto"/>
              </w:rPr>
            </w:pPr>
          </w:p>
        </w:tc>
        <w:tc>
          <w:tcPr>
            <w:tcW w:w="2320" w:type="dxa"/>
            <w:vAlign w:val="bottom"/>
            <w:tcBorders>
              <w:bottom w:val="single" w:sz="8" w:color="0233A1"/>
            </w:tcBorders>
            <w:gridSpan w:val="2"/>
          </w:tcPr>
          <w:p>
            <w:pPr>
              <w:jc w:val="right"/>
              <w:ind w:right="179"/>
              <w:spacing w:after="0"/>
              <w:rPr>
                <w:sz w:val="20"/>
                <w:szCs w:val="20"/>
                <w:color w:val="auto"/>
              </w:rPr>
            </w:pPr>
            <w:r>
              <w:rPr>
                <w:rFonts w:ascii="Arial" w:cs="Arial" w:eastAsia="Arial" w:hAnsi="Arial"/>
                <w:sz w:val="16"/>
                <w:szCs w:val="16"/>
                <w:b w:val="1"/>
                <w:bCs w:val="1"/>
                <w:color w:val="0233A1"/>
              </w:rPr>
              <w:t>Option Awards</w:t>
            </w:r>
          </w:p>
        </w:tc>
        <w:tc>
          <w:tcPr>
            <w:tcW w:w="820" w:type="dxa"/>
            <w:vAlign w:val="bottom"/>
            <w:tcBorders>
              <w:bottom w:val="single" w:sz="8" w:color="0233A1"/>
            </w:tcBorders>
          </w:tcPr>
          <w:p>
            <w:pPr>
              <w:spacing w:after="0"/>
              <w:rPr>
                <w:sz w:val="24"/>
                <w:szCs w:val="24"/>
                <w:color w:val="auto"/>
              </w:rPr>
            </w:pPr>
          </w:p>
        </w:tc>
        <w:tc>
          <w:tcPr>
            <w:tcW w:w="700" w:type="dxa"/>
            <w:vAlign w:val="bottom"/>
            <w:tcBorders>
              <w:bottom w:val="single" w:sz="8" w:color="0233A1"/>
            </w:tcBorders>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Borders>
              <w:bottom w:val="single" w:sz="8" w:color="0233A1"/>
            </w:tcBorders>
          </w:tcPr>
          <w:p>
            <w:pPr>
              <w:spacing w:after="0"/>
              <w:rPr>
                <w:sz w:val="24"/>
                <w:szCs w:val="24"/>
                <w:color w:val="auto"/>
              </w:rPr>
            </w:pPr>
          </w:p>
        </w:tc>
        <w:tc>
          <w:tcPr>
            <w:tcW w:w="1080" w:type="dxa"/>
            <w:vAlign w:val="bottom"/>
            <w:tcBorders>
              <w:bottom w:val="single" w:sz="8" w:color="0233A1"/>
            </w:tcBorders>
          </w:tcPr>
          <w:p>
            <w:pPr>
              <w:spacing w:after="0"/>
              <w:rPr>
                <w:sz w:val="24"/>
                <w:szCs w:val="24"/>
                <w:color w:val="auto"/>
              </w:rPr>
            </w:pPr>
          </w:p>
        </w:tc>
        <w:tc>
          <w:tcPr>
            <w:tcW w:w="1540" w:type="dxa"/>
            <w:vAlign w:val="bottom"/>
            <w:tcBorders>
              <w:bottom w:val="single" w:sz="8" w:color="0233A1"/>
            </w:tcBorders>
          </w:tcPr>
          <w:p>
            <w:pPr>
              <w:jc w:val="right"/>
              <w:ind w:right="379"/>
              <w:spacing w:after="0"/>
              <w:rPr>
                <w:sz w:val="20"/>
                <w:szCs w:val="20"/>
                <w:color w:val="auto"/>
              </w:rPr>
            </w:pPr>
            <w:r>
              <w:rPr>
                <w:rFonts w:ascii="Arial" w:cs="Arial" w:eastAsia="Arial" w:hAnsi="Arial"/>
                <w:sz w:val="16"/>
                <w:szCs w:val="16"/>
                <w:b w:val="1"/>
                <w:bCs w:val="1"/>
                <w:color w:val="0233A1"/>
              </w:rPr>
              <w:t>Stock Awards</w:t>
            </w:r>
          </w:p>
        </w:tc>
        <w:tc>
          <w:tcPr>
            <w:tcW w:w="1700" w:type="dxa"/>
            <w:vAlign w:val="bottom"/>
            <w:tcBorders>
              <w:bottom w:val="single" w:sz="8" w:color="0233A1"/>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40" w:type="dxa"/>
            <w:vAlign w:val="bottom"/>
          </w:tcPr>
          <w:p>
            <w:pPr>
              <w:jc w:val="right"/>
              <w:ind w:right="159"/>
              <w:spacing w:after="0" w:line="168" w:lineRule="exact"/>
              <w:rPr>
                <w:sz w:val="20"/>
                <w:szCs w:val="20"/>
                <w:color w:val="auto"/>
              </w:rPr>
            </w:pPr>
            <w:r>
              <w:rPr>
                <w:rFonts w:ascii="Arial" w:cs="Arial" w:eastAsia="Arial" w:hAnsi="Arial"/>
                <w:sz w:val="16"/>
                <w:szCs w:val="16"/>
                <w:b w:val="1"/>
                <w:bCs w:val="1"/>
                <w:color w:val="0233A1"/>
              </w:rPr>
              <w:t>Equity</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40" w:type="dxa"/>
            <w:vAlign w:val="bottom"/>
          </w:tcPr>
          <w:p>
            <w:pPr>
              <w:jc w:val="right"/>
              <w:ind w:right="159"/>
              <w:spacing w:after="0"/>
              <w:rPr>
                <w:sz w:val="20"/>
                <w:szCs w:val="20"/>
                <w:color w:val="auto"/>
              </w:rPr>
            </w:pPr>
            <w:r>
              <w:rPr>
                <w:rFonts w:ascii="Arial" w:cs="Arial" w:eastAsia="Arial" w:hAnsi="Arial"/>
                <w:sz w:val="16"/>
                <w:szCs w:val="16"/>
                <w:b w:val="1"/>
                <w:bCs w:val="1"/>
                <w:color w:val="0233A1"/>
              </w:rPr>
              <w:t>Incentive</w:t>
            </w:r>
          </w:p>
        </w:tc>
        <w:tc>
          <w:tcPr>
            <w:tcW w:w="1700" w:type="dxa"/>
            <w:vAlign w:val="bottom"/>
          </w:tcPr>
          <w:p>
            <w:pPr>
              <w:jc w:val="right"/>
              <w:ind w:right="140"/>
              <w:spacing w:after="0"/>
              <w:rPr>
                <w:sz w:val="20"/>
                <w:szCs w:val="20"/>
                <w:color w:val="auto"/>
              </w:rPr>
            </w:pPr>
            <w:r>
              <w:rPr>
                <w:rFonts w:ascii="Arial" w:cs="Arial" w:eastAsia="Arial" w:hAnsi="Arial"/>
                <w:sz w:val="16"/>
                <w:szCs w:val="16"/>
                <w:b w:val="1"/>
                <w:bCs w:val="1"/>
                <w:color w:val="0233A1"/>
              </w:rPr>
              <w:t>Equity</w:t>
            </w: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tcPr>
          <w:p>
            <w:pPr>
              <w:jc w:val="right"/>
              <w:ind w:right="100"/>
              <w:spacing w:after="0"/>
              <w:rPr>
                <w:sz w:val="20"/>
                <w:szCs w:val="20"/>
                <w:color w:val="auto"/>
              </w:rPr>
            </w:pPr>
            <w:r>
              <w:rPr>
                <w:rFonts w:ascii="Arial" w:cs="Arial" w:eastAsia="Arial" w:hAnsi="Arial"/>
                <w:sz w:val="16"/>
                <w:szCs w:val="16"/>
                <w:b w:val="1"/>
                <w:bCs w:val="1"/>
                <w:color w:val="0233A1"/>
              </w:rPr>
              <w:t>Market</w:t>
            </w:r>
          </w:p>
        </w:tc>
        <w:tc>
          <w:tcPr>
            <w:tcW w:w="1540" w:type="dxa"/>
            <w:vAlign w:val="bottom"/>
          </w:tcPr>
          <w:p>
            <w:pPr>
              <w:jc w:val="right"/>
              <w:ind w:right="159"/>
              <w:spacing w:after="0"/>
              <w:rPr>
                <w:sz w:val="20"/>
                <w:szCs w:val="20"/>
                <w:color w:val="auto"/>
              </w:rPr>
            </w:pPr>
            <w:r>
              <w:rPr>
                <w:rFonts w:ascii="Arial" w:cs="Arial" w:eastAsia="Arial" w:hAnsi="Arial"/>
                <w:sz w:val="16"/>
                <w:szCs w:val="16"/>
                <w:b w:val="1"/>
                <w:bCs w:val="1"/>
                <w:color w:val="0233A1"/>
              </w:rPr>
              <w:t>Plan Awards:</w:t>
            </w:r>
          </w:p>
        </w:tc>
        <w:tc>
          <w:tcPr>
            <w:tcW w:w="1700" w:type="dxa"/>
            <w:vAlign w:val="bottom"/>
          </w:tcPr>
          <w:p>
            <w:pPr>
              <w:jc w:val="right"/>
              <w:ind w:right="140"/>
              <w:spacing w:after="0"/>
              <w:rPr>
                <w:sz w:val="20"/>
                <w:szCs w:val="20"/>
                <w:color w:val="auto"/>
              </w:rPr>
            </w:pPr>
            <w:r>
              <w:rPr>
                <w:rFonts w:ascii="Arial" w:cs="Arial" w:eastAsia="Arial" w:hAnsi="Arial"/>
                <w:sz w:val="16"/>
                <w:szCs w:val="16"/>
                <w:b w:val="1"/>
                <w:bCs w:val="1"/>
                <w:color w:val="0233A1"/>
              </w:rPr>
              <w:t>Incentive</w:t>
            </w: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0233A1"/>
              </w:rPr>
              <w:t>Number of</w:t>
            </w: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0233A1"/>
              </w:rPr>
              <w:t>Number of</w:t>
            </w: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b w:val="1"/>
                <w:bCs w:val="1"/>
                <w:color w:val="0233A1"/>
              </w:rPr>
              <w:t>Number</w:t>
            </w:r>
          </w:p>
        </w:tc>
        <w:tc>
          <w:tcPr>
            <w:tcW w:w="1080" w:type="dxa"/>
            <w:vAlign w:val="bottom"/>
          </w:tcPr>
          <w:p>
            <w:pPr>
              <w:jc w:val="right"/>
              <w:ind w:right="100"/>
              <w:spacing w:after="0"/>
              <w:rPr>
                <w:sz w:val="20"/>
                <w:szCs w:val="20"/>
                <w:color w:val="auto"/>
              </w:rPr>
            </w:pPr>
            <w:r>
              <w:rPr>
                <w:rFonts w:ascii="Arial" w:cs="Arial" w:eastAsia="Arial" w:hAnsi="Arial"/>
                <w:sz w:val="16"/>
                <w:szCs w:val="16"/>
                <w:b w:val="1"/>
                <w:bCs w:val="1"/>
                <w:color w:val="0233A1"/>
              </w:rPr>
              <w:t>Value of</w:t>
            </w:r>
          </w:p>
        </w:tc>
        <w:tc>
          <w:tcPr>
            <w:tcW w:w="1540" w:type="dxa"/>
            <w:vAlign w:val="bottom"/>
          </w:tcPr>
          <w:p>
            <w:pPr>
              <w:jc w:val="right"/>
              <w:ind w:right="159"/>
              <w:spacing w:after="0"/>
              <w:rPr>
                <w:sz w:val="20"/>
                <w:szCs w:val="20"/>
                <w:color w:val="auto"/>
              </w:rPr>
            </w:pPr>
            <w:r>
              <w:rPr>
                <w:rFonts w:ascii="Arial" w:cs="Arial" w:eastAsia="Arial" w:hAnsi="Arial"/>
                <w:sz w:val="16"/>
                <w:szCs w:val="16"/>
                <w:b w:val="1"/>
                <w:bCs w:val="1"/>
                <w:color w:val="0233A1"/>
              </w:rPr>
              <w:t>Number of</w:t>
            </w:r>
          </w:p>
        </w:tc>
        <w:tc>
          <w:tcPr>
            <w:tcW w:w="1700" w:type="dxa"/>
            <w:vAlign w:val="bottom"/>
          </w:tcPr>
          <w:p>
            <w:pPr>
              <w:jc w:val="right"/>
              <w:ind w:right="140"/>
              <w:spacing w:after="0"/>
              <w:rPr>
                <w:sz w:val="20"/>
                <w:szCs w:val="20"/>
                <w:color w:val="auto"/>
              </w:rPr>
            </w:pPr>
            <w:r>
              <w:rPr>
                <w:rFonts w:ascii="Arial" w:cs="Arial" w:eastAsia="Arial" w:hAnsi="Arial"/>
                <w:sz w:val="16"/>
                <w:szCs w:val="16"/>
                <w:b w:val="1"/>
                <w:bCs w:val="1"/>
                <w:color w:val="0233A1"/>
              </w:rPr>
              <w:t>Plan Awards:</w:t>
            </w: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0233A1"/>
              </w:rPr>
              <w:t>Securities</w:t>
            </w: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0233A1"/>
              </w:rPr>
              <w:t>Securities</w:t>
            </w: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b w:val="1"/>
                <w:bCs w:val="1"/>
                <w:color w:val="0233A1"/>
              </w:rPr>
              <w:t>of Shares</w:t>
            </w:r>
          </w:p>
        </w:tc>
        <w:tc>
          <w:tcPr>
            <w:tcW w:w="1080" w:type="dxa"/>
            <w:vAlign w:val="bottom"/>
          </w:tcPr>
          <w:p>
            <w:pPr>
              <w:jc w:val="right"/>
              <w:ind w:right="100"/>
              <w:spacing w:after="0"/>
              <w:rPr>
                <w:sz w:val="20"/>
                <w:szCs w:val="20"/>
                <w:color w:val="auto"/>
              </w:rPr>
            </w:pPr>
            <w:r>
              <w:rPr>
                <w:rFonts w:ascii="Arial" w:cs="Arial" w:eastAsia="Arial" w:hAnsi="Arial"/>
                <w:sz w:val="16"/>
                <w:szCs w:val="16"/>
                <w:b w:val="1"/>
                <w:bCs w:val="1"/>
                <w:color w:val="0233A1"/>
              </w:rPr>
              <w:t>Shares or</w:t>
            </w:r>
          </w:p>
        </w:tc>
        <w:tc>
          <w:tcPr>
            <w:tcW w:w="1540" w:type="dxa"/>
            <w:vAlign w:val="bottom"/>
          </w:tcPr>
          <w:p>
            <w:pPr>
              <w:jc w:val="right"/>
              <w:ind w:right="159"/>
              <w:spacing w:after="0"/>
              <w:rPr>
                <w:sz w:val="20"/>
                <w:szCs w:val="20"/>
                <w:color w:val="auto"/>
              </w:rPr>
            </w:pPr>
            <w:r>
              <w:rPr>
                <w:rFonts w:ascii="Arial" w:cs="Arial" w:eastAsia="Arial" w:hAnsi="Arial"/>
                <w:sz w:val="16"/>
                <w:szCs w:val="16"/>
                <w:b w:val="1"/>
                <w:bCs w:val="1"/>
                <w:color w:val="0233A1"/>
              </w:rPr>
              <w:t>Unearned</w:t>
            </w:r>
          </w:p>
        </w:tc>
        <w:tc>
          <w:tcPr>
            <w:tcW w:w="1700" w:type="dxa"/>
            <w:vAlign w:val="bottom"/>
          </w:tcPr>
          <w:p>
            <w:pPr>
              <w:jc w:val="right"/>
              <w:ind w:right="140"/>
              <w:spacing w:after="0"/>
              <w:rPr>
                <w:sz w:val="20"/>
                <w:szCs w:val="20"/>
                <w:color w:val="auto"/>
              </w:rPr>
            </w:pPr>
            <w:r>
              <w:rPr>
                <w:rFonts w:ascii="Arial" w:cs="Arial" w:eastAsia="Arial" w:hAnsi="Arial"/>
                <w:sz w:val="16"/>
                <w:szCs w:val="16"/>
                <w:b w:val="1"/>
                <w:bCs w:val="1"/>
                <w:color w:val="0233A1"/>
              </w:rPr>
              <w:t>Market or Payout</w:t>
            </w: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0233A1"/>
              </w:rPr>
              <w:t>Underlying</w:t>
            </w: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0233A1"/>
              </w:rPr>
              <w:t>Underlying</w:t>
            </w: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b w:val="1"/>
                <w:bCs w:val="1"/>
                <w:color w:val="0233A1"/>
                <w:w w:val="99"/>
              </w:rPr>
              <w:t>or Units of</w:t>
            </w:r>
          </w:p>
        </w:tc>
        <w:tc>
          <w:tcPr>
            <w:tcW w:w="1080" w:type="dxa"/>
            <w:vAlign w:val="bottom"/>
          </w:tcPr>
          <w:p>
            <w:pPr>
              <w:jc w:val="right"/>
              <w:ind w:right="100"/>
              <w:spacing w:after="0"/>
              <w:rPr>
                <w:sz w:val="20"/>
                <w:szCs w:val="20"/>
                <w:color w:val="auto"/>
              </w:rPr>
            </w:pPr>
            <w:r>
              <w:rPr>
                <w:rFonts w:ascii="Arial" w:cs="Arial" w:eastAsia="Arial" w:hAnsi="Arial"/>
                <w:sz w:val="16"/>
                <w:szCs w:val="16"/>
                <w:b w:val="1"/>
                <w:bCs w:val="1"/>
                <w:color w:val="0233A1"/>
              </w:rPr>
              <w:t>Units of</w:t>
            </w:r>
          </w:p>
        </w:tc>
        <w:tc>
          <w:tcPr>
            <w:tcW w:w="1540" w:type="dxa"/>
            <w:vAlign w:val="bottom"/>
          </w:tcPr>
          <w:p>
            <w:pPr>
              <w:jc w:val="right"/>
              <w:ind w:right="159"/>
              <w:spacing w:after="0"/>
              <w:rPr>
                <w:sz w:val="20"/>
                <w:szCs w:val="20"/>
                <w:color w:val="auto"/>
              </w:rPr>
            </w:pPr>
            <w:r>
              <w:rPr>
                <w:rFonts w:ascii="Arial" w:cs="Arial" w:eastAsia="Arial" w:hAnsi="Arial"/>
                <w:sz w:val="16"/>
                <w:szCs w:val="16"/>
                <w:b w:val="1"/>
                <w:bCs w:val="1"/>
                <w:color w:val="0233A1"/>
              </w:rPr>
              <w:t>Shares, Units,</w:t>
            </w:r>
          </w:p>
        </w:tc>
        <w:tc>
          <w:tcPr>
            <w:tcW w:w="1700" w:type="dxa"/>
            <w:vAlign w:val="bottom"/>
          </w:tcPr>
          <w:p>
            <w:pPr>
              <w:jc w:val="right"/>
              <w:ind w:right="140"/>
              <w:spacing w:after="0"/>
              <w:rPr>
                <w:sz w:val="20"/>
                <w:szCs w:val="20"/>
                <w:color w:val="auto"/>
              </w:rPr>
            </w:pPr>
            <w:r>
              <w:rPr>
                <w:rFonts w:ascii="Arial" w:cs="Arial" w:eastAsia="Arial" w:hAnsi="Arial"/>
                <w:sz w:val="16"/>
                <w:szCs w:val="16"/>
                <w:b w:val="1"/>
                <w:bCs w:val="1"/>
                <w:color w:val="0233A1"/>
              </w:rPr>
              <w:t>Value of Unearned</w:t>
            </w: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0233A1"/>
              </w:rPr>
              <w:t>Unexercised</w:t>
            </w: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0233A1"/>
              </w:rPr>
              <w:t>Unexercised</w:t>
            </w:r>
          </w:p>
        </w:tc>
        <w:tc>
          <w:tcPr>
            <w:tcW w:w="820" w:type="dxa"/>
            <w:vAlign w:val="bottom"/>
          </w:tcPr>
          <w:p>
            <w:pPr>
              <w:jc w:val="right"/>
              <w:ind w:right="99"/>
              <w:spacing w:after="0"/>
              <w:rPr>
                <w:sz w:val="20"/>
                <w:szCs w:val="20"/>
                <w:color w:val="auto"/>
              </w:rPr>
            </w:pPr>
            <w:r>
              <w:rPr>
                <w:rFonts w:ascii="Arial" w:cs="Arial" w:eastAsia="Arial" w:hAnsi="Arial"/>
                <w:sz w:val="16"/>
                <w:szCs w:val="16"/>
                <w:b w:val="1"/>
                <w:bCs w:val="1"/>
                <w:color w:val="0233A1"/>
              </w:rPr>
              <w:t>Option</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b w:val="1"/>
                <w:bCs w:val="1"/>
                <w:color w:val="0233A1"/>
                <w:w w:val="97"/>
              </w:rPr>
              <w:t>Stock That</w:t>
            </w:r>
          </w:p>
        </w:tc>
        <w:tc>
          <w:tcPr>
            <w:tcW w:w="1080" w:type="dxa"/>
            <w:vAlign w:val="bottom"/>
          </w:tcPr>
          <w:p>
            <w:pPr>
              <w:jc w:val="right"/>
              <w:ind w:right="100"/>
              <w:spacing w:after="0"/>
              <w:rPr>
                <w:sz w:val="20"/>
                <w:szCs w:val="20"/>
                <w:color w:val="auto"/>
              </w:rPr>
            </w:pPr>
            <w:r>
              <w:rPr>
                <w:rFonts w:ascii="Arial" w:cs="Arial" w:eastAsia="Arial" w:hAnsi="Arial"/>
                <w:sz w:val="16"/>
                <w:szCs w:val="16"/>
                <w:b w:val="1"/>
                <w:bCs w:val="1"/>
                <w:color w:val="0233A1"/>
              </w:rPr>
              <w:t>Stock That</w:t>
            </w:r>
          </w:p>
        </w:tc>
        <w:tc>
          <w:tcPr>
            <w:tcW w:w="1540" w:type="dxa"/>
            <w:vAlign w:val="bottom"/>
          </w:tcPr>
          <w:p>
            <w:pPr>
              <w:jc w:val="right"/>
              <w:ind w:right="159"/>
              <w:spacing w:after="0"/>
              <w:rPr>
                <w:sz w:val="20"/>
                <w:szCs w:val="20"/>
                <w:color w:val="auto"/>
              </w:rPr>
            </w:pPr>
            <w:r>
              <w:rPr>
                <w:rFonts w:ascii="Arial" w:cs="Arial" w:eastAsia="Arial" w:hAnsi="Arial"/>
                <w:sz w:val="16"/>
                <w:szCs w:val="16"/>
                <w:b w:val="1"/>
                <w:bCs w:val="1"/>
                <w:color w:val="0233A1"/>
              </w:rPr>
              <w:t>or Other Rights</w:t>
            </w:r>
          </w:p>
        </w:tc>
        <w:tc>
          <w:tcPr>
            <w:tcW w:w="1700" w:type="dxa"/>
            <w:vAlign w:val="bottom"/>
          </w:tcPr>
          <w:p>
            <w:pPr>
              <w:jc w:val="right"/>
              <w:ind w:right="140"/>
              <w:spacing w:after="0"/>
              <w:rPr>
                <w:sz w:val="20"/>
                <w:szCs w:val="20"/>
                <w:color w:val="auto"/>
              </w:rPr>
            </w:pPr>
            <w:r>
              <w:rPr>
                <w:rFonts w:ascii="Arial" w:cs="Arial" w:eastAsia="Arial" w:hAnsi="Arial"/>
                <w:sz w:val="16"/>
                <w:szCs w:val="16"/>
                <w:b w:val="1"/>
                <w:bCs w:val="1"/>
                <w:color w:val="0233A1"/>
              </w:rPr>
              <w:t>Shares, Units, or</w:t>
            </w: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0233A1"/>
              </w:rPr>
              <w:t>Option/</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0233A1"/>
              </w:rPr>
              <w:t>Options</w:t>
            </w:r>
          </w:p>
        </w:tc>
        <w:tc>
          <w:tcPr>
            <w:tcW w:w="2080" w:type="dxa"/>
            <w:vAlign w:val="bottom"/>
            <w:gridSpan w:val="2"/>
          </w:tcPr>
          <w:p>
            <w:pPr>
              <w:jc w:val="right"/>
              <w:ind w:right="99"/>
              <w:spacing w:after="0"/>
              <w:rPr>
                <w:sz w:val="20"/>
                <w:szCs w:val="20"/>
                <w:color w:val="auto"/>
              </w:rPr>
            </w:pPr>
            <w:r>
              <w:rPr>
                <w:rFonts w:ascii="Arial" w:cs="Arial" w:eastAsia="Arial" w:hAnsi="Arial"/>
                <w:sz w:val="16"/>
                <w:szCs w:val="16"/>
                <w:b w:val="1"/>
                <w:bCs w:val="1"/>
                <w:color w:val="0233A1"/>
              </w:rPr>
              <w:t>Options Exercise</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0233A1"/>
              </w:rPr>
              <w:t>Option</w:t>
            </w:r>
          </w:p>
        </w:tc>
        <w:tc>
          <w:tcPr>
            <w:tcW w:w="1080" w:type="dxa"/>
            <w:vAlign w:val="bottom"/>
          </w:tcPr>
          <w:p>
            <w:pPr>
              <w:jc w:val="right"/>
              <w:ind w:right="179"/>
              <w:spacing w:after="0"/>
              <w:rPr>
                <w:sz w:val="20"/>
                <w:szCs w:val="20"/>
                <w:color w:val="auto"/>
              </w:rPr>
            </w:pPr>
            <w:r>
              <w:rPr>
                <w:rFonts w:ascii="Arial" w:cs="Arial" w:eastAsia="Arial" w:hAnsi="Arial"/>
                <w:sz w:val="16"/>
                <w:szCs w:val="16"/>
                <w:b w:val="1"/>
                <w:bCs w:val="1"/>
                <w:color w:val="0233A1"/>
              </w:rPr>
              <w:t>Have Not</w:t>
            </w:r>
          </w:p>
        </w:tc>
        <w:tc>
          <w:tcPr>
            <w:tcW w:w="1080" w:type="dxa"/>
            <w:vAlign w:val="bottom"/>
          </w:tcPr>
          <w:p>
            <w:pPr>
              <w:jc w:val="right"/>
              <w:ind w:right="100"/>
              <w:spacing w:after="0"/>
              <w:rPr>
                <w:sz w:val="20"/>
                <w:szCs w:val="20"/>
                <w:color w:val="auto"/>
              </w:rPr>
            </w:pPr>
            <w:r>
              <w:rPr>
                <w:rFonts w:ascii="Arial" w:cs="Arial" w:eastAsia="Arial" w:hAnsi="Arial"/>
                <w:sz w:val="16"/>
                <w:szCs w:val="16"/>
                <w:b w:val="1"/>
                <w:bCs w:val="1"/>
                <w:color w:val="0233A1"/>
              </w:rPr>
              <w:t>Have Not</w:t>
            </w:r>
          </w:p>
        </w:tc>
        <w:tc>
          <w:tcPr>
            <w:tcW w:w="1540" w:type="dxa"/>
            <w:vAlign w:val="bottom"/>
          </w:tcPr>
          <w:p>
            <w:pPr>
              <w:jc w:val="right"/>
              <w:ind w:right="159"/>
              <w:spacing w:after="0"/>
              <w:rPr>
                <w:sz w:val="20"/>
                <w:szCs w:val="20"/>
                <w:color w:val="auto"/>
              </w:rPr>
            </w:pPr>
            <w:r>
              <w:rPr>
                <w:rFonts w:ascii="Arial" w:cs="Arial" w:eastAsia="Arial" w:hAnsi="Arial"/>
                <w:sz w:val="16"/>
                <w:szCs w:val="16"/>
                <w:b w:val="1"/>
                <w:bCs w:val="1"/>
                <w:color w:val="0233A1"/>
              </w:rPr>
              <w:t>That Have Not</w:t>
            </w:r>
          </w:p>
        </w:tc>
        <w:tc>
          <w:tcPr>
            <w:tcW w:w="1700" w:type="dxa"/>
            <w:vAlign w:val="bottom"/>
          </w:tcPr>
          <w:p>
            <w:pPr>
              <w:jc w:val="right"/>
              <w:ind w:right="140"/>
              <w:spacing w:after="0"/>
              <w:rPr>
                <w:sz w:val="20"/>
                <w:szCs w:val="20"/>
                <w:color w:val="auto"/>
              </w:rPr>
            </w:pPr>
            <w:r>
              <w:rPr>
                <w:rFonts w:ascii="Arial" w:cs="Arial" w:eastAsia="Arial" w:hAnsi="Arial"/>
                <w:sz w:val="16"/>
                <w:szCs w:val="16"/>
                <w:b w:val="1"/>
                <w:bCs w:val="1"/>
                <w:color w:val="0233A1"/>
              </w:rPr>
              <w:t>Other Rights That</w:t>
            </w:r>
          </w:p>
        </w:tc>
        <w:tc>
          <w:tcPr>
            <w:tcW w:w="0" w:type="dxa"/>
            <w:vAlign w:val="bottom"/>
          </w:tcPr>
          <w:p>
            <w:pPr>
              <w:spacing w:after="0"/>
              <w:rPr>
                <w:sz w:val="1"/>
                <w:szCs w:val="1"/>
                <w:color w:val="auto"/>
              </w:rPr>
            </w:pPr>
          </w:p>
        </w:tc>
      </w:tr>
      <w:tr>
        <w:trPr>
          <w:trHeight w:val="205"/>
        </w:trPr>
        <w:tc>
          <w:tcPr>
            <w:tcW w:w="1040" w:type="dxa"/>
            <w:vAlign w:val="bottom"/>
            <w:vMerge w:val="restart"/>
          </w:tcPr>
          <w:p>
            <w:pPr>
              <w:ind w:left="60"/>
              <w:spacing w:after="0"/>
              <w:rPr>
                <w:sz w:val="20"/>
                <w:szCs w:val="20"/>
                <w:color w:val="auto"/>
              </w:rPr>
            </w:pPr>
            <w:r>
              <w:rPr>
                <w:rFonts w:ascii="Arial" w:cs="Arial" w:eastAsia="Arial" w:hAnsi="Arial"/>
                <w:sz w:val="16"/>
                <w:szCs w:val="16"/>
                <w:b w:val="1"/>
                <w:bCs w:val="1"/>
                <w:color w:val="0233A1"/>
              </w:rPr>
              <w:t>Name</w:t>
            </w:r>
          </w:p>
        </w:tc>
        <w:tc>
          <w:tcPr>
            <w:tcW w:w="880" w:type="dxa"/>
            <w:vAlign w:val="bottom"/>
            <w:gridSpan w:val="2"/>
          </w:tcPr>
          <w:p>
            <w:pPr>
              <w:jc w:val="right"/>
              <w:spacing w:after="0"/>
              <w:rPr>
                <w:sz w:val="20"/>
                <w:szCs w:val="20"/>
                <w:color w:val="auto"/>
              </w:rPr>
            </w:pPr>
            <w:r>
              <w:rPr>
                <w:rFonts w:ascii="Arial" w:cs="Arial" w:eastAsia="Arial" w:hAnsi="Arial"/>
                <w:sz w:val="16"/>
                <w:szCs w:val="16"/>
                <w:b w:val="1"/>
                <w:bCs w:val="1"/>
                <w:color w:val="0233A1"/>
              </w:rPr>
              <w:t>PSU/RSU</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0233A1"/>
              </w:rPr>
              <w:t>Exercisable</w:t>
            </w: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0233A1"/>
              </w:rPr>
              <w:t>Unexercisable</w:t>
            </w:r>
          </w:p>
        </w:tc>
        <w:tc>
          <w:tcPr>
            <w:tcW w:w="1600" w:type="dxa"/>
            <w:vAlign w:val="bottom"/>
            <w:gridSpan w:val="3"/>
          </w:tcPr>
          <w:p>
            <w:pPr>
              <w:jc w:val="right"/>
              <w:ind w:right="80"/>
              <w:spacing w:after="0"/>
              <w:rPr>
                <w:sz w:val="20"/>
                <w:szCs w:val="20"/>
                <w:color w:val="auto"/>
              </w:rPr>
            </w:pPr>
            <w:r>
              <w:rPr>
                <w:rFonts w:ascii="Arial" w:cs="Arial" w:eastAsia="Arial" w:hAnsi="Arial"/>
                <w:sz w:val="16"/>
                <w:szCs w:val="16"/>
                <w:b w:val="1"/>
                <w:bCs w:val="1"/>
                <w:color w:val="0233A1"/>
              </w:rPr>
              <w:t>Price Expiration</w:t>
            </w:r>
          </w:p>
        </w:tc>
        <w:tc>
          <w:tcPr>
            <w:tcW w:w="1080" w:type="dxa"/>
            <w:vAlign w:val="bottom"/>
          </w:tcPr>
          <w:p>
            <w:pPr>
              <w:jc w:val="right"/>
              <w:ind w:right="179"/>
              <w:spacing w:after="0"/>
              <w:rPr>
                <w:sz w:val="20"/>
                <w:szCs w:val="20"/>
                <w:color w:val="auto"/>
              </w:rPr>
            </w:pPr>
            <w:r>
              <w:rPr>
                <w:rFonts w:ascii="Arial" w:cs="Arial" w:eastAsia="Arial" w:hAnsi="Arial"/>
                <w:sz w:val="16"/>
                <w:szCs w:val="16"/>
                <w:b w:val="1"/>
                <w:bCs w:val="1"/>
                <w:color w:val="0233A1"/>
              </w:rPr>
              <w:t>Vested</w:t>
            </w:r>
          </w:p>
        </w:tc>
        <w:tc>
          <w:tcPr>
            <w:tcW w:w="1080" w:type="dxa"/>
            <w:vAlign w:val="bottom"/>
          </w:tcPr>
          <w:p>
            <w:pPr>
              <w:jc w:val="right"/>
              <w:spacing w:after="0" w:line="205" w:lineRule="exact"/>
              <w:rPr>
                <w:sz w:val="20"/>
                <w:szCs w:val="20"/>
                <w:color w:val="auto"/>
              </w:rPr>
            </w:pPr>
            <w:r>
              <w:rPr>
                <w:rFonts w:ascii="Arial" w:cs="Arial" w:eastAsia="Arial" w:hAnsi="Arial"/>
                <w:sz w:val="15"/>
                <w:szCs w:val="15"/>
                <w:b w:val="1"/>
                <w:bCs w:val="1"/>
                <w:color w:val="0233A1"/>
              </w:rPr>
              <w:t>Vested</w:t>
            </w:r>
            <w:r>
              <w:rPr>
                <w:rFonts w:ascii="Arial" w:cs="Arial" w:eastAsia="Arial" w:hAnsi="Arial"/>
                <w:sz w:val="23"/>
                <w:szCs w:val="23"/>
                <w:b w:val="1"/>
                <w:bCs w:val="1"/>
                <w:color w:val="0233A1"/>
                <w:vertAlign w:val="subscript"/>
              </w:rPr>
              <w:t>(1)</w:t>
            </w:r>
          </w:p>
        </w:tc>
        <w:tc>
          <w:tcPr>
            <w:tcW w:w="1540" w:type="dxa"/>
            <w:vAlign w:val="bottom"/>
          </w:tcPr>
          <w:p>
            <w:pPr>
              <w:jc w:val="right"/>
              <w:ind w:right="159"/>
              <w:spacing w:after="0"/>
              <w:rPr>
                <w:sz w:val="20"/>
                <w:szCs w:val="20"/>
                <w:color w:val="auto"/>
              </w:rPr>
            </w:pPr>
            <w:r>
              <w:rPr>
                <w:rFonts w:ascii="Arial" w:cs="Arial" w:eastAsia="Arial" w:hAnsi="Arial"/>
                <w:sz w:val="16"/>
                <w:szCs w:val="16"/>
                <w:b w:val="1"/>
                <w:bCs w:val="1"/>
                <w:color w:val="0233A1"/>
              </w:rPr>
              <w:t>Vested</w:t>
            </w:r>
          </w:p>
        </w:tc>
        <w:tc>
          <w:tcPr>
            <w:tcW w:w="1700" w:type="dxa"/>
            <w:vAlign w:val="bottom"/>
          </w:tcPr>
          <w:p>
            <w:pPr>
              <w:jc w:val="right"/>
              <w:spacing w:after="0" w:line="205" w:lineRule="exact"/>
              <w:rPr>
                <w:sz w:val="20"/>
                <w:szCs w:val="20"/>
                <w:color w:val="auto"/>
              </w:rPr>
            </w:pPr>
            <w:r>
              <w:rPr>
                <w:rFonts w:ascii="Arial" w:cs="Arial" w:eastAsia="Arial" w:hAnsi="Arial"/>
                <w:sz w:val="15"/>
                <w:szCs w:val="15"/>
                <w:b w:val="1"/>
                <w:bCs w:val="1"/>
                <w:color w:val="0233A1"/>
              </w:rPr>
              <w:t>Have Not Vested</w:t>
            </w:r>
            <w:r>
              <w:rPr>
                <w:rFonts w:ascii="Arial" w:cs="Arial" w:eastAsia="Arial" w:hAnsi="Arial"/>
                <w:sz w:val="23"/>
                <w:szCs w:val="23"/>
                <w:b w:val="1"/>
                <w:bCs w:val="1"/>
                <w:color w:val="0233A1"/>
                <w:vertAlign w:val="subscript"/>
              </w:rPr>
              <w:t>(1)</w:t>
            </w:r>
          </w:p>
        </w:tc>
        <w:tc>
          <w:tcPr>
            <w:tcW w:w="0" w:type="dxa"/>
            <w:vAlign w:val="bottom"/>
          </w:tcPr>
          <w:p>
            <w:pPr>
              <w:spacing w:after="0"/>
              <w:rPr>
                <w:sz w:val="1"/>
                <w:szCs w:val="1"/>
                <w:color w:val="auto"/>
              </w:rPr>
            </w:pPr>
          </w:p>
        </w:tc>
      </w:tr>
      <w:tr>
        <w:trPr>
          <w:trHeight w:val="187"/>
        </w:trPr>
        <w:tc>
          <w:tcPr>
            <w:tcW w:w="1040" w:type="dxa"/>
            <w:vAlign w:val="bottom"/>
            <w:tcBorders>
              <w:bottom w:val="single" w:sz="8" w:color="0233A1"/>
            </w:tcBorders>
            <w:vMerge w:val="continue"/>
          </w:tcPr>
          <w:p>
            <w:pPr>
              <w:spacing w:after="0"/>
              <w:rPr>
                <w:sz w:val="16"/>
                <w:szCs w:val="16"/>
                <w:color w:val="auto"/>
              </w:rPr>
            </w:pPr>
          </w:p>
        </w:tc>
        <w:tc>
          <w:tcPr>
            <w:tcW w:w="880" w:type="dxa"/>
            <w:vAlign w:val="bottom"/>
            <w:tcBorders>
              <w:bottom w:val="single" w:sz="8" w:color="0233A1"/>
            </w:tcBorders>
            <w:gridSpan w:val="2"/>
          </w:tcPr>
          <w:p>
            <w:pPr>
              <w:jc w:val="right"/>
              <w:spacing w:after="0"/>
              <w:rPr>
                <w:sz w:val="20"/>
                <w:szCs w:val="20"/>
                <w:color w:val="auto"/>
              </w:rPr>
            </w:pPr>
            <w:r>
              <w:rPr>
                <w:rFonts w:ascii="Arial" w:cs="Arial" w:eastAsia="Arial" w:hAnsi="Arial"/>
                <w:sz w:val="16"/>
                <w:szCs w:val="16"/>
                <w:b w:val="1"/>
                <w:bCs w:val="1"/>
                <w:color w:val="0233A1"/>
              </w:rPr>
              <w:t>Grant Date</w:t>
            </w:r>
          </w:p>
        </w:tc>
        <w:tc>
          <w:tcPr>
            <w:tcW w:w="1060" w:type="dxa"/>
            <w:vAlign w:val="bottom"/>
            <w:tcBorders>
              <w:bottom w:val="single" w:sz="8" w:color="0233A1"/>
            </w:tcBorders>
          </w:tcPr>
          <w:p>
            <w:pPr>
              <w:jc w:val="right"/>
              <w:spacing w:after="0"/>
              <w:rPr>
                <w:sz w:val="20"/>
                <w:szCs w:val="20"/>
                <w:color w:val="auto"/>
              </w:rPr>
            </w:pPr>
            <w:r>
              <w:rPr>
                <w:rFonts w:ascii="Arial" w:cs="Arial" w:eastAsia="Arial" w:hAnsi="Arial"/>
                <w:sz w:val="16"/>
                <w:szCs w:val="16"/>
                <w:b w:val="1"/>
                <w:bCs w:val="1"/>
                <w:color w:val="0233A1"/>
              </w:rPr>
              <w:t>(#)</w:t>
            </w:r>
          </w:p>
        </w:tc>
        <w:tc>
          <w:tcPr>
            <w:tcW w:w="1260" w:type="dxa"/>
            <w:vAlign w:val="bottom"/>
            <w:tcBorders>
              <w:bottom w:val="single" w:sz="8" w:color="0233A1"/>
            </w:tcBorders>
          </w:tcPr>
          <w:p>
            <w:pPr>
              <w:jc w:val="right"/>
              <w:ind w:right="39"/>
              <w:spacing w:after="0"/>
              <w:rPr>
                <w:sz w:val="20"/>
                <w:szCs w:val="20"/>
                <w:color w:val="auto"/>
              </w:rPr>
            </w:pPr>
            <w:r>
              <w:rPr>
                <w:rFonts w:ascii="Arial" w:cs="Arial" w:eastAsia="Arial" w:hAnsi="Arial"/>
                <w:sz w:val="16"/>
                <w:szCs w:val="16"/>
                <w:b w:val="1"/>
                <w:bCs w:val="1"/>
                <w:color w:val="0233A1"/>
              </w:rPr>
              <w:t>(#)</w:t>
            </w:r>
          </w:p>
        </w:tc>
        <w:tc>
          <w:tcPr>
            <w:tcW w:w="820" w:type="dxa"/>
            <w:vAlign w:val="bottom"/>
            <w:tcBorders>
              <w:bottom w:val="single" w:sz="8" w:color="0233A1"/>
            </w:tcBorders>
          </w:tcPr>
          <w:p>
            <w:pPr>
              <w:jc w:val="right"/>
              <w:ind w:right="99"/>
              <w:spacing w:after="0"/>
              <w:rPr>
                <w:sz w:val="20"/>
                <w:szCs w:val="20"/>
                <w:color w:val="auto"/>
              </w:rPr>
            </w:pPr>
            <w:r>
              <w:rPr>
                <w:rFonts w:ascii="Arial" w:cs="Arial" w:eastAsia="Arial" w:hAnsi="Arial"/>
                <w:sz w:val="16"/>
                <w:szCs w:val="16"/>
                <w:b w:val="1"/>
                <w:bCs w:val="1"/>
                <w:color w:val="0233A1"/>
              </w:rPr>
              <w:t>($)</w:t>
            </w:r>
          </w:p>
        </w:tc>
        <w:tc>
          <w:tcPr>
            <w:tcW w:w="780" w:type="dxa"/>
            <w:vAlign w:val="bottom"/>
            <w:tcBorders>
              <w:bottom w:val="single" w:sz="8" w:color="0233A1"/>
            </w:tcBorders>
            <w:gridSpan w:val="2"/>
          </w:tcPr>
          <w:p>
            <w:pPr>
              <w:jc w:val="right"/>
              <w:ind w:right="80"/>
              <w:spacing w:after="0"/>
              <w:rPr>
                <w:sz w:val="20"/>
                <w:szCs w:val="20"/>
                <w:color w:val="auto"/>
              </w:rPr>
            </w:pPr>
            <w:r>
              <w:rPr>
                <w:rFonts w:ascii="Arial" w:cs="Arial" w:eastAsia="Arial" w:hAnsi="Arial"/>
                <w:sz w:val="16"/>
                <w:szCs w:val="16"/>
                <w:b w:val="1"/>
                <w:bCs w:val="1"/>
                <w:color w:val="0233A1"/>
              </w:rPr>
              <w:t>Date</w:t>
            </w:r>
          </w:p>
        </w:tc>
        <w:tc>
          <w:tcPr>
            <w:tcW w:w="1080" w:type="dxa"/>
            <w:vAlign w:val="bottom"/>
            <w:tcBorders>
              <w:bottom w:val="single" w:sz="8" w:color="0233A1"/>
            </w:tcBorders>
          </w:tcPr>
          <w:p>
            <w:pPr>
              <w:jc w:val="right"/>
              <w:ind w:right="179"/>
              <w:spacing w:after="0"/>
              <w:rPr>
                <w:sz w:val="20"/>
                <w:szCs w:val="20"/>
                <w:color w:val="auto"/>
              </w:rPr>
            </w:pPr>
            <w:r>
              <w:rPr>
                <w:rFonts w:ascii="Arial" w:cs="Arial" w:eastAsia="Arial" w:hAnsi="Arial"/>
                <w:sz w:val="16"/>
                <w:szCs w:val="16"/>
                <w:b w:val="1"/>
                <w:bCs w:val="1"/>
                <w:color w:val="0233A1"/>
              </w:rPr>
              <w:t>(#)</w:t>
            </w:r>
          </w:p>
        </w:tc>
        <w:tc>
          <w:tcPr>
            <w:tcW w:w="1080" w:type="dxa"/>
            <w:vAlign w:val="bottom"/>
            <w:tcBorders>
              <w:bottom w:val="single" w:sz="8" w:color="0233A1"/>
            </w:tcBorders>
          </w:tcPr>
          <w:p>
            <w:pPr>
              <w:jc w:val="right"/>
              <w:ind w:right="100"/>
              <w:spacing w:after="0"/>
              <w:rPr>
                <w:sz w:val="20"/>
                <w:szCs w:val="20"/>
                <w:color w:val="auto"/>
              </w:rPr>
            </w:pPr>
            <w:r>
              <w:rPr>
                <w:rFonts w:ascii="Arial" w:cs="Arial" w:eastAsia="Arial" w:hAnsi="Arial"/>
                <w:sz w:val="16"/>
                <w:szCs w:val="16"/>
                <w:b w:val="1"/>
                <w:bCs w:val="1"/>
                <w:color w:val="0233A1"/>
              </w:rPr>
              <w:t>($)</w:t>
            </w:r>
          </w:p>
        </w:tc>
        <w:tc>
          <w:tcPr>
            <w:tcW w:w="1540" w:type="dxa"/>
            <w:vAlign w:val="bottom"/>
            <w:tcBorders>
              <w:bottom w:val="single" w:sz="8" w:color="0233A1"/>
            </w:tcBorders>
          </w:tcPr>
          <w:p>
            <w:pPr>
              <w:jc w:val="right"/>
              <w:ind w:right="159"/>
              <w:spacing w:after="0"/>
              <w:rPr>
                <w:sz w:val="20"/>
                <w:szCs w:val="20"/>
                <w:color w:val="auto"/>
              </w:rPr>
            </w:pPr>
            <w:r>
              <w:rPr>
                <w:rFonts w:ascii="Arial" w:cs="Arial" w:eastAsia="Arial" w:hAnsi="Arial"/>
                <w:sz w:val="16"/>
                <w:szCs w:val="16"/>
                <w:b w:val="1"/>
                <w:bCs w:val="1"/>
                <w:color w:val="0233A1"/>
              </w:rPr>
              <w:t>(#)</w:t>
            </w:r>
          </w:p>
        </w:tc>
        <w:tc>
          <w:tcPr>
            <w:tcW w:w="1700" w:type="dxa"/>
            <w:vAlign w:val="bottom"/>
            <w:tcBorders>
              <w:bottom w:val="single" w:sz="8" w:color="0233A1"/>
            </w:tcBorders>
          </w:tcPr>
          <w:p>
            <w:pPr>
              <w:jc w:val="right"/>
              <w:ind w:right="140"/>
              <w:spacing w:after="0"/>
              <w:rPr>
                <w:sz w:val="20"/>
                <w:szCs w:val="20"/>
                <w:color w:val="auto"/>
              </w:rPr>
            </w:pPr>
            <w:r>
              <w:rPr>
                <w:rFonts w:ascii="Arial" w:cs="Arial" w:eastAsia="Arial" w:hAnsi="Arial"/>
                <w:sz w:val="16"/>
                <w:szCs w:val="16"/>
                <w:b w:val="1"/>
                <w:bCs w:val="1"/>
                <w:color w:val="0233A1"/>
              </w:rPr>
              <w:t>($)</w:t>
            </w:r>
          </w:p>
        </w:tc>
        <w:tc>
          <w:tcPr>
            <w:tcW w:w="0" w:type="dxa"/>
            <w:vAlign w:val="bottom"/>
          </w:tcPr>
          <w:p>
            <w:pPr>
              <w:spacing w:after="0"/>
              <w:rPr>
                <w:sz w:val="1"/>
                <w:szCs w:val="1"/>
                <w:color w:val="auto"/>
              </w:rPr>
            </w:pPr>
          </w:p>
        </w:tc>
      </w:tr>
      <w:tr>
        <w:trPr>
          <w:trHeight w:val="276"/>
        </w:trPr>
        <w:tc>
          <w:tcPr>
            <w:tcW w:w="1040" w:type="dxa"/>
            <w:vAlign w:val="bottom"/>
          </w:tcPr>
          <w:p>
            <w:pPr>
              <w:ind w:left="60"/>
              <w:spacing w:after="0"/>
              <w:rPr>
                <w:sz w:val="20"/>
                <w:szCs w:val="20"/>
                <w:color w:val="auto"/>
              </w:rPr>
            </w:pPr>
            <w:r>
              <w:rPr>
                <w:rFonts w:ascii="Arial" w:cs="Arial" w:eastAsia="Arial" w:hAnsi="Arial"/>
                <w:sz w:val="16"/>
                <w:szCs w:val="16"/>
                <w:color w:val="auto"/>
              </w:rPr>
              <w:t>D. Ralston</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1/20/2021</w:t>
            </w: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vMerge w:val="restart"/>
          </w:tcPr>
          <w:p>
            <w:pPr>
              <w:jc w:val="right"/>
              <w:ind w:right="19"/>
              <w:spacing w:after="0"/>
              <w:rPr>
                <w:sz w:val="20"/>
                <w:szCs w:val="20"/>
                <w:color w:val="auto"/>
              </w:rPr>
            </w:pPr>
            <w:r>
              <w:rPr>
                <w:rFonts w:ascii="Arial" w:cs="Arial" w:eastAsia="Arial" w:hAnsi="Arial"/>
                <w:sz w:val="16"/>
                <w:szCs w:val="16"/>
                <w:color w:val="auto"/>
              </w:rPr>
              <w:t>33,610</w:t>
            </w:r>
            <w:r>
              <w:rPr>
                <w:rFonts w:ascii="Arial" w:cs="Arial" w:eastAsia="Arial" w:hAnsi="Arial"/>
                <w:sz w:val="26"/>
                <w:szCs w:val="26"/>
                <w:color w:val="auto"/>
                <w:vertAlign w:val="superscript"/>
              </w:rPr>
              <w:t>(3)</w:t>
            </w:r>
          </w:p>
        </w:tc>
        <w:tc>
          <w:tcPr>
            <w:tcW w:w="1080" w:type="dxa"/>
            <w:vAlign w:val="bottom"/>
          </w:tcPr>
          <w:p>
            <w:pPr>
              <w:spacing w:after="0"/>
              <w:rPr>
                <w:sz w:val="24"/>
                <w:szCs w:val="24"/>
                <w:color w:val="auto"/>
              </w:rPr>
            </w:pPr>
          </w:p>
        </w:tc>
        <w:tc>
          <w:tcPr>
            <w:tcW w:w="1540" w:type="dxa"/>
            <w:vAlign w:val="bottom"/>
          </w:tcPr>
          <w:p>
            <w:pPr>
              <w:jc w:val="right"/>
              <w:spacing w:after="0" w:line="276" w:lineRule="exact"/>
              <w:rPr>
                <w:sz w:val="20"/>
                <w:szCs w:val="20"/>
                <w:color w:val="auto"/>
              </w:rPr>
            </w:pPr>
            <w:r>
              <w:rPr>
                <w:rFonts w:ascii="Arial" w:cs="Arial" w:eastAsia="Arial" w:hAnsi="Arial"/>
                <w:sz w:val="16"/>
                <w:szCs w:val="16"/>
                <w:color w:val="auto"/>
              </w:rPr>
              <w:t>67,220</w:t>
            </w:r>
            <w:r>
              <w:rPr>
                <w:rFonts w:ascii="Arial" w:cs="Arial" w:eastAsia="Arial" w:hAnsi="Arial"/>
                <w:sz w:val="26"/>
                <w:szCs w:val="26"/>
                <w:color w:val="auto"/>
                <w:vertAlign w:val="superscript"/>
              </w:rPr>
              <w:t>(2)</w:t>
            </w:r>
          </w:p>
        </w:tc>
        <w:tc>
          <w:tcPr>
            <w:tcW w:w="1700" w:type="dxa"/>
            <w:vAlign w:val="bottom"/>
          </w:tcPr>
          <w:p>
            <w:pPr>
              <w:jc w:val="right"/>
              <w:ind w:right="140"/>
              <w:spacing w:after="0"/>
              <w:rPr>
                <w:sz w:val="20"/>
                <w:szCs w:val="20"/>
                <w:color w:val="auto"/>
              </w:rPr>
            </w:pPr>
            <w:r>
              <w:rPr>
                <w:rFonts w:ascii="Arial" w:cs="Arial" w:eastAsia="Arial" w:hAnsi="Arial"/>
                <w:sz w:val="16"/>
                <w:szCs w:val="16"/>
                <w:color w:val="auto"/>
              </w:rPr>
              <w:t>3,498,129</w:t>
            </w:r>
          </w:p>
        </w:tc>
        <w:tc>
          <w:tcPr>
            <w:tcW w:w="0" w:type="dxa"/>
            <w:vAlign w:val="bottom"/>
          </w:tcPr>
          <w:p>
            <w:pPr>
              <w:spacing w:after="0"/>
              <w:rPr>
                <w:sz w:val="1"/>
                <w:szCs w:val="1"/>
                <w:color w:val="auto"/>
              </w:rPr>
            </w:pPr>
          </w:p>
        </w:tc>
      </w:tr>
      <w:tr>
        <w:trPr>
          <w:trHeight w:val="257"/>
        </w:trPr>
        <w:tc>
          <w:tcPr>
            <w:tcW w:w="104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1/20/2021</w:t>
            </w:r>
          </w:p>
        </w:tc>
        <w:tc>
          <w:tcPr>
            <w:tcW w:w="10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1080" w:type="dxa"/>
            <w:vAlign w:val="bottom"/>
          </w:tcPr>
          <w:p>
            <w:pPr>
              <w:jc w:val="right"/>
              <w:ind w:right="100"/>
              <w:spacing w:after="0"/>
              <w:rPr>
                <w:sz w:val="20"/>
                <w:szCs w:val="20"/>
                <w:color w:val="auto"/>
              </w:rPr>
            </w:pPr>
            <w:r>
              <w:rPr>
                <w:rFonts w:ascii="Arial" w:cs="Arial" w:eastAsia="Arial" w:hAnsi="Arial"/>
                <w:sz w:val="16"/>
                <w:szCs w:val="16"/>
                <w:color w:val="auto"/>
              </w:rPr>
              <w:t>1,749,064</w:t>
            </w:r>
          </w:p>
        </w:tc>
        <w:tc>
          <w:tcPr>
            <w:tcW w:w="1540" w:type="dxa"/>
            <w:vAlign w:val="bottom"/>
            <w:vMerge w:val="restart"/>
          </w:tcPr>
          <w:p>
            <w:pPr>
              <w:jc w:val="right"/>
              <w:spacing w:after="0"/>
              <w:rPr>
                <w:sz w:val="20"/>
                <w:szCs w:val="20"/>
                <w:color w:val="auto"/>
              </w:rPr>
            </w:pPr>
            <w:r>
              <w:rPr>
                <w:rFonts w:ascii="Arial" w:cs="Arial" w:eastAsia="Arial" w:hAnsi="Arial"/>
                <w:sz w:val="16"/>
                <w:szCs w:val="16"/>
                <w:color w:val="auto"/>
              </w:rPr>
              <w:t>29,390</w:t>
            </w:r>
            <w:r>
              <w:rPr>
                <w:rFonts w:ascii="Arial" w:cs="Arial" w:eastAsia="Arial" w:hAnsi="Arial"/>
                <w:sz w:val="26"/>
                <w:szCs w:val="26"/>
                <w:color w:val="auto"/>
                <w:vertAlign w:val="superscript"/>
              </w:rPr>
              <w:t>(4)</w:t>
            </w: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10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2/3/2021</w:t>
            </w:r>
          </w:p>
        </w:tc>
        <w:tc>
          <w:tcPr>
            <w:tcW w:w="1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1700" w:type="dxa"/>
            <w:vAlign w:val="bottom"/>
          </w:tcPr>
          <w:p>
            <w:pPr>
              <w:jc w:val="right"/>
              <w:ind w:right="140"/>
              <w:spacing w:after="0"/>
              <w:rPr>
                <w:sz w:val="20"/>
                <w:szCs w:val="20"/>
                <w:color w:val="auto"/>
              </w:rPr>
            </w:pPr>
            <w:r>
              <w:rPr>
                <w:rFonts w:ascii="Arial" w:cs="Arial" w:eastAsia="Arial" w:hAnsi="Arial"/>
                <w:sz w:val="16"/>
                <w:szCs w:val="16"/>
                <w:color w:val="auto"/>
              </w:rPr>
              <w:t>1,529,456</w:t>
            </w:r>
          </w:p>
        </w:tc>
        <w:tc>
          <w:tcPr>
            <w:tcW w:w="0" w:type="dxa"/>
            <w:vAlign w:val="bottom"/>
          </w:tcPr>
          <w:p>
            <w:pPr>
              <w:spacing w:after="0"/>
              <w:rPr>
                <w:sz w:val="1"/>
                <w:szCs w:val="1"/>
                <w:color w:val="auto"/>
              </w:rPr>
            </w:pPr>
          </w:p>
        </w:tc>
      </w:tr>
      <w:tr>
        <w:trPr>
          <w:trHeight w:val="296"/>
        </w:trPr>
        <w:tc>
          <w:tcPr>
            <w:tcW w:w="104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1/19/2022</w:t>
            </w: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vMerge w:val="restart"/>
          </w:tcPr>
          <w:p>
            <w:pPr>
              <w:jc w:val="right"/>
              <w:ind w:right="19"/>
              <w:spacing w:after="0"/>
              <w:rPr>
                <w:sz w:val="20"/>
                <w:szCs w:val="20"/>
                <w:color w:val="auto"/>
              </w:rPr>
            </w:pPr>
            <w:r>
              <w:rPr>
                <w:rFonts w:ascii="Arial" w:cs="Arial" w:eastAsia="Arial" w:hAnsi="Arial"/>
                <w:sz w:val="16"/>
                <w:szCs w:val="16"/>
                <w:color w:val="auto"/>
              </w:rPr>
              <w:t>22,321</w:t>
            </w:r>
            <w:r>
              <w:rPr>
                <w:rFonts w:ascii="Arial" w:cs="Arial" w:eastAsia="Arial" w:hAnsi="Arial"/>
                <w:sz w:val="26"/>
                <w:szCs w:val="26"/>
                <w:color w:val="auto"/>
                <w:vertAlign w:val="superscript"/>
              </w:rPr>
              <w:t>(6)</w:t>
            </w:r>
          </w:p>
        </w:tc>
        <w:tc>
          <w:tcPr>
            <w:tcW w:w="1080" w:type="dxa"/>
            <w:vAlign w:val="bottom"/>
          </w:tcPr>
          <w:p>
            <w:pPr>
              <w:spacing w:after="0"/>
              <w:rPr>
                <w:sz w:val="24"/>
                <w:szCs w:val="24"/>
                <w:color w:val="auto"/>
              </w:rPr>
            </w:pPr>
          </w:p>
        </w:tc>
        <w:tc>
          <w:tcPr>
            <w:tcW w:w="1540" w:type="dxa"/>
            <w:vAlign w:val="bottom"/>
          </w:tcPr>
          <w:p>
            <w:pPr>
              <w:jc w:val="right"/>
              <w:spacing w:after="0" w:line="296" w:lineRule="exact"/>
              <w:rPr>
                <w:sz w:val="20"/>
                <w:szCs w:val="20"/>
                <w:color w:val="auto"/>
              </w:rPr>
            </w:pPr>
            <w:r>
              <w:rPr>
                <w:rFonts w:ascii="Arial" w:cs="Arial" w:eastAsia="Arial" w:hAnsi="Arial"/>
                <w:sz w:val="16"/>
                <w:szCs w:val="16"/>
                <w:color w:val="auto"/>
              </w:rPr>
              <w:t>64,587</w:t>
            </w:r>
            <w:r>
              <w:rPr>
                <w:rFonts w:ascii="Arial" w:cs="Arial" w:eastAsia="Arial" w:hAnsi="Arial"/>
                <w:sz w:val="26"/>
                <w:szCs w:val="26"/>
                <w:color w:val="auto"/>
                <w:vertAlign w:val="superscript"/>
              </w:rPr>
              <w:t>(5)</w:t>
            </w:r>
          </w:p>
        </w:tc>
        <w:tc>
          <w:tcPr>
            <w:tcW w:w="1700" w:type="dxa"/>
            <w:vAlign w:val="bottom"/>
          </w:tcPr>
          <w:p>
            <w:pPr>
              <w:jc w:val="right"/>
              <w:ind w:right="140"/>
              <w:spacing w:after="0"/>
              <w:rPr>
                <w:sz w:val="20"/>
                <w:szCs w:val="20"/>
                <w:color w:val="auto"/>
              </w:rPr>
            </w:pPr>
            <w:r>
              <w:rPr>
                <w:rFonts w:ascii="Arial" w:cs="Arial" w:eastAsia="Arial" w:hAnsi="Arial"/>
                <w:sz w:val="16"/>
                <w:szCs w:val="16"/>
                <w:color w:val="auto"/>
              </w:rPr>
              <w:t>3,361,107</w:t>
            </w:r>
          </w:p>
        </w:tc>
        <w:tc>
          <w:tcPr>
            <w:tcW w:w="0" w:type="dxa"/>
            <w:vAlign w:val="bottom"/>
          </w:tcPr>
          <w:p>
            <w:pPr>
              <w:spacing w:after="0"/>
              <w:rPr>
                <w:sz w:val="1"/>
                <w:szCs w:val="1"/>
                <w:color w:val="auto"/>
              </w:rPr>
            </w:pPr>
          </w:p>
        </w:tc>
      </w:tr>
      <w:tr>
        <w:trPr>
          <w:trHeight w:val="257"/>
        </w:trPr>
        <w:tc>
          <w:tcPr>
            <w:tcW w:w="104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1/19/2022</w:t>
            </w:r>
          </w:p>
        </w:tc>
        <w:tc>
          <w:tcPr>
            <w:tcW w:w="10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1080" w:type="dxa"/>
            <w:vAlign w:val="bottom"/>
          </w:tcPr>
          <w:p>
            <w:pPr>
              <w:jc w:val="right"/>
              <w:ind w:right="100"/>
              <w:spacing w:after="0"/>
              <w:rPr>
                <w:sz w:val="20"/>
                <w:szCs w:val="20"/>
                <w:color w:val="auto"/>
              </w:rPr>
            </w:pPr>
            <w:r>
              <w:rPr>
                <w:rFonts w:ascii="Arial" w:cs="Arial" w:eastAsia="Arial" w:hAnsi="Arial"/>
                <w:sz w:val="16"/>
                <w:szCs w:val="16"/>
                <w:color w:val="auto"/>
              </w:rPr>
              <w:t>1,161,585</w:t>
            </w:r>
          </w:p>
        </w:tc>
        <w:tc>
          <w:tcPr>
            <w:tcW w:w="1540" w:type="dxa"/>
            <w:vAlign w:val="bottom"/>
            <w:vMerge w:val="restart"/>
          </w:tcPr>
          <w:p>
            <w:pPr>
              <w:jc w:val="right"/>
              <w:spacing w:after="0"/>
              <w:rPr>
                <w:sz w:val="20"/>
                <w:szCs w:val="20"/>
                <w:color w:val="auto"/>
              </w:rPr>
            </w:pPr>
            <w:r>
              <w:rPr>
                <w:rFonts w:ascii="Arial" w:cs="Arial" w:eastAsia="Arial" w:hAnsi="Arial"/>
                <w:sz w:val="16"/>
                <w:szCs w:val="16"/>
                <w:color w:val="auto"/>
              </w:rPr>
              <w:t>41,668</w:t>
            </w:r>
            <w:r>
              <w:rPr>
                <w:rFonts w:ascii="Arial" w:cs="Arial" w:eastAsia="Arial" w:hAnsi="Arial"/>
                <w:sz w:val="26"/>
                <w:szCs w:val="26"/>
                <w:color w:val="auto"/>
                <w:vertAlign w:val="superscript"/>
              </w:rPr>
              <w:t>(7)</w:t>
            </w: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04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1/18/2023</w:t>
            </w:r>
          </w:p>
        </w:tc>
        <w:tc>
          <w:tcPr>
            <w:tcW w:w="10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vMerge w:val="restart"/>
          </w:tcPr>
          <w:p>
            <w:pPr>
              <w:jc w:val="right"/>
              <w:ind w:right="19"/>
              <w:spacing w:after="0"/>
              <w:rPr>
                <w:sz w:val="20"/>
                <w:szCs w:val="20"/>
                <w:color w:val="auto"/>
              </w:rPr>
            </w:pPr>
            <w:r>
              <w:rPr>
                <w:rFonts w:ascii="Arial" w:cs="Arial" w:eastAsia="Arial" w:hAnsi="Arial"/>
                <w:sz w:val="16"/>
                <w:szCs w:val="16"/>
                <w:color w:val="auto"/>
              </w:rPr>
              <w:t>14,427</w:t>
            </w:r>
            <w:r>
              <w:rPr>
                <w:rFonts w:ascii="Arial" w:cs="Arial" w:eastAsia="Arial" w:hAnsi="Arial"/>
                <w:sz w:val="26"/>
                <w:szCs w:val="26"/>
                <w:color w:val="auto"/>
                <w:vertAlign w:val="superscript"/>
              </w:rPr>
              <w:t>(8)</w:t>
            </w:r>
          </w:p>
        </w:tc>
        <w:tc>
          <w:tcPr>
            <w:tcW w:w="1080" w:type="dxa"/>
            <w:vAlign w:val="bottom"/>
          </w:tcPr>
          <w:p>
            <w:pPr>
              <w:spacing w:after="0"/>
              <w:rPr>
                <w:sz w:val="22"/>
                <w:szCs w:val="22"/>
                <w:color w:val="auto"/>
              </w:rPr>
            </w:pPr>
          </w:p>
        </w:tc>
        <w:tc>
          <w:tcPr>
            <w:tcW w:w="1540" w:type="dxa"/>
            <w:vAlign w:val="bottom"/>
            <w:vMerge w:val="continue"/>
          </w:tcPr>
          <w:p>
            <w:pPr>
              <w:spacing w:after="0"/>
              <w:rPr>
                <w:sz w:val="22"/>
                <w:szCs w:val="22"/>
                <w:color w:val="auto"/>
              </w:rPr>
            </w:pPr>
          </w:p>
        </w:tc>
        <w:tc>
          <w:tcPr>
            <w:tcW w:w="1700" w:type="dxa"/>
            <w:vAlign w:val="bottom"/>
          </w:tcPr>
          <w:p>
            <w:pPr>
              <w:jc w:val="right"/>
              <w:ind w:right="140"/>
              <w:spacing w:after="0"/>
              <w:rPr>
                <w:sz w:val="20"/>
                <w:szCs w:val="20"/>
                <w:color w:val="auto"/>
              </w:rPr>
            </w:pPr>
            <w:r>
              <w:rPr>
                <w:rFonts w:ascii="Arial" w:cs="Arial" w:eastAsia="Arial" w:hAnsi="Arial"/>
                <w:sz w:val="16"/>
                <w:szCs w:val="16"/>
                <w:color w:val="auto"/>
              </w:rPr>
              <w:t>2,168,403</w:t>
            </w:r>
          </w:p>
        </w:tc>
        <w:tc>
          <w:tcPr>
            <w:tcW w:w="0" w:type="dxa"/>
            <w:vAlign w:val="bottom"/>
          </w:tcPr>
          <w:p>
            <w:pPr>
              <w:spacing w:after="0"/>
              <w:rPr>
                <w:sz w:val="1"/>
                <w:szCs w:val="1"/>
                <w:color w:val="auto"/>
              </w:rPr>
            </w:pPr>
          </w:p>
        </w:tc>
      </w:tr>
      <w:tr>
        <w:trPr>
          <w:trHeight w:val="224"/>
        </w:trPr>
        <w:tc>
          <w:tcPr>
            <w:tcW w:w="1040" w:type="dxa"/>
            <w:vAlign w:val="bottom"/>
            <w:tcBorders>
              <w:bottom w:val="single" w:sz="8" w:color="0233A1"/>
            </w:tcBorders>
          </w:tcPr>
          <w:p>
            <w:pPr>
              <w:spacing w:after="0"/>
              <w:rPr>
                <w:sz w:val="19"/>
                <w:szCs w:val="19"/>
                <w:color w:val="auto"/>
              </w:rPr>
            </w:pPr>
          </w:p>
        </w:tc>
        <w:tc>
          <w:tcPr>
            <w:tcW w:w="880" w:type="dxa"/>
            <w:vAlign w:val="bottom"/>
            <w:tcBorders>
              <w:bottom w:val="single" w:sz="8" w:color="0233A1"/>
            </w:tcBorders>
            <w:gridSpan w:val="2"/>
          </w:tcPr>
          <w:p>
            <w:pPr>
              <w:jc w:val="right"/>
              <w:spacing w:after="0"/>
              <w:rPr>
                <w:sz w:val="20"/>
                <w:szCs w:val="20"/>
                <w:color w:val="auto"/>
              </w:rPr>
            </w:pPr>
            <w:r>
              <w:rPr>
                <w:rFonts w:ascii="Arial" w:cs="Arial" w:eastAsia="Arial" w:hAnsi="Arial"/>
                <w:sz w:val="16"/>
                <w:szCs w:val="16"/>
                <w:color w:val="auto"/>
              </w:rPr>
              <w:t>1/18/2023</w:t>
            </w:r>
          </w:p>
        </w:tc>
        <w:tc>
          <w:tcPr>
            <w:tcW w:w="1060" w:type="dxa"/>
            <w:vAlign w:val="bottom"/>
            <w:tcBorders>
              <w:bottom w:val="single" w:sz="8" w:color="0233A1"/>
            </w:tcBorders>
          </w:tcPr>
          <w:p>
            <w:pPr>
              <w:spacing w:after="0"/>
              <w:rPr>
                <w:sz w:val="19"/>
                <w:szCs w:val="19"/>
                <w:color w:val="auto"/>
              </w:rPr>
            </w:pPr>
          </w:p>
        </w:tc>
        <w:tc>
          <w:tcPr>
            <w:tcW w:w="1260" w:type="dxa"/>
            <w:vAlign w:val="bottom"/>
            <w:tcBorders>
              <w:bottom w:val="single" w:sz="8" w:color="0233A1"/>
            </w:tcBorders>
          </w:tcPr>
          <w:p>
            <w:pPr>
              <w:spacing w:after="0"/>
              <w:rPr>
                <w:sz w:val="19"/>
                <w:szCs w:val="19"/>
                <w:color w:val="auto"/>
              </w:rPr>
            </w:pPr>
          </w:p>
        </w:tc>
        <w:tc>
          <w:tcPr>
            <w:tcW w:w="820" w:type="dxa"/>
            <w:vAlign w:val="bottom"/>
            <w:tcBorders>
              <w:bottom w:val="single" w:sz="8" w:color="0233A1"/>
            </w:tcBorders>
          </w:tcPr>
          <w:p>
            <w:pPr>
              <w:spacing w:after="0"/>
              <w:rPr>
                <w:sz w:val="19"/>
                <w:szCs w:val="19"/>
                <w:color w:val="auto"/>
              </w:rPr>
            </w:pPr>
          </w:p>
        </w:tc>
        <w:tc>
          <w:tcPr>
            <w:tcW w:w="700" w:type="dxa"/>
            <w:vAlign w:val="bottom"/>
            <w:tcBorders>
              <w:bottom w:val="single" w:sz="8" w:color="0233A1"/>
            </w:tcBorders>
          </w:tcPr>
          <w:p>
            <w:pPr>
              <w:spacing w:after="0"/>
              <w:rPr>
                <w:sz w:val="19"/>
                <w:szCs w:val="19"/>
                <w:color w:val="auto"/>
              </w:rPr>
            </w:pPr>
          </w:p>
        </w:tc>
        <w:tc>
          <w:tcPr>
            <w:tcW w:w="80" w:type="dxa"/>
            <w:vAlign w:val="bottom"/>
            <w:tcBorders>
              <w:bottom w:val="single" w:sz="8" w:color="0233A1"/>
            </w:tcBorders>
          </w:tcPr>
          <w:p>
            <w:pPr>
              <w:spacing w:after="0"/>
              <w:rPr>
                <w:sz w:val="19"/>
                <w:szCs w:val="19"/>
                <w:color w:val="auto"/>
              </w:rPr>
            </w:pPr>
          </w:p>
        </w:tc>
        <w:tc>
          <w:tcPr>
            <w:tcW w:w="1080" w:type="dxa"/>
            <w:vAlign w:val="bottom"/>
            <w:tcBorders>
              <w:bottom w:val="single" w:sz="8" w:color="0233A1"/>
            </w:tcBorders>
            <w:vMerge w:val="continue"/>
          </w:tcPr>
          <w:p>
            <w:pPr>
              <w:spacing w:after="0"/>
              <w:rPr>
                <w:sz w:val="19"/>
                <w:szCs w:val="19"/>
                <w:color w:val="auto"/>
              </w:rPr>
            </w:pPr>
          </w:p>
        </w:tc>
        <w:tc>
          <w:tcPr>
            <w:tcW w:w="1080" w:type="dxa"/>
            <w:vAlign w:val="bottom"/>
            <w:tcBorders>
              <w:bottom w:val="single" w:sz="8" w:color="0233A1"/>
            </w:tcBorders>
          </w:tcPr>
          <w:p>
            <w:pPr>
              <w:jc w:val="right"/>
              <w:ind w:right="100"/>
              <w:spacing w:after="0"/>
              <w:rPr>
                <w:sz w:val="20"/>
                <w:szCs w:val="20"/>
                <w:color w:val="auto"/>
              </w:rPr>
            </w:pPr>
            <w:r>
              <w:rPr>
                <w:rFonts w:ascii="Arial" w:cs="Arial" w:eastAsia="Arial" w:hAnsi="Arial"/>
                <w:sz w:val="16"/>
                <w:szCs w:val="16"/>
                <w:color w:val="auto"/>
              </w:rPr>
              <w:t>750,781</w:t>
            </w:r>
          </w:p>
        </w:tc>
        <w:tc>
          <w:tcPr>
            <w:tcW w:w="1540" w:type="dxa"/>
            <w:vAlign w:val="bottom"/>
            <w:tcBorders>
              <w:bottom w:val="single" w:sz="8" w:color="0233A1"/>
            </w:tcBorders>
          </w:tcPr>
          <w:p>
            <w:pPr>
              <w:spacing w:after="0"/>
              <w:rPr>
                <w:sz w:val="19"/>
                <w:szCs w:val="19"/>
                <w:color w:val="auto"/>
              </w:rPr>
            </w:pPr>
          </w:p>
        </w:tc>
        <w:tc>
          <w:tcPr>
            <w:tcW w:w="1700" w:type="dxa"/>
            <w:vAlign w:val="bottom"/>
            <w:tcBorders>
              <w:bottom w:val="single" w:sz="8" w:color="0233A1"/>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-179070</wp:posOffset>
            </wp:positionV>
            <wp:extent cx="6471920" cy="8255"/>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647192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-342265</wp:posOffset>
            </wp:positionV>
            <wp:extent cx="6471920" cy="8255"/>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647192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-505460</wp:posOffset>
            </wp:positionV>
            <wp:extent cx="6471920" cy="8255"/>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647192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-668020</wp:posOffset>
            </wp:positionV>
            <wp:extent cx="6471920" cy="8890"/>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6471920" cy="8890"/>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-830580</wp:posOffset>
            </wp:positionV>
            <wp:extent cx="6471920" cy="8255"/>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647192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-993775</wp:posOffset>
            </wp:positionV>
            <wp:extent cx="6471920" cy="8255"/>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6471920" cy="8255"/>
                    </a:xfrm>
                    <a:prstGeom prst="rect">
                      <a:avLst/>
                    </a:prstGeom>
                    <a:noFill/>
                  </pic:spPr>
                </pic:pic>
              </a:graphicData>
            </a:graphic>
          </wp:anchor>
        </w:drawing>
      </w:r>
    </w:p>
    <w:p>
      <w:pPr>
        <w:spacing w:after="0" w:line="38" w:lineRule="exact"/>
        <w:rPr>
          <w:sz w:val="20"/>
          <w:szCs w:val="20"/>
          <w:color w:val="auto"/>
        </w:rPr>
      </w:pPr>
    </w:p>
    <w:p>
      <w:pPr>
        <w:ind w:left="340" w:hanging="332"/>
        <w:spacing w:after="0" w:line="281" w:lineRule="auto"/>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Market value is based on $52.04, the December 29, 2023 closing price of shares of our common stock, multiplied by the number of unvested PSUs or RSUs reflected in the previous column.</w:t>
      </w:r>
    </w:p>
    <w:p>
      <w:pPr>
        <w:spacing w:after="0" w:line="1" w:lineRule="exact"/>
        <w:rPr>
          <w:rFonts w:ascii="Arial" w:cs="Arial" w:eastAsia="Arial" w:hAnsi="Arial"/>
          <w:sz w:val="14"/>
          <w:szCs w:val="14"/>
          <w:color w:val="auto"/>
        </w:rPr>
      </w:pPr>
    </w:p>
    <w:p>
      <w:pPr>
        <w:jc w:val="both"/>
        <w:ind w:left="340" w:hanging="332"/>
        <w:spacing w:after="0" w:line="263" w:lineRule="auto"/>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Reflects the target number of FCF Margin PSUs and ROCE PSUs that were issued in January 2021 and that were scheduled to vest in January 2024, subject to the achievement of performance conditions. The combined number of FCF Margin PSUs and ROCE PSUs that actually vested in January 2024 for each NEO was as follows: Mr. Le Peuch — 330,870; Mr. Biguet — 100,830; Mr. Al Mogharbel — 110,280; Mr. Merad — 100,830; and Ms. Ralston — 100,830.</w:t>
      </w:r>
    </w:p>
    <w:p>
      <w:pPr>
        <w:spacing w:after="0" w:line="10" w:lineRule="exact"/>
        <w:rPr>
          <w:rFonts w:ascii="Arial" w:cs="Arial" w:eastAsia="Arial" w:hAnsi="Arial"/>
          <w:sz w:val="14"/>
          <w:szCs w:val="14"/>
          <w:color w:val="auto"/>
        </w:rPr>
      </w:pPr>
    </w:p>
    <w:p>
      <w:pPr>
        <w:ind w:left="340" w:hanging="332"/>
        <w:spacing w:after="0"/>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Reflects the number of three-year RSUs that were issued in January 2021 and that vested on January 20, 2024.</w:t>
      </w:r>
    </w:p>
    <w:p>
      <w:pPr>
        <w:spacing w:after="0" w:line="55" w:lineRule="exact"/>
        <w:rPr>
          <w:rFonts w:ascii="Arial" w:cs="Arial" w:eastAsia="Arial" w:hAnsi="Arial"/>
          <w:sz w:val="14"/>
          <w:szCs w:val="14"/>
          <w:color w:val="auto"/>
        </w:rPr>
      </w:pPr>
    </w:p>
    <w:p>
      <w:pPr>
        <w:jc w:val="both"/>
        <w:ind w:left="340" w:hanging="332"/>
        <w:spacing w:after="0" w:line="251" w:lineRule="auto"/>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Reflects the target number of TSR PSUs that were issued in February 2021 and that were scheduled to vest in January 2024, subject to the achievement of performance conditions. The number of TSR PSUs that actually vested in January 2024 for each NEO was as follows: Mr. Le Peuch — 56,900; Mr. Biguet — 17,340; Mr. Al Mogharbel</w:t>
      </w:r>
    </w:p>
    <w:p>
      <w:pPr>
        <w:spacing w:after="0" w:line="1" w:lineRule="exact"/>
        <w:rPr>
          <w:rFonts w:ascii="Arial" w:cs="Arial" w:eastAsia="Arial" w:hAnsi="Arial"/>
          <w:sz w:val="14"/>
          <w:szCs w:val="14"/>
          <w:color w:val="auto"/>
        </w:rPr>
      </w:pPr>
    </w:p>
    <w:p>
      <w:pPr>
        <w:ind w:left="340"/>
        <w:spacing w:after="0"/>
        <w:rPr>
          <w:rFonts w:ascii="Arial" w:cs="Arial" w:eastAsia="Arial" w:hAnsi="Arial"/>
          <w:sz w:val="14"/>
          <w:szCs w:val="14"/>
          <w:color w:val="auto"/>
        </w:rPr>
      </w:pPr>
      <w:r>
        <w:rPr>
          <w:rFonts w:ascii="Arial" w:cs="Arial" w:eastAsia="Arial" w:hAnsi="Arial"/>
          <w:sz w:val="14"/>
          <w:szCs w:val="14"/>
          <w:color w:val="auto"/>
        </w:rPr>
        <w:t>— 18,969; Mr. Merad — 17,340; and Ms. Ralston — 17,340.</w:t>
      </w:r>
    </w:p>
    <w:p>
      <w:pPr>
        <w:spacing w:after="0" w:line="41" w:lineRule="exact"/>
        <w:rPr>
          <w:rFonts w:ascii="Arial" w:cs="Arial" w:eastAsia="Arial" w:hAnsi="Arial"/>
          <w:sz w:val="14"/>
          <w:szCs w:val="14"/>
          <w:color w:val="auto"/>
        </w:rPr>
      </w:pPr>
    </w:p>
    <w:p>
      <w:pPr>
        <w:ind w:left="340" w:hanging="332"/>
        <w:spacing w:after="0" w:line="281" w:lineRule="auto"/>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Reflects the target number of FCF Margin PSUs, ROCE PSUs, and TSR PSUs that were issued in January 2022 and, solely to Mr. Merad, April 2022, and that will vest, if at all, in January 2025, subject to the achievement of performance conditions.</w:t>
      </w:r>
    </w:p>
    <w:p>
      <w:pPr>
        <w:spacing w:after="0" w:line="1" w:lineRule="exact"/>
        <w:rPr>
          <w:rFonts w:ascii="Arial" w:cs="Arial" w:eastAsia="Arial" w:hAnsi="Arial"/>
          <w:sz w:val="14"/>
          <w:szCs w:val="14"/>
          <w:color w:val="auto"/>
        </w:rPr>
      </w:pPr>
    </w:p>
    <w:p>
      <w:pPr>
        <w:ind w:left="340" w:hanging="332"/>
        <w:spacing w:after="0" w:line="262" w:lineRule="auto"/>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Reflects the number of three-year RSUs that were issued in January 2022 and that will vest on January 19, 2025, subject to continued employment with SLB through that date.</w:t>
      </w:r>
    </w:p>
    <w:p>
      <w:pPr>
        <w:spacing w:after="0" w:line="202" w:lineRule="exact"/>
        <w:rPr>
          <w:rFonts w:ascii="Arial" w:cs="Arial" w:eastAsia="Arial" w:hAnsi="Arial"/>
          <w:sz w:val="14"/>
          <w:szCs w:val="14"/>
          <w:color w:val="auto"/>
        </w:rPr>
      </w:pPr>
    </w:p>
    <w:p>
      <w:pPr>
        <w:ind w:left="340" w:hanging="332"/>
        <w:spacing w:after="0" w:line="281" w:lineRule="auto"/>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Reflects the target number of FCF Margin PSUs, ROCE PSUs, and TSR PSUs that were issued in January 2023 and that will vest, if at all, in January 2026, subject to the achievement of performance conditions.</w:t>
      </w:r>
    </w:p>
    <w:p>
      <w:pPr>
        <w:spacing w:after="0" w:line="1" w:lineRule="exact"/>
        <w:rPr>
          <w:rFonts w:ascii="Arial" w:cs="Arial" w:eastAsia="Arial" w:hAnsi="Arial"/>
          <w:sz w:val="14"/>
          <w:szCs w:val="14"/>
          <w:color w:val="auto"/>
        </w:rPr>
      </w:pPr>
    </w:p>
    <w:p>
      <w:pPr>
        <w:ind w:left="340" w:hanging="332"/>
        <w:spacing w:after="0" w:line="262" w:lineRule="auto"/>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Reflects the number of three-year RSUs that were issued in January 2023 and that will vest on January 18, 2026, subject to continued employment with SLB through that date.</w:t>
      </w:r>
    </w:p>
    <w:p>
      <w:pPr>
        <w:spacing w:after="0" w:line="202" w:lineRule="exact"/>
        <w:rPr>
          <w:rFonts w:ascii="Arial" w:cs="Arial" w:eastAsia="Arial" w:hAnsi="Arial"/>
          <w:sz w:val="14"/>
          <w:szCs w:val="14"/>
          <w:color w:val="auto"/>
        </w:rPr>
      </w:pPr>
    </w:p>
    <w:p>
      <w:pPr>
        <w:ind w:left="340" w:hanging="332"/>
        <w:spacing w:after="0" w:line="285" w:lineRule="auto"/>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Reflects the number of three-year RSUs that were issued to Mr. Merad in April 2022 and that will vest on April 19, 2025, subject to his continued employment with SLB through that date.</w:t>
      </w:r>
    </w:p>
    <w:p>
      <w:pPr>
        <w:spacing w:after="0" w:line="337" w:lineRule="exact"/>
        <w:rPr>
          <w:sz w:val="20"/>
          <w:szCs w:val="20"/>
          <w:color w:val="auto"/>
        </w:rPr>
      </w:pPr>
    </w:p>
    <w:p>
      <w:pPr>
        <w:spacing w:after="0"/>
        <w:rPr>
          <w:sz w:val="20"/>
          <w:szCs w:val="20"/>
          <w:color w:val="auto"/>
        </w:rPr>
      </w:pPr>
      <w:r>
        <w:rPr>
          <w:rFonts w:ascii="Arial" w:cs="Arial" w:eastAsia="Arial" w:hAnsi="Arial"/>
          <w:sz w:val="29"/>
          <w:szCs w:val="29"/>
          <w:color w:val="16458B"/>
        </w:rPr>
        <w:t>Option Exercises and Stock Vested in 2023</w:t>
      </w:r>
    </w:p>
    <w:p>
      <w:pPr>
        <w:spacing w:after="0" w:line="211"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The following table provides additional information regarding stock options that were exercised and PSU and RSU awards that vested during 2023 for our NEOs.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00" w:type="dxa"/>
            <w:vAlign w:val="bottom"/>
          </w:tcPr>
          <w:p>
            <w:pPr>
              <w:spacing w:after="0"/>
              <w:rPr>
                <w:sz w:val="18"/>
                <w:szCs w:val="18"/>
                <w:color w:val="auto"/>
              </w:rPr>
            </w:pPr>
          </w:p>
        </w:tc>
        <w:tc>
          <w:tcPr>
            <w:tcW w:w="3300" w:type="dxa"/>
            <w:vAlign w:val="bottom"/>
            <w:gridSpan w:val="3"/>
          </w:tcPr>
          <w:p>
            <w:pPr>
              <w:ind w:left="920"/>
              <w:spacing w:after="0"/>
              <w:rPr>
                <w:sz w:val="20"/>
                <w:szCs w:val="20"/>
                <w:color w:val="auto"/>
              </w:rPr>
            </w:pPr>
            <w:r>
              <w:rPr>
                <w:rFonts w:ascii="Arial" w:cs="Arial" w:eastAsia="Arial" w:hAnsi="Arial"/>
                <w:sz w:val="16"/>
                <w:szCs w:val="16"/>
                <w:b w:val="1"/>
                <w:bCs w:val="1"/>
                <w:color w:val="0233A1"/>
              </w:rPr>
              <w:t>Option Awards</w:t>
            </w:r>
          </w:p>
        </w:tc>
        <w:tc>
          <w:tcPr>
            <w:tcW w:w="3140" w:type="dxa"/>
            <w:vAlign w:val="bottom"/>
            <w:gridSpan w:val="2"/>
          </w:tcPr>
          <w:p>
            <w:pPr>
              <w:jc w:val="right"/>
              <w:ind w:right="959"/>
              <w:spacing w:after="0"/>
              <w:rPr>
                <w:sz w:val="20"/>
                <w:szCs w:val="20"/>
                <w:color w:val="auto"/>
              </w:rPr>
            </w:pPr>
            <w:r>
              <w:rPr>
                <w:rFonts w:ascii="Arial" w:cs="Arial" w:eastAsia="Arial" w:hAnsi="Arial"/>
                <w:sz w:val="16"/>
                <w:szCs w:val="16"/>
                <w:b w:val="1"/>
                <w:bCs w:val="1"/>
                <w:color w:val="0233A1"/>
              </w:rPr>
              <w:t>Stock Awards</w:t>
            </w:r>
          </w:p>
        </w:tc>
      </w:tr>
      <w:tr>
        <w:trPr>
          <w:trHeight w:val="168"/>
        </w:trPr>
        <w:tc>
          <w:tcPr>
            <w:tcW w:w="4800" w:type="dxa"/>
            <w:vAlign w:val="bottom"/>
          </w:tcPr>
          <w:p>
            <w:pPr>
              <w:spacing w:after="0"/>
              <w:rPr>
                <w:sz w:val="14"/>
                <w:szCs w:val="14"/>
                <w:color w:val="auto"/>
              </w:rPr>
            </w:pPr>
          </w:p>
        </w:tc>
        <w:tc>
          <w:tcPr>
            <w:tcW w:w="1760" w:type="dxa"/>
            <w:vAlign w:val="bottom"/>
            <w:tcBorders>
              <w:top w:val="single" w:sz="8" w:color="0233A1"/>
            </w:tcBorders>
          </w:tcPr>
          <w:p>
            <w:pPr>
              <w:jc w:val="right"/>
              <w:ind w:right="19"/>
              <w:spacing w:after="0" w:line="168" w:lineRule="exact"/>
              <w:rPr>
                <w:sz w:val="20"/>
                <w:szCs w:val="20"/>
                <w:color w:val="auto"/>
              </w:rPr>
            </w:pPr>
            <w:r>
              <w:rPr>
                <w:rFonts w:ascii="Arial" w:cs="Arial" w:eastAsia="Arial" w:hAnsi="Arial"/>
                <w:sz w:val="16"/>
                <w:szCs w:val="16"/>
                <w:b w:val="1"/>
                <w:bCs w:val="1"/>
                <w:color w:val="0233A1"/>
              </w:rPr>
              <w:t>Number of Shares</w:t>
            </w:r>
          </w:p>
        </w:tc>
        <w:tc>
          <w:tcPr>
            <w:tcW w:w="1220" w:type="dxa"/>
            <w:vAlign w:val="bottom"/>
            <w:tcBorders>
              <w:top w:val="single" w:sz="8" w:color="0233A1"/>
            </w:tcBorders>
          </w:tcPr>
          <w:p>
            <w:pPr>
              <w:jc w:val="right"/>
              <w:spacing w:after="0" w:line="168" w:lineRule="exact"/>
              <w:rPr>
                <w:sz w:val="20"/>
                <w:szCs w:val="20"/>
                <w:color w:val="auto"/>
              </w:rPr>
            </w:pPr>
            <w:r>
              <w:rPr>
                <w:rFonts w:ascii="Arial" w:cs="Arial" w:eastAsia="Arial" w:hAnsi="Arial"/>
                <w:sz w:val="16"/>
                <w:szCs w:val="16"/>
                <w:b w:val="1"/>
                <w:bCs w:val="1"/>
                <w:color w:val="0233A1"/>
              </w:rPr>
              <w:t>Value Realized</w:t>
            </w:r>
          </w:p>
        </w:tc>
        <w:tc>
          <w:tcPr>
            <w:tcW w:w="320" w:type="dxa"/>
            <w:vAlign w:val="bottom"/>
          </w:tcPr>
          <w:p>
            <w:pPr>
              <w:spacing w:after="0"/>
              <w:rPr>
                <w:sz w:val="14"/>
                <w:szCs w:val="14"/>
                <w:color w:val="auto"/>
              </w:rPr>
            </w:pPr>
          </w:p>
        </w:tc>
        <w:tc>
          <w:tcPr>
            <w:tcW w:w="1860" w:type="dxa"/>
            <w:vAlign w:val="bottom"/>
            <w:tcBorders>
              <w:top w:val="single" w:sz="8" w:color="0233A1"/>
            </w:tcBorders>
          </w:tcPr>
          <w:p>
            <w:pPr>
              <w:jc w:val="right"/>
              <w:ind w:right="202"/>
              <w:spacing w:after="0" w:line="168" w:lineRule="exact"/>
              <w:rPr>
                <w:sz w:val="20"/>
                <w:szCs w:val="20"/>
                <w:color w:val="auto"/>
              </w:rPr>
            </w:pPr>
            <w:r>
              <w:rPr>
                <w:rFonts w:ascii="Arial" w:cs="Arial" w:eastAsia="Arial" w:hAnsi="Arial"/>
                <w:sz w:val="16"/>
                <w:szCs w:val="16"/>
                <w:b w:val="1"/>
                <w:bCs w:val="1"/>
                <w:color w:val="0233A1"/>
              </w:rPr>
              <w:t>Number of Shares</w:t>
            </w:r>
          </w:p>
        </w:tc>
        <w:tc>
          <w:tcPr>
            <w:tcW w:w="1280" w:type="dxa"/>
            <w:vAlign w:val="bottom"/>
            <w:tcBorders>
              <w:top w:val="single" w:sz="8" w:color="0233A1"/>
            </w:tcBorders>
          </w:tcPr>
          <w:p>
            <w:pPr>
              <w:jc w:val="right"/>
              <w:spacing w:after="0" w:line="168" w:lineRule="exact"/>
              <w:rPr>
                <w:sz w:val="20"/>
                <w:szCs w:val="20"/>
                <w:color w:val="auto"/>
              </w:rPr>
            </w:pPr>
            <w:r>
              <w:rPr>
                <w:rFonts w:ascii="Arial" w:cs="Arial" w:eastAsia="Arial" w:hAnsi="Arial"/>
                <w:sz w:val="16"/>
                <w:szCs w:val="16"/>
                <w:b w:val="1"/>
                <w:bCs w:val="1"/>
                <w:color w:val="0233A1"/>
              </w:rPr>
              <w:t>Value Realized</w:t>
            </w:r>
          </w:p>
        </w:tc>
      </w:tr>
      <w:tr>
        <w:trPr>
          <w:trHeight w:val="189"/>
        </w:trPr>
        <w:tc>
          <w:tcPr>
            <w:tcW w:w="4800" w:type="dxa"/>
            <w:vAlign w:val="bottom"/>
          </w:tcPr>
          <w:p>
            <w:pPr>
              <w:spacing w:after="0"/>
              <w:rPr>
                <w:sz w:val="16"/>
                <w:szCs w:val="16"/>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b w:val="1"/>
                <w:bCs w:val="1"/>
                <w:color w:val="0233A1"/>
              </w:rPr>
              <w:t>Acquired on Exercise</w:t>
            </w:r>
          </w:p>
        </w:tc>
        <w:tc>
          <w:tcPr>
            <w:tcW w:w="1540" w:type="dxa"/>
            <w:vAlign w:val="bottom"/>
            <w:gridSpan w:val="2"/>
          </w:tcPr>
          <w:p>
            <w:pPr>
              <w:ind w:left="260"/>
              <w:spacing w:after="0"/>
              <w:rPr>
                <w:sz w:val="20"/>
                <w:szCs w:val="20"/>
                <w:color w:val="auto"/>
              </w:rPr>
            </w:pPr>
            <w:r>
              <w:rPr>
                <w:rFonts w:ascii="Arial" w:cs="Arial" w:eastAsia="Arial" w:hAnsi="Arial"/>
                <w:sz w:val="16"/>
                <w:szCs w:val="16"/>
                <w:b w:val="1"/>
                <w:bCs w:val="1"/>
                <w:color w:val="0233A1"/>
              </w:rPr>
              <w:t>on Exercise</w:t>
            </w:r>
          </w:p>
        </w:tc>
        <w:tc>
          <w:tcPr>
            <w:tcW w:w="1860" w:type="dxa"/>
            <w:vAlign w:val="bottom"/>
          </w:tcPr>
          <w:p>
            <w:pPr>
              <w:jc w:val="right"/>
              <w:ind w:right="202"/>
              <w:spacing w:after="0"/>
              <w:rPr>
                <w:sz w:val="20"/>
                <w:szCs w:val="20"/>
                <w:color w:val="auto"/>
              </w:rPr>
            </w:pPr>
            <w:r>
              <w:rPr>
                <w:rFonts w:ascii="Arial" w:cs="Arial" w:eastAsia="Arial" w:hAnsi="Arial"/>
                <w:sz w:val="16"/>
                <w:szCs w:val="16"/>
                <w:b w:val="1"/>
                <w:bCs w:val="1"/>
                <w:color w:val="0233A1"/>
              </w:rPr>
              <w:t>Acquired on Vesting</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0233A1"/>
              </w:rPr>
              <w:t>on Vesting</w:t>
            </w:r>
          </w:p>
        </w:tc>
      </w:tr>
      <w:tr>
        <w:trPr>
          <w:trHeight w:val="217"/>
        </w:trPr>
        <w:tc>
          <w:tcPr>
            <w:tcW w:w="4800" w:type="dxa"/>
            <w:vAlign w:val="bottom"/>
            <w:tcBorders>
              <w:bottom w:val="single" w:sz="8" w:color="0233A1"/>
            </w:tcBorders>
          </w:tcPr>
          <w:p>
            <w:pPr>
              <w:ind w:left="60"/>
              <w:spacing w:after="0"/>
              <w:rPr>
                <w:sz w:val="20"/>
                <w:szCs w:val="20"/>
                <w:color w:val="auto"/>
              </w:rPr>
            </w:pPr>
            <w:r>
              <w:rPr>
                <w:rFonts w:ascii="Arial" w:cs="Arial" w:eastAsia="Arial" w:hAnsi="Arial"/>
                <w:sz w:val="16"/>
                <w:szCs w:val="16"/>
                <w:b w:val="1"/>
                <w:bCs w:val="1"/>
                <w:color w:val="0233A1"/>
              </w:rPr>
              <w:t>Name</w:t>
            </w:r>
          </w:p>
        </w:tc>
        <w:tc>
          <w:tcPr>
            <w:tcW w:w="1760" w:type="dxa"/>
            <w:vAlign w:val="bottom"/>
            <w:tcBorders>
              <w:bottom w:val="single" w:sz="8" w:color="0233A1"/>
            </w:tcBorders>
          </w:tcPr>
          <w:p>
            <w:pPr>
              <w:jc w:val="right"/>
              <w:ind w:right="19"/>
              <w:spacing w:after="0"/>
              <w:rPr>
                <w:sz w:val="20"/>
                <w:szCs w:val="20"/>
                <w:color w:val="auto"/>
              </w:rPr>
            </w:pPr>
            <w:r>
              <w:rPr>
                <w:rFonts w:ascii="Arial" w:cs="Arial" w:eastAsia="Arial" w:hAnsi="Arial"/>
                <w:sz w:val="16"/>
                <w:szCs w:val="16"/>
                <w:b w:val="1"/>
                <w:bCs w:val="1"/>
                <w:color w:val="0233A1"/>
              </w:rPr>
              <w:t>(#)</w:t>
            </w:r>
          </w:p>
        </w:tc>
        <w:tc>
          <w:tcPr>
            <w:tcW w:w="1540" w:type="dxa"/>
            <w:vAlign w:val="bottom"/>
            <w:tcBorders>
              <w:bottom w:val="single" w:sz="8" w:color="0233A1"/>
            </w:tcBorders>
            <w:gridSpan w:val="2"/>
          </w:tcPr>
          <w:p>
            <w:pPr>
              <w:jc w:val="right"/>
              <w:ind w:right="320"/>
              <w:spacing w:after="0"/>
              <w:rPr>
                <w:sz w:val="20"/>
                <w:szCs w:val="20"/>
                <w:color w:val="auto"/>
              </w:rPr>
            </w:pPr>
            <w:r>
              <w:rPr>
                <w:rFonts w:ascii="Arial" w:cs="Arial" w:eastAsia="Arial" w:hAnsi="Arial"/>
                <w:sz w:val="16"/>
                <w:szCs w:val="16"/>
                <w:b w:val="1"/>
                <w:bCs w:val="1"/>
                <w:color w:val="0233A1"/>
              </w:rPr>
              <w:t>($)</w:t>
            </w:r>
          </w:p>
        </w:tc>
        <w:tc>
          <w:tcPr>
            <w:tcW w:w="1860" w:type="dxa"/>
            <w:vAlign w:val="bottom"/>
            <w:tcBorders>
              <w:bottom w:val="single" w:sz="8" w:color="0233A1"/>
            </w:tcBorders>
          </w:tcPr>
          <w:p>
            <w:pPr>
              <w:jc w:val="right"/>
              <w:ind w:right="202"/>
              <w:spacing w:after="0"/>
              <w:rPr>
                <w:sz w:val="20"/>
                <w:szCs w:val="20"/>
                <w:color w:val="auto"/>
              </w:rPr>
            </w:pPr>
            <w:r>
              <w:rPr>
                <w:rFonts w:ascii="Arial" w:cs="Arial" w:eastAsia="Arial" w:hAnsi="Arial"/>
                <w:sz w:val="16"/>
                <w:szCs w:val="16"/>
                <w:b w:val="1"/>
                <w:bCs w:val="1"/>
                <w:color w:val="0233A1"/>
              </w:rPr>
              <w:t>(#)</w:t>
            </w:r>
          </w:p>
        </w:tc>
        <w:tc>
          <w:tcPr>
            <w:tcW w:w="1280" w:type="dxa"/>
            <w:vAlign w:val="bottom"/>
            <w:tcBorders>
              <w:bottom w:val="single" w:sz="8" w:color="0233A1"/>
            </w:tcBorders>
          </w:tcPr>
          <w:p>
            <w:pPr>
              <w:jc w:val="right"/>
              <w:spacing w:after="0"/>
              <w:rPr>
                <w:sz w:val="20"/>
                <w:szCs w:val="20"/>
                <w:color w:val="auto"/>
              </w:rPr>
            </w:pPr>
            <w:r>
              <w:rPr>
                <w:rFonts w:ascii="Arial" w:cs="Arial" w:eastAsia="Arial" w:hAnsi="Arial"/>
                <w:sz w:val="16"/>
                <w:szCs w:val="16"/>
                <w:b w:val="1"/>
                <w:bCs w:val="1"/>
                <w:color w:val="0233A1"/>
              </w:rPr>
              <w:t>($)</w:t>
            </w:r>
          </w:p>
        </w:tc>
      </w:tr>
      <w:tr>
        <w:trPr>
          <w:trHeight w:val="222"/>
        </w:trPr>
        <w:tc>
          <w:tcPr>
            <w:tcW w:w="4800" w:type="dxa"/>
            <w:vAlign w:val="bottom"/>
          </w:tcPr>
          <w:p>
            <w:pPr>
              <w:ind w:left="60"/>
              <w:spacing w:after="0"/>
              <w:rPr>
                <w:sz w:val="20"/>
                <w:szCs w:val="20"/>
                <w:color w:val="auto"/>
              </w:rPr>
            </w:pPr>
            <w:r>
              <w:rPr>
                <w:rFonts w:ascii="Arial" w:cs="Arial" w:eastAsia="Arial" w:hAnsi="Arial"/>
                <w:sz w:val="16"/>
                <w:szCs w:val="16"/>
                <w:color w:val="auto"/>
              </w:rPr>
              <w:t>O. Le Peuch</w:t>
            </w: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42"/>
              <w:spacing w:after="0" w:line="222"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2"/>
                <w:szCs w:val="12"/>
                <w:color w:val="auto"/>
              </w:rPr>
              <w:t>(1)</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800" w:type="dxa"/>
            <w:vAlign w:val="bottom"/>
          </w:tcPr>
          <w:p>
            <w:pPr>
              <w:ind w:left="60"/>
              <w:spacing w:after="0"/>
              <w:rPr>
                <w:sz w:val="20"/>
                <w:szCs w:val="20"/>
                <w:color w:val="auto"/>
              </w:rPr>
            </w:pPr>
            <w:r>
              <w:rPr>
                <w:rFonts w:ascii="Arial" w:cs="Arial" w:eastAsia="Arial" w:hAnsi="Arial"/>
                <w:sz w:val="16"/>
                <w:szCs w:val="16"/>
                <w:color w:val="auto"/>
              </w:rPr>
              <w:t>S. Biguet</w:t>
            </w: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202"/>
              <w:spacing w:after="0"/>
              <w:rPr>
                <w:sz w:val="20"/>
                <w:szCs w:val="20"/>
                <w:color w:val="auto"/>
              </w:rPr>
            </w:pPr>
            <w:r>
              <w:rPr>
                <w:rFonts w:ascii="Arial" w:cs="Arial" w:eastAsia="Arial" w:hAnsi="Arial"/>
                <w:sz w:val="16"/>
                <w:szCs w:val="16"/>
                <w:color w:val="auto"/>
              </w:rPr>
              <w:t>189,950</w:t>
            </w:r>
          </w:p>
        </w:tc>
        <w:tc>
          <w:tcPr>
            <w:tcW w:w="1280" w:type="dxa"/>
            <w:vAlign w:val="bottom"/>
          </w:tcPr>
          <w:p>
            <w:pPr>
              <w:jc w:val="right"/>
              <w:spacing w:after="0"/>
              <w:rPr>
                <w:sz w:val="20"/>
                <w:szCs w:val="20"/>
                <w:color w:val="auto"/>
              </w:rPr>
            </w:pPr>
            <w:r>
              <w:rPr>
                <w:rFonts w:ascii="Arial" w:cs="Arial" w:eastAsia="Arial" w:hAnsi="Arial"/>
                <w:sz w:val="16"/>
                <w:szCs w:val="16"/>
                <w:color w:val="auto"/>
              </w:rPr>
              <w:t>10,896,672</w:t>
            </w:r>
          </w:p>
        </w:tc>
      </w:tr>
      <w:tr>
        <w:trPr>
          <w:trHeight w:val="216"/>
        </w:trPr>
        <w:tc>
          <w:tcPr>
            <w:tcW w:w="4800" w:type="dxa"/>
            <w:vAlign w:val="bottom"/>
          </w:tcPr>
          <w:p>
            <w:pPr>
              <w:ind w:left="60"/>
              <w:spacing w:after="0"/>
              <w:rPr>
                <w:sz w:val="20"/>
                <w:szCs w:val="20"/>
                <w:color w:val="auto"/>
              </w:rPr>
            </w:pPr>
            <w:r>
              <w:rPr>
                <w:rFonts w:ascii="Arial" w:cs="Arial" w:eastAsia="Arial" w:hAnsi="Arial"/>
                <w:sz w:val="16"/>
                <w:szCs w:val="16"/>
                <w:color w:val="auto"/>
              </w:rPr>
              <w:t>K. Al Mogharbel</w:t>
            </w: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202"/>
              <w:spacing w:after="0"/>
              <w:rPr>
                <w:sz w:val="20"/>
                <w:szCs w:val="20"/>
                <w:color w:val="auto"/>
              </w:rPr>
            </w:pPr>
            <w:r>
              <w:rPr>
                <w:rFonts w:ascii="Arial" w:cs="Arial" w:eastAsia="Arial" w:hAnsi="Arial"/>
                <w:sz w:val="16"/>
                <w:szCs w:val="16"/>
                <w:color w:val="auto"/>
              </w:rPr>
              <w:t>282,650</w:t>
            </w:r>
          </w:p>
        </w:tc>
        <w:tc>
          <w:tcPr>
            <w:tcW w:w="1280" w:type="dxa"/>
            <w:vAlign w:val="bottom"/>
          </w:tcPr>
          <w:p>
            <w:pPr>
              <w:jc w:val="right"/>
              <w:spacing w:after="0"/>
              <w:rPr>
                <w:sz w:val="20"/>
                <w:szCs w:val="20"/>
                <w:color w:val="auto"/>
              </w:rPr>
            </w:pPr>
            <w:r>
              <w:rPr>
                <w:rFonts w:ascii="Arial" w:cs="Arial" w:eastAsia="Arial" w:hAnsi="Arial"/>
                <w:sz w:val="16"/>
                <w:szCs w:val="16"/>
                <w:color w:val="auto"/>
              </w:rPr>
              <w:t>16,214,500</w:t>
            </w:r>
          </w:p>
        </w:tc>
      </w:tr>
      <w:tr>
        <w:trPr>
          <w:trHeight w:val="216"/>
        </w:trPr>
        <w:tc>
          <w:tcPr>
            <w:tcW w:w="4800" w:type="dxa"/>
            <w:vAlign w:val="bottom"/>
          </w:tcPr>
          <w:p>
            <w:pPr>
              <w:ind w:left="60"/>
              <w:spacing w:after="0"/>
              <w:rPr>
                <w:sz w:val="20"/>
                <w:szCs w:val="20"/>
                <w:color w:val="auto"/>
              </w:rPr>
            </w:pPr>
            <w:r>
              <w:rPr>
                <w:rFonts w:ascii="Arial" w:cs="Arial" w:eastAsia="Arial" w:hAnsi="Arial"/>
                <w:sz w:val="16"/>
                <w:szCs w:val="16"/>
                <w:color w:val="auto"/>
              </w:rPr>
              <w:t>A. Merad</w:t>
            </w: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202"/>
              <w:spacing w:after="0"/>
              <w:rPr>
                <w:sz w:val="20"/>
                <w:szCs w:val="20"/>
                <w:color w:val="auto"/>
              </w:rPr>
            </w:pPr>
            <w:r>
              <w:rPr>
                <w:rFonts w:ascii="Arial" w:cs="Arial" w:eastAsia="Arial" w:hAnsi="Arial"/>
                <w:sz w:val="16"/>
                <w:szCs w:val="16"/>
                <w:color w:val="auto"/>
              </w:rPr>
              <w:t>243,150</w:t>
            </w:r>
          </w:p>
        </w:tc>
        <w:tc>
          <w:tcPr>
            <w:tcW w:w="1280" w:type="dxa"/>
            <w:vAlign w:val="bottom"/>
          </w:tcPr>
          <w:p>
            <w:pPr>
              <w:jc w:val="right"/>
              <w:spacing w:after="0"/>
              <w:rPr>
                <w:sz w:val="20"/>
                <w:szCs w:val="20"/>
                <w:color w:val="auto"/>
              </w:rPr>
            </w:pPr>
            <w:r>
              <w:rPr>
                <w:rFonts w:ascii="Arial" w:cs="Arial" w:eastAsia="Arial" w:hAnsi="Arial"/>
                <w:sz w:val="16"/>
                <w:szCs w:val="16"/>
                <w:color w:val="auto"/>
              </w:rPr>
              <w:t>13,948,543</w:t>
            </w:r>
          </w:p>
        </w:tc>
      </w:tr>
      <w:tr>
        <w:trPr>
          <w:trHeight w:val="225"/>
        </w:trPr>
        <w:tc>
          <w:tcPr>
            <w:tcW w:w="4800" w:type="dxa"/>
            <w:vAlign w:val="bottom"/>
            <w:tcBorders>
              <w:bottom w:val="single" w:sz="8" w:color="0233A1"/>
            </w:tcBorders>
          </w:tcPr>
          <w:p>
            <w:pPr>
              <w:ind w:left="60"/>
              <w:spacing w:after="0"/>
              <w:rPr>
                <w:sz w:val="20"/>
                <w:szCs w:val="20"/>
                <w:color w:val="auto"/>
              </w:rPr>
            </w:pPr>
            <w:r>
              <w:rPr>
                <w:rFonts w:ascii="Arial" w:cs="Arial" w:eastAsia="Arial" w:hAnsi="Arial"/>
                <w:sz w:val="16"/>
                <w:szCs w:val="16"/>
                <w:color w:val="auto"/>
              </w:rPr>
              <w:t>D. Ralston</w:t>
            </w:r>
          </w:p>
        </w:tc>
        <w:tc>
          <w:tcPr>
            <w:tcW w:w="1760" w:type="dxa"/>
            <w:vAlign w:val="bottom"/>
            <w:tcBorders>
              <w:bottom w:val="single" w:sz="8" w:color="0233A1"/>
            </w:tcBorders>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0233A1"/>
            </w:tcBorders>
            <w:gridSpan w:val="2"/>
          </w:tcPr>
          <w:p>
            <w:pPr>
              <w:jc w:val="right"/>
              <w:ind w:right="320"/>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0233A1"/>
            </w:tcBorders>
          </w:tcPr>
          <w:p>
            <w:pPr>
              <w:jc w:val="right"/>
              <w:ind w:right="202"/>
              <w:spacing w:after="0"/>
              <w:rPr>
                <w:sz w:val="20"/>
                <w:szCs w:val="20"/>
                <w:color w:val="auto"/>
              </w:rPr>
            </w:pPr>
            <w:r>
              <w:rPr>
                <w:rFonts w:ascii="Arial" w:cs="Arial" w:eastAsia="Arial" w:hAnsi="Arial"/>
                <w:sz w:val="16"/>
                <w:szCs w:val="16"/>
                <w:color w:val="auto"/>
              </w:rPr>
              <w:t>146,504</w:t>
            </w:r>
          </w:p>
        </w:tc>
        <w:tc>
          <w:tcPr>
            <w:tcW w:w="1280" w:type="dxa"/>
            <w:vAlign w:val="bottom"/>
            <w:tcBorders>
              <w:bottom w:val="single" w:sz="8" w:color="0233A1"/>
            </w:tcBorders>
          </w:tcPr>
          <w:p>
            <w:pPr>
              <w:jc w:val="right"/>
              <w:spacing w:after="0"/>
              <w:rPr>
                <w:sz w:val="20"/>
                <w:szCs w:val="20"/>
                <w:color w:val="auto"/>
              </w:rPr>
            </w:pPr>
            <w:r>
              <w:rPr>
                <w:rFonts w:ascii="Arial" w:cs="Arial" w:eastAsia="Arial" w:hAnsi="Arial"/>
                <w:sz w:val="16"/>
                <w:szCs w:val="16"/>
                <w:color w:val="auto"/>
              </w:rPr>
              <w:t>8,232,851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8255"/>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8255"/>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8890"/>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-565150</wp:posOffset>
            </wp:positionV>
            <wp:extent cx="7132320" cy="8255"/>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Because Mr. Le Peuch did not receive any LTI award in 2020, he did not vest in any PSUs or RSUs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203835</wp:posOffset>
            </wp:positionV>
            <wp:extent cx="471805" cy="282575"/>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2024 Proxy Statement</w:t>
            </w:r>
          </w:p>
        </w:tc>
        <w:tc>
          <w:tcPr>
            <w:tcW w:w="3600" w:type="dxa"/>
            <w:vAlign w:val="bottom"/>
            <w:tcBorders>
              <w:bottom w:val="single" w:sz="8" w:color="auto"/>
            </w:tcBorders>
          </w:tcPr>
          <w:p>
            <w:pPr>
              <w:spacing w:after="0"/>
              <w:rPr>
                <w:sz w:val="12"/>
                <w:szCs w:val="12"/>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53</w:t>
            </w:r>
          </w:p>
        </w:tc>
        <w:tc>
          <w:tcPr>
            <w:tcW w:w="4480" w:type="dxa"/>
            <w:vAlign w:val="bottom"/>
            <w:tcBorders>
              <w:bottom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36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48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5" w:right="339" w:bottom="1440" w:gutter="0" w:footer="0" w:header="0"/>
        </w:sectPr>
      </w:pPr>
    </w:p>
    <w:bookmarkStart w:id="58" w:name="page59"/>
    <w:bookmarkEnd w:id="58"/>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color w:val="16458B"/>
        </w:rPr>
        <w:t>Pension Benefits</w:t>
      </w:r>
    </w:p>
    <w:p>
      <w:pPr>
        <w:spacing w:after="0" w:line="211"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We maintain the following pension plans for our NEOs and other employees who began employment with SLB at times when new hires were eligible to participate. These plans provide for lifetime pensions upon retirement, based on years of service:</w:t>
      </w:r>
    </w:p>
    <w:p>
      <w:pPr>
        <w:spacing w:after="0" w:line="142" w:lineRule="exact"/>
        <w:rPr>
          <w:sz w:val="20"/>
          <w:szCs w:val="20"/>
          <w:color w:val="auto"/>
        </w:rPr>
      </w:pPr>
    </w:p>
    <w:p>
      <w:pPr>
        <w:ind w:left="500" w:hanging="168"/>
        <w:spacing w:after="0"/>
        <w:tabs>
          <w:tab w:leader="none" w:pos="500" w:val="left"/>
        </w:tabs>
        <w:numPr>
          <w:ilvl w:val="0"/>
          <w:numId w:val="48"/>
        </w:numPr>
        <w:rPr>
          <w:rFonts w:ascii="Arial" w:cs="Arial" w:eastAsia="Arial" w:hAnsi="Arial"/>
          <w:sz w:val="16"/>
          <w:szCs w:val="16"/>
          <w:b w:val="1"/>
          <w:bCs w:val="1"/>
          <w:color w:val="0233A1"/>
        </w:rPr>
      </w:pPr>
      <w:r>
        <w:rPr>
          <w:rFonts w:ascii="Arial" w:cs="Arial" w:eastAsia="Arial" w:hAnsi="Arial"/>
          <w:sz w:val="16"/>
          <w:szCs w:val="16"/>
          <w:color w:val="auto"/>
        </w:rPr>
        <w:t>Schlumberger Technology Corporation Pension Plan (</w:t>
      </w:r>
      <w:r>
        <w:rPr>
          <w:rFonts w:ascii="Arial" w:cs="Arial" w:eastAsia="Arial" w:hAnsi="Arial"/>
          <w:sz w:val="16"/>
          <w:szCs w:val="16"/>
          <w:b w:val="1"/>
          <w:bCs w:val="1"/>
          <w:color w:val="auto"/>
        </w:rPr>
        <w:t>STC Pension Plan</w:t>
      </w:r>
      <w:r>
        <w:rPr>
          <w:rFonts w:ascii="Arial" w:cs="Arial" w:eastAsia="Arial" w:hAnsi="Arial"/>
          <w:sz w:val="16"/>
          <w:szCs w:val="16"/>
          <w:color w:val="auto"/>
        </w:rPr>
        <w:t>),</w:t>
      </w:r>
    </w:p>
    <w:p>
      <w:pPr>
        <w:spacing w:after="0" w:line="99" w:lineRule="exact"/>
        <w:rPr>
          <w:rFonts w:ascii="Arial" w:cs="Arial" w:eastAsia="Arial" w:hAnsi="Arial"/>
          <w:sz w:val="16"/>
          <w:szCs w:val="16"/>
          <w:b w:val="1"/>
          <w:bCs w:val="1"/>
          <w:color w:val="0233A1"/>
        </w:rPr>
      </w:pPr>
    </w:p>
    <w:p>
      <w:pPr>
        <w:ind w:left="500" w:hanging="168"/>
        <w:spacing w:after="0"/>
        <w:tabs>
          <w:tab w:leader="none" w:pos="500" w:val="left"/>
        </w:tabs>
        <w:numPr>
          <w:ilvl w:val="0"/>
          <w:numId w:val="48"/>
        </w:numPr>
        <w:rPr>
          <w:rFonts w:ascii="Arial" w:cs="Arial" w:eastAsia="Arial" w:hAnsi="Arial"/>
          <w:sz w:val="16"/>
          <w:szCs w:val="16"/>
          <w:b w:val="1"/>
          <w:bCs w:val="1"/>
          <w:color w:val="0233A1"/>
        </w:rPr>
      </w:pPr>
      <w:r>
        <w:rPr>
          <w:rFonts w:ascii="Arial" w:cs="Arial" w:eastAsia="Arial" w:hAnsi="Arial"/>
          <w:sz w:val="16"/>
          <w:szCs w:val="16"/>
          <w:color w:val="auto"/>
        </w:rPr>
        <w:t>Schlumberger Technology Corporation Supplementary Benefit Plan (</w:t>
      </w:r>
      <w:r>
        <w:rPr>
          <w:rFonts w:ascii="Arial" w:cs="Arial" w:eastAsia="Arial" w:hAnsi="Arial"/>
          <w:sz w:val="16"/>
          <w:szCs w:val="16"/>
          <w:b w:val="1"/>
          <w:bCs w:val="1"/>
          <w:color w:val="auto"/>
        </w:rPr>
        <w:t>STC Supplementary Plan</w:t>
      </w:r>
      <w:r>
        <w:rPr>
          <w:rFonts w:ascii="Arial" w:cs="Arial" w:eastAsia="Arial" w:hAnsi="Arial"/>
          <w:sz w:val="16"/>
          <w:szCs w:val="16"/>
          <w:color w:val="auto"/>
        </w:rPr>
        <w:t>),</w:t>
      </w:r>
    </w:p>
    <w:p>
      <w:pPr>
        <w:spacing w:after="0" w:line="99" w:lineRule="exact"/>
        <w:rPr>
          <w:rFonts w:ascii="Arial" w:cs="Arial" w:eastAsia="Arial" w:hAnsi="Arial"/>
          <w:sz w:val="16"/>
          <w:szCs w:val="16"/>
          <w:b w:val="1"/>
          <w:bCs w:val="1"/>
          <w:color w:val="0233A1"/>
        </w:rPr>
      </w:pPr>
    </w:p>
    <w:p>
      <w:pPr>
        <w:ind w:left="500" w:hanging="168"/>
        <w:spacing w:after="0"/>
        <w:tabs>
          <w:tab w:leader="none" w:pos="500" w:val="left"/>
        </w:tabs>
        <w:numPr>
          <w:ilvl w:val="0"/>
          <w:numId w:val="48"/>
        </w:numPr>
        <w:rPr>
          <w:rFonts w:ascii="Arial" w:cs="Arial" w:eastAsia="Arial" w:hAnsi="Arial"/>
          <w:sz w:val="16"/>
          <w:szCs w:val="16"/>
          <w:b w:val="1"/>
          <w:bCs w:val="1"/>
          <w:color w:val="0233A1"/>
        </w:rPr>
      </w:pPr>
      <w:r>
        <w:rPr>
          <w:rFonts w:ascii="Arial" w:cs="Arial" w:eastAsia="Arial" w:hAnsi="Arial"/>
          <w:sz w:val="16"/>
          <w:szCs w:val="16"/>
          <w:color w:val="auto"/>
        </w:rPr>
        <w:t>Schlumberger Limited Supplementary Benefit Plan (</w:t>
      </w:r>
      <w:r>
        <w:rPr>
          <w:rFonts w:ascii="Arial" w:cs="Arial" w:eastAsia="Arial" w:hAnsi="Arial"/>
          <w:sz w:val="16"/>
          <w:szCs w:val="16"/>
          <w:b w:val="1"/>
          <w:bCs w:val="1"/>
          <w:color w:val="auto"/>
        </w:rPr>
        <w:t>SLB Supplementary Plan</w:t>
      </w:r>
      <w:r>
        <w:rPr>
          <w:rFonts w:ascii="Arial" w:cs="Arial" w:eastAsia="Arial" w:hAnsi="Arial"/>
          <w:sz w:val="16"/>
          <w:szCs w:val="16"/>
          <w:color w:val="auto"/>
        </w:rPr>
        <w:t>), and</w:t>
      </w:r>
    </w:p>
    <w:p>
      <w:pPr>
        <w:spacing w:after="0" w:line="99" w:lineRule="exact"/>
        <w:rPr>
          <w:rFonts w:ascii="Arial" w:cs="Arial" w:eastAsia="Arial" w:hAnsi="Arial"/>
          <w:sz w:val="16"/>
          <w:szCs w:val="16"/>
          <w:b w:val="1"/>
          <w:bCs w:val="1"/>
          <w:color w:val="0233A1"/>
        </w:rPr>
      </w:pPr>
    </w:p>
    <w:p>
      <w:pPr>
        <w:ind w:left="500" w:hanging="168"/>
        <w:spacing w:after="0"/>
        <w:tabs>
          <w:tab w:leader="none" w:pos="500" w:val="left"/>
        </w:tabs>
        <w:numPr>
          <w:ilvl w:val="0"/>
          <w:numId w:val="48"/>
        </w:numPr>
        <w:rPr>
          <w:rFonts w:ascii="Arial" w:cs="Arial" w:eastAsia="Arial" w:hAnsi="Arial"/>
          <w:sz w:val="16"/>
          <w:szCs w:val="16"/>
          <w:b w:val="1"/>
          <w:bCs w:val="1"/>
          <w:color w:val="0233A1"/>
        </w:rPr>
      </w:pPr>
      <w:r>
        <w:rPr>
          <w:rFonts w:ascii="Arial" w:cs="Arial" w:eastAsia="Arial" w:hAnsi="Arial"/>
          <w:sz w:val="16"/>
          <w:szCs w:val="16"/>
          <w:color w:val="auto"/>
        </w:rPr>
        <w:t>Schlumberger International Staff Pension Plan (</w:t>
      </w:r>
      <w:r>
        <w:rPr>
          <w:rFonts w:ascii="Arial" w:cs="Arial" w:eastAsia="Arial" w:hAnsi="Arial"/>
          <w:sz w:val="16"/>
          <w:szCs w:val="16"/>
          <w:b w:val="1"/>
          <w:bCs w:val="1"/>
          <w:color w:val="auto"/>
        </w:rPr>
        <w:t>International Staff Pension Plan</w:t>
      </w:r>
      <w:r>
        <w:rPr>
          <w:rFonts w:ascii="Arial" w:cs="Arial" w:eastAsia="Arial" w:hAnsi="Arial"/>
          <w:sz w:val="16"/>
          <w:szCs w:val="16"/>
          <w:color w:val="auto"/>
        </w:rPr>
        <w:t>).</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and the discussion below provide information regarding pension benefits payable to our NEOs.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94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2380" w:type="dxa"/>
            <w:vAlign w:val="bottom"/>
          </w:tcPr>
          <w:p>
            <w:pPr>
              <w:jc w:val="right"/>
              <w:spacing w:after="0"/>
              <w:rPr>
                <w:sz w:val="20"/>
                <w:szCs w:val="20"/>
                <w:color w:val="auto"/>
              </w:rPr>
            </w:pPr>
            <w:r>
              <w:rPr>
                <w:rFonts w:ascii="Arial" w:cs="Arial" w:eastAsia="Arial" w:hAnsi="Arial"/>
                <w:sz w:val="16"/>
                <w:szCs w:val="16"/>
                <w:b w:val="1"/>
                <w:bCs w:val="1"/>
                <w:color w:val="0233A1"/>
              </w:rPr>
              <w:t>Number of Years</w:t>
            </w:r>
          </w:p>
        </w:tc>
        <w:tc>
          <w:tcPr>
            <w:tcW w:w="240" w:type="dxa"/>
            <w:vAlign w:val="bottom"/>
          </w:tcPr>
          <w:p>
            <w:pPr>
              <w:spacing w:after="0"/>
              <w:rPr>
                <w:sz w:val="16"/>
                <w:szCs w:val="16"/>
                <w:color w:val="auto"/>
              </w:rPr>
            </w:pPr>
          </w:p>
        </w:tc>
        <w:tc>
          <w:tcPr>
            <w:tcW w:w="1580" w:type="dxa"/>
            <w:vAlign w:val="bottom"/>
          </w:tcPr>
          <w:p>
            <w:pPr>
              <w:jc w:val="right"/>
              <w:ind w:right="160"/>
              <w:spacing w:after="0"/>
              <w:rPr>
                <w:sz w:val="20"/>
                <w:szCs w:val="20"/>
                <w:color w:val="auto"/>
              </w:rPr>
            </w:pPr>
            <w:r>
              <w:rPr>
                <w:rFonts w:ascii="Arial" w:cs="Arial" w:eastAsia="Arial" w:hAnsi="Arial"/>
                <w:sz w:val="16"/>
                <w:szCs w:val="16"/>
                <w:b w:val="1"/>
                <w:bCs w:val="1"/>
                <w:color w:val="0233A1"/>
              </w:rPr>
              <w:t>Present Value of</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4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2380" w:type="dxa"/>
            <w:vAlign w:val="bottom"/>
          </w:tcPr>
          <w:p>
            <w:pPr>
              <w:jc w:val="right"/>
              <w:spacing w:after="0"/>
              <w:rPr>
                <w:sz w:val="20"/>
                <w:szCs w:val="20"/>
                <w:color w:val="auto"/>
              </w:rPr>
            </w:pPr>
            <w:r>
              <w:rPr>
                <w:rFonts w:ascii="Arial" w:cs="Arial" w:eastAsia="Arial" w:hAnsi="Arial"/>
                <w:sz w:val="16"/>
                <w:szCs w:val="16"/>
                <w:b w:val="1"/>
                <w:bCs w:val="1"/>
                <w:color w:val="0233A1"/>
              </w:rPr>
              <w:t>of Credited</w:t>
            </w:r>
          </w:p>
        </w:tc>
        <w:tc>
          <w:tcPr>
            <w:tcW w:w="240" w:type="dxa"/>
            <w:vAlign w:val="bottom"/>
          </w:tcPr>
          <w:p>
            <w:pPr>
              <w:spacing w:after="0"/>
              <w:rPr>
                <w:sz w:val="16"/>
                <w:szCs w:val="16"/>
                <w:color w:val="auto"/>
              </w:rPr>
            </w:pPr>
          </w:p>
        </w:tc>
        <w:tc>
          <w:tcPr>
            <w:tcW w:w="1580" w:type="dxa"/>
            <w:vAlign w:val="bottom"/>
          </w:tcPr>
          <w:p>
            <w:pPr>
              <w:jc w:val="right"/>
              <w:ind w:right="160"/>
              <w:spacing w:after="0"/>
              <w:rPr>
                <w:sz w:val="20"/>
                <w:szCs w:val="20"/>
                <w:color w:val="auto"/>
              </w:rPr>
            </w:pPr>
            <w:r>
              <w:rPr>
                <w:rFonts w:ascii="Arial" w:cs="Arial" w:eastAsia="Arial" w:hAnsi="Arial"/>
                <w:sz w:val="16"/>
                <w:szCs w:val="16"/>
                <w:b w:val="1"/>
                <w:bCs w:val="1"/>
                <w:color w:val="0233A1"/>
              </w:rPr>
              <w:t>Accumulated</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0233A1"/>
              </w:rPr>
              <w:t>Payments</w:t>
            </w:r>
          </w:p>
        </w:tc>
        <w:tc>
          <w:tcPr>
            <w:tcW w:w="0" w:type="dxa"/>
            <w:vAlign w:val="bottom"/>
          </w:tcPr>
          <w:p>
            <w:pPr>
              <w:spacing w:after="0"/>
              <w:rPr>
                <w:sz w:val="1"/>
                <w:szCs w:val="1"/>
                <w:color w:val="auto"/>
              </w:rPr>
            </w:pPr>
          </w:p>
        </w:tc>
      </w:tr>
      <w:tr>
        <w:trPr>
          <w:trHeight w:val="205"/>
        </w:trPr>
        <w:tc>
          <w:tcPr>
            <w:tcW w:w="1940" w:type="dxa"/>
            <w:vAlign w:val="bottom"/>
            <w:vMerge w:val="restart"/>
          </w:tcPr>
          <w:p>
            <w:pPr>
              <w:ind w:left="60"/>
              <w:spacing w:after="0"/>
              <w:rPr>
                <w:sz w:val="20"/>
                <w:szCs w:val="20"/>
                <w:color w:val="auto"/>
              </w:rPr>
            </w:pPr>
            <w:r>
              <w:rPr>
                <w:rFonts w:ascii="Arial" w:cs="Arial" w:eastAsia="Arial" w:hAnsi="Arial"/>
                <w:sz w:val="16"/>
                <w:szCs w:val="16"/>
                <w:b w:val="1"/>
                <w:bCs w:val="1"/>
                <w:color w:val="0233A1"/>
              </w:rPr>
              <w:t>Name</w:t>
            </w:r>
          </w:p>
        </w:tc>
        <w:tc>
          <w:tcPr>
            <w:tcW w:w="4080" w:type="dxa"/>
            <w:vAlign w:val="bottom"/>
            <w:vMerge w:val="restart"/>
          </w:tcPr>
          <w:p>
            <w:pPr>
              <w:ind w:left="720"/>
              <w:spacing w:after="0"/>
              <w:rPr>
                <w:sz w:val="20"/>
                <w:szCs w:val="20"/>
                <w:color w:val="auto"/>
              </w:rPr>
            </w:pPr>
            <w:r>
              <w:rPr>
                <w:rFonts w:ascii="Arial" w:cs="Arial" w:eastAsia="Arial" w:hAnsi="Arial"/>
                <w:sz w:val="16"/>
                <w:szCs w:val="16"/>
                <w:b w:val="1"/>
                <w:bCs w:val="1"/>
                <w:color w:val="0233A1"/>
              </w:rPr>
              <w:t>Plan Name</w:t>
            </w:r>
          </w:p>
        </w:tc>
        <w:tc>
          <w:tcPr>
            <w:tcW w:w="2380" w:type="dxa"/>
            <w:vAlign w:val="bottom"/>
          </w:tcPr>
          <w:p>
            <w:pPr>
              <w:jc w:val="right"/>
              <w:spacing w:after="0"/>
              <w:rPr>
                <w:sz w:val="20"/>
                <w:szCs w:val="20"/>
                <w:color w:val="auto"/>
              </w:rPr>
            </w:pPr>
            <w:r>
              <w:rPr>
                <w:rFonts w:ascii="Arial" w:cs="Arial" w:eastAsia="Arial" w:hAnsi="Arial"/>
                <w:sz w:val="16"/>
                <w:szCs w:val="16"/>
                <w:b w:val="1"/>
                <w:bCs w:val="1"/>
                <w:color w:val="0233A1"/>
              </w:rPr>
              <w:t>Service</w:t>
            </w:r>
          </w:p>
        </w:tc>
        <w:tc>
          <w:tcPr>
            <w:tcW w:w="240" w:type="dxa"/>
            <w:vAlign w:val="bottom"/>
          </w:tcPr>
          <w:p>
            <w:pPr>
              <w:jc w:val="right"/>
              <w:ind w:right="13"/>
              <w:spacing w:after="0"/>
              <w:rPr>
                <w:sz w:val="20"/>
                <w:szCs w:val="20"/>
                <w:color w:val="auto"/>
              </w:rPr>
            </w:pPr>
            <w:r>
              <w:rPr>
                <w:rFonts w:ascii="Arial" w:cs="Arial" w:eastAsia="Arial" w:hAnsi="Arial"/>
                <w:sz w:val="13"/>
                <w:szCs w:val="13"/>
                <w:b w:val="1"/>
                <w:bCs w:val="1"/>
                <w:color w:val="0233A1"/>
                <w:w w:val="87"/>
              </w:rPr>
              <w:t>(1)</w:t>
            </w:r>
          </w:p>
        </w:tc>
        <w:tc>
          <w:tcPr>
            <w:tcW w:w="1580" w:type="dxa"/>
            <w:vAlign w:val="bottom"/>
          </w:tcPr>
          <w:p>
            <w:pPr>
              <w:jc w:val="right"/>
              <w:spacing w:after="0" w:line="205" w:lineRule="exact"/>
              <w:rPr>
                <w:sz w:val="20"/>
                <w:szCs w:val="20"/>
                <w:color w:val="auto"/>
              </w:rPr>
            </w:pPr>
            <w:r>
              <w:rPr>
                <w:rFonts w:ascii="Arial" w:cs="Arial" w:eastAsia="Arial" w:hAnsi="Arial"/>
                <w:sz w:val="15"/>
                <w:szCs w:val="15"/>
                <w:b w:val="1"/>
                <w:bCs w:val="1"/>
                <w:color w:val="0233A1"/>
              </w:rPr>
              <w:t>Benefits</w:t>
            </w:r>
            <w:r>
              <w:rPr>
                <w:rFonts w:ascii="Arial" w:cs="Arial" w:eastAsia="Arial" w:hAnsi="Arial"/>
                <w:sz w:val="23"/>
                <w:szCs w:val="23"/>
                <w:b w:val="1"/>
                <w:bCs w:val="1"/>
                <w:color w:val="0233A1"/>
                <w:vertAlign w:val="subscript"/>
              </w:rPr>
              <w:t>(2)</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0233A1"/>
              </w:rPr>
              <w:t>During Last</w:t>
            </w:r>
          </w:p>
        </w:tc>
        <w:tc>
          <w:tcPr>
            <w:tcW w:w="0" w:type="dxa"/>
            <w:vAlign w:val="bottom"/>
          </w:tcPr>
          <w:p>
            <w:pPr>
              <w:spacing w:after="0"/>
              <w:rPr>
                <w:sz w:val="1"/>
                <w:szCs w:val="1"/>
                <w:color w:val="auto"/>
              </w:rPr>
            </w:pPr>
          </w:p>
        </w:tc>
      </w:tr>
      <w:tr>
        <w:trPr>
          <w:trHeight w:val="187"/>
        </w:trPr>
        <w:tc>
          <w:tcPr>
            <w:tcW w:w="1940" w:type="dxa"/>
            <w:vAlign w:val="bottom"/>
            <w:tcBorders>
              <w:bottom w:val="single" w:sz="8" w:color="0233A1"/>
            </w:tcBorders>
            <w:vMerge w:val="continue"/>
          </w:tcPr>
          <w:p>
            <w:pPr>
              <w:spacing w:after="0"/>
              <w:rPr>
                <w:sz w:val="16"/>
                <w:szCs w:val="16"/>
                <w:color w:val="auto"/>
              </w:rPr>
            </w:pPr>
          </w:p>
        </w:tc>
        <w:tc>
          <w:tcPr>
            <w:tcW w:w="4080" w:type="dxa"/>
            <w:vAlign w:val="bottom"/>
            <w:tcBorders>
              <w:bottom w:val="single" w:sz="8" w:color="0233A1"/>
            </w:tcBorders>
            <w:vMerge w:val="continue"/>
          </w:tcPr>
          <w:p>
            <w:pPr>
              <w:spacing w:after="0"/>
              <w:rPr>
                <w:sz w:val="16"/>
                <w:szCs w:val="16"/>
                <w:color w:val="auto"/>
              </w:rPr>
            </w:pPr>
          </w:p>
        </w:tc>
        <w:tc>
          <w:tcPr>
            <w:tcW w:w="2380" w:type="dxa"/>
            <w:vAlign w:val="bottom"/>
            <w:tcBorders>
              <w:bottom w:val="single" w:sz="8" w:color="0233A1"/>
            </w:tcBorders>
          </w:tcPr>
          <w:p>
            <w:pPr>
              <w:jc w:val="right"/>
              <w:spacing w:after="0"/>
              <w:rPr>
                <w:sz w:val="20"/>
                <w:szCs w:val="20"/>
                <w:color w:val="auto"/>
              </w:rPr>
            </w:pPr>
            <w:r>
              <w:rPr>
                <w:rFonts w:ascii="Arial" w:cs="Arial" w:eastAsia="Arial" w:hAnsi="Arial"/>
                <w:sz w:val="16"/>
                <w:szCs w:val="16"/>
                <w:b w:val="1"/>
                <w:bCs w:val="1"/>
                <w:color w:val="0233A1"/>
              </w:rPr>
              <w:t>(#)</w:t>
            </w:r>
          </w:p>
        </w:tc>
        <w:tc>
          <w:tcPr>
            <w:tcW w:w="240" w:type="dxa"/>
            <w:vAlign w:val="bottom"/>
            <w:tcBorders>
              <w:bottom w:val="single" w:sz="8" w:color="0233A1"/>
            </w:tcBorders>
          </w:tcPr>
          <w:p>
            <w:pPr>
              <w:spacing w:after="0"/>
              <w:rPr>
                <w:sz w:val="16"/>
                <w:szCs w:val="16"/>
                <w:color w:val="auto"/>
              </w:rPr>
            </w:pPr>
          </w:p>
        </w:tc>
        <w:tc>
          <w:tcPr>
            <w:tcW w:w="1580" w:type="dxa"/>
            <w:vAlign w:val="bottom"/>
            <w:tcBorders>
              <w:bottom w:val="single" w:sz="8" w:color="0233A1"/>
            </w:tcBorders>
          </w:tcPr>
          <w:p>
            <w:pPr>
              <w:jc w:val="right"/>
              <w:ind w:right="160"/>
              <w:spacing w:after="0"/>
              <w:rPr>
                <w:sz w:val="20"/>
                <w:szCs w:val="20"/>
                <w:color w:val="auto"/>
              </w:rPr>
            </w:pPr>
            <w:r>
              <w:rPr>
                <w:rFonts w:ascii="Arial" w:cs="Arial" w:eastAsia="Arial" w:hAnsi="Arial"/>
                <w:sz w:val="16"/>
                <w:szCs w:val="16"/>
                <w:b w:val="1"/>
                <w:bCs w:val="1"/>
                <w:color w:val="0233A1"/>
              </w:rPr>
              <w:t>($)</w:t>
            </w:r>
          </w:p>
        </w:tc>
        <w:tc>
          <w:tcPr>
            <w:tcW w:w="1020" w:type="dxa"/>
            <w:vAlign w:val="bottom"/>
            <w:tcBorders>
              <w:bottom w:val="single" w:sz="8" w:color="0233A1"/>
            </w:tcBorders>
          </w:tcPr>
          <w:p>
            <w:pPr>
              <w:jc w:val="right"/>
              <w:spacing w:after="0"/>
              <w:rPr>
                <w:sz w:val="20"/>
                <w:szCs w:val="20"/>
                <w:color w:val="auto"/>
              </w:rPr>
            </w:pPr>
            <w:r>
              <w:rPr>
                <w:rFonts w:ascii="Arial" w:cs="Arial" w:eastAsia="Arial" w:hAnsi="Arial"/>
                <w:sz w:val="16"/>
                <w:szCs w:val="16"/>
                <w:b w:val="1"/>
                <w:bCs w:val="1"/>
                <w:color w:val="0233A1"/>
              </w:rPr>
              <w:t>Fiscal Year</w:t>
            </w:r>
          </w:p>
        </w:tc>
        <w:tc>
          <w:tcPr>
            <w:tcW w:w="0" w:type="dxa"/>
            <w:vAlign w:val="bottom"/>
          </w:tcPr>
          <w:p>
            <w:pPr>
              <w:spacing w:after="0"/>
              <w:rPr>
                <w:sz w:val="1"/>
                <w:szCs w:val="1"/>
                <w:color w:val="auto"/>
              </w:rPr>
            </w:pPr>
          </w:p>
        </w:tc>
      </w:tr>
      <w:tr>
        <w:trPr>
          <w:trHeight w:val="195"/>
        </w:trPr>
        <w:tc>
          <w:tcPr>
            <w:tcW w:w="1940" w:type="dxa"/>
            <w:vAlign w:val="bottom"/>
          </w:tcPr>
          <w:p>
            <w:pPr>
              <w:ind w:left="60"/>
              <w:spacing w:after="0"/>
              <w:rPr>
                <w:sz w:val="20"/>
                <w:szCs w:val="20"/>
                <w:color w:val="auto"/>
              </w:rPr>
            </w:pPr>
            <w:r>
              <w:rPr>
                <w:rFonts w:ascii="Arial" w:cs="Arial" w:eastAsia="Arial" w:hAnsi="Arial"/>
                <w:sz w:val="16"/>
                <w:szCs w:val="16"/>
                <w:color w:val="auto"/>
              </w:rPr>
              <w:t>O. Le Peuch</w:t>
            </w:r>
          </w:p>
        </w:tc>
        <w:tc>
          <w:tcPr>
            <w:tcW w:w="4080" w:type="dxa"/>
            <w:vAlign w:val="bottom"/>
          </w:tcPr>
          <w:p>
            <w:pPr>
              <w:ind w:left="720"/>
              <w:spacing w:after="0"/>
              <w:rPr>
                <w:sz w:val="20"/>
                <w:szCs w:val="20"/>
                <w:color w:val="auto"/>
              </w:rPr>
            </w:pPr>
            <w:r>
              <w:rPr>
                <w:rFonts w:ascii="Arial" w:cs="Arial" w:eastAsia="Arial" w:hAnsi="Arial"/>
                <w:sz w:val="16"/>
                <w:szCs w:val="16"/>
                <w:color w:val="auto"/>
              </w:rPr>
              <w:t>STC Pension Plan</w:t>
            </w:r>
          </w:p>
        </w:tc>
        <w:tc>
          <w:tcPr>
            <w:tcW w:w="2380" w:type="dxa"/>
            <w:vAlign w:val="bottom"/>
          </w:tcPr>
          <w:p>
            <w:pPr>
              <w:jc w:val="right"/>
              <w:spacing w:after="0"/>
              <w:rPr>
                <w:sz w:val="20"/>
                <w:szCs w:val="20"/>
                <w:color w:val="auto"/>
              </w:rPr>
            </w:pPr>
            <w:r>
              <w:rPr>
                <w:rFonts w:ascii="Arial" w:cs="Arial" w:eastAsia="Arial" w:hAnsi="Arial"/>
                <w:sz w:val="16"/>
                <w:szCs w:val="16"/>
                <w:color w:val="auto"/>
              </w:rPr>
              <w:t>13.75</w:t>
            </w:r>
          </w:p>
        </w:tc>
        <w:tc>
          <w:tcPr>
            <w:tcW w:w="240" w:type="dxa"/>
            <w:vAlign w:val="bottom"/>
          </w:tcPr>
          <w:p>
            <w:pPr>
              <w:spacing w:after="0"/>
              <w:rPr>
                <w:sz w:val="16"/>
                <w:szCs w:val="16"/>
                <w:color w:val="auto"/>
              </w:rPr>
            </w:pPr>
          </w:p>
        </w:tc>
        <w:tc>
          <w:tcPr>
            <w:tcW w:w="1580" w:type="dxa"/>
            <w:vAlign w:val="bottom"/>
          </w:tcPr>
          <w:p>
            <w:pPr>
              <w:jc w:val="right"/>
              <w:ind w:right="160"/>
              <w:spacing w:after="0"/>
              <w:rPr>
                <w:sz w:val="20"/>
                <w:szCs w:val="20"/>
                <w:color w:val="auto"/>
              </w:rPr>
            </w:pPr>
            <w:r>
              <w:rPr>
                <w:rFonts w:ascii="Arial" w:cs="Arial" w:eastAsia="Arial" w:hAnsi="Arial"/>
                <w:sz w:val="16"/>
                <w:szCs w:val="16"/>
                <w:color w:val="auto"/>
              </w:rPr>
              <w:t>881,478</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1940" w:type="dxa"/>
            <w:vAlign w:val="bottom"/>
          </w:tcPr>
          <w:p>
            <w:pPr>
              <w:spacing w:after="0"/>
              <w:rPr>
                <w:sz w:val="18"/>
                <w:szCs w:val="18"/>
                <w:color w:val="auto"/>
              </w:rPr>
            </w:pPr>
          </w:p>
        </w:tc>
        <w:tc>
          <w:tcPr>
            <w:tcW w:w="4080" w:type="dxa"/>
            <w:vAlign w:val="bottom"/>
          </w:tcPr>
          <w:p>
            <w:pPr>
              <w:ind w:left="720"/>
              <w:spacing w:after="0"/>
              <w:rPr>
                <w:sz w:val="20"/>
                <w:szCs w:val="20"/>
                <w:color w:val="auto"/>
              </w:rPr>
            </w:pPr>
            <w:r>
              <w:rPr>
                <w:rFonts w:ascii="Arial" w:cs="Arial" w:eastAsia="Arial" w:hAnsi="Arial"/>
                <w:sz w:val="16"/>
                <w:szCs w:val="16"/>
                <w:color w:val="auto"/>
              </w:rPr>
              <w:t>STC Supplementary Plan</w:t>
            </w:r>
          </w:p>
        </w:tc>
        <w:tc>
          <w:tcPr>
            <w:tcW w:w="2380" w:type="dxa"/>
            <w:vAlign w:val="bottom"/>
          </w:tcPr>
          <w:p>
            <w:pPr>
              <w:jc w:val="right"/>
              <w:spacing w:after="0"/>
              <w:rPr>
                <w:sz w:val="20"/>
                <w:szCs w:val="20"/>
                <w:color w:val="auto"/>
              </w:rPr>
            </w:pPr>
            <w:r>
              <w:rPr>
                <w:rFonts w:ascii="Arial" w:cs="Arial" w:eastAsia="Arial" w:hAnsi="Arial"/>
                <w:sz w:val="16"/>
                <w:szCs w:val="16"/>
                <w:color w:val="auto"/>
              </w:rPr>
              <w:t>7.25</w:t>
            </w:r>
          </w:p>
        </w:tc>
        <w:tc>
          <w:tcPr>
            <w:tcW w:w="240" w:type="dxa"/>
            <w:vAlign w:val="bottom"/>
          </w:tcPr>
          <w:p>
            <w:pPr>
              <w:spacing w:after="0"/>
              <w:rPr>
                <w:sz w:val="18"/>
                <w:szCs w:val="18"/>
                <w:color w:val="auto"/>
              </w:rPr>
            </w:pPr>
          </w:p>
        </w:tc>
        <w:tc>
          <w:tcPr>
            <w:tcW w:w="1580" w:type="dxa"/>
            <w:vAlign w:val="bottom"/>
          </w:tcPr>
          <w:p>
            <w:pPr>
              <w:jc w:val="right"/>
              <w:ind w:right="160"/>
              <w:spacing w:after="0"/>
              <w:rPr>
                <w:sz w:val="20"/>
                <w:szCs w:val="20"/>
                <w:color w:val="auto"/>
              </w:rPr>
            </w:pPr>
            <w:r>
              <w:rPr>
                <w:rFonts w:ascii="Arial" w:cs="Arial" w:eastAsia="Arial" w:hAnsi="Arial"/>
                <w:sz w:val="16"/>
                <w:szCs w:val="16"/>
                <w:color w:val="auto"/>
              </w:rPr>
              <w:t>1,079,455</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4080" w:type="dxa"/>
            <w:vAlign w:val="bottom"/>
          </w:tcPr>
          <w:p>
            <w:pPr>
              <w:ind w:left="720"/>
              <w:spacing w:after="0"/>
              <w:rPr>
                <w:sz w:val="20"/>
                <w:szCs w:val="20"/>
                <w:color w:val="auto"/>
              </w:rPr>
            </w:pPr>
            <w:r>
              <w:rPr>
                <w:rFonts w:ascii="Arial" w:cs="Arial" w:eastAsia="Arial" w:hAnsi="Arial"/>
                <w:sz w:val="16"/>
                <w:szCs w:val="16"/>
                <w:color w:val="auto"/>
              </w:rPr>
              <w:t>SLB Supplementary Plan</w:t>
            </w:r>
          </w:p>
        </w:tc>
        <w:tc>
          <w:tcPr>
            <w:tcW w:w="2380" w:type="dxa"/>
            <w:vAlign w:val="bottom"/>
          </w:tcPr>
          <w:p>
            <w:pPr>
              <w:jc w:val="right"/>
              <w:spacing w:after="0"/>
              <w:rPr>
                <w:sz w:val="20"/>
                <w:szCs w:val="20"/>
                <w:color w:val="auto"/>
              </w:rPr>
            </w:pPr>
            <w:r>
              <w:rPr>
                <w:rFonts w:ascii="Arial" w:cs="Arial" w:eastAsia="Arial" w:hAnsi="Arial"/>
                <w:sz w:val="16"/>
                <w:szCs w:val="16"/>
                <w:color w:val="auto"/>
              </w:rPr>
              <w:t>5.00</w:t>
            </w:r>
          </w:p>
        </w:tc>
        <w:tc>
          <w:tcPr>
            <w:tcW w:w="240" w:type="dxa"/>
            <w:vAlign w:val="bottom"/>
          </w:tcPr>
          <w:p>
            <w:pPr>
              <w:spacing w:after="0"/>
              <w:rPr>
                <w:sz w:val="18"/>
                <w:szCs w:val="18"/>
                <w:color w:val="auto"/>
              </w:rPr>
            </w:pPr>
          </w:p>
        </w:tc>
        <w:tc>
          <w:tcPr>
            <w:tcW w:w="1580" w:type="dxa"/>
            <w:vAlign w:val="bottom"/>
          </w:tcPr>
          <w:p>
            <w:pPr>
              <w:jc w:val="right"/>
              <w:ind w:right="160"/>
              <w:spacing w:after="0"/>
              <w:rPr>
                <w:sz w:val="20"/>
                <w:szCs w:val="20"/>
                <w:color w:val="auto"/>
              </w:rPr>
            </w:pPr>
            <w:r>
              <w:rPr>
                <w:rFonts w:ascii="Arial" w:cs="Arial" w:eastAsia="Arial" w:hAnsi="Arial"/>
                <w:sz w:val="16"/>
                <w:szCs w:val="16"/>
                <w:color w:val="auto"/>
              </w:rPr>
              <w:t>4,328,150</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4080" w:type="dxa"/>
            <w:vAlign w:val="bottom"/>
          </w:tcPr>
          <w:p>
            <w:pPr>
              <w:ind w:left="720"/>
              <w:spacing w:after="0"/>
              <w:rPr>
                <w:sz w:val="20"/>
                <w:szCs w:val="20"/>
                <w:color w:val="auto"/>
              </w:rPr>
            </w:pPr>
            <w:r>
              <w:rPr>
                <w:rFonts w:ascii="Arial" w:cs="Arial" w:eastAsia="Arial" w:hAnsi="Arial"/>
                <w:sz w:val="16"/>
                <w:szCs w:val="16"/>
                <w:color w:val="auto"/>
              </w:rPr>
              <w:t>International Staff Pension Plan</w:t>
            </w:r>
          </w:p>
        </w:tc>
        <w:tc>
          <w:tcPr>
            <w:tcW w:w="2380" w:type="dxa"/>
            <w:vAlign w:val="bottom"/>
          </w:tcPr>
          <w:p>
            <w:pPr>
              <w:jc w:val="right"/>
              <w:spacing w:after="0"/>
              <w:rPr>
                <w:sz w:val="20"/>
                <w:szCs w:val="20"/>
                <w:color w:val="auto"/>
              </w:rPr>
            </w:pPr>
            <w:r>
              <w:rPr>
                <w:rFonts w:ascii="Arial" w:cs="Arial" w:eastAsia="Arial" w:hAnsi="Arial"/>
                <w:sz w:val="16"/>
                <w:szCs w:val="16"/>
                <w:color w:val="auto"/>
              </w:rPr>
              <w:t>6.50</w:t>
            </w:r>
          </w:p>
        </w:tc>
        <w:tc>
          <w:tcPr>
            <w:tcW w:w="240" w:type="dxa"/>
            <w:vAlign w:val="bottom"/>
          </w:tcPr>
          <w:p>
            <w:pPr>
              <w:spacing w:after="0"/>
              <w:rPr>
                <w:sz w:val="18"/>
                <w:szCs w:val="18"/>
                <w:color w:val="auto"/>
              </w:rPr>
            </w:pPr>
          </w:p>
        </w:tc>
        <w:tc>
          <w:tcPr>
            <w:tcW w:w="1580" w:type="dxa"/>
            <w:vAlign w:val="bottom"/>
          </w:tcPr>
          <w:p>
            <w:pPr>
              <w:jc w:val="right"/>
              <w:ind w:right="160"/>
              <w:spacing w:after="0"/>
              <w:rPr>
                <w:sz w:val="20"/>
                <w:szCs w:val="20"/>
                <w:color w:val="auto"/>
              </w:rPr>
            </w:pPr>
            <w:r>
              <w:rPr>
                <w:rFonts w:ascii="Arial" w:cs="Arial" w:eastAsia="Arial" w:hAnsi="Arial"/>
                <w:sz w:val="16"/>
                <w:szCs w:val="16"/>
                <w:color w:val="auto"/>
              </w:rPr>
              <w:t>2,060,130</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940" w:type="dxa"/>
            <w:vAlign w:val="bottom"/>
          </w:tcPr>
          <w:p>
            <w:pPr>
              <w:ind w:left="60"/>
              <w:spacing w:after="0"/>
              <w:rPr>
                <w:sz w:val="20"/>
                <w:szCs w:val="20"/>
                <w:color w:val="auto"/>
              </w:rPr>
            </w:pPr>
            <w:r>
              <w:rPr>
                <w:rFonts w:ascii="Arial" w:cs="Arial" w:eastAsia="Arial" w:hAnsi="Arial"/>
                <w:sz w:val="16"/>
                <w:szCs w:val="16"/>
                <w:color w:val="auto"/>
              </w:rPr>
              <w:t>S. Biguet</w:t>
            </w:r>
          </w:p>
        </w:tc>
        <w:tc>
          <w:tcPr>
            <w:tcW w:w="4080" w:type="dxa"/>
            <w:vAlign w:val="bottom"/>
          </w:tcPr>
          <w:p>
            <w:pPr>
              <w:ind w:left="720"/>
              <w:spacing w:after="0"/>
              <w:rPr>
                <w:sz w:val="20"/>
                <w:szCs w:val="20"/>
                <w:color w:val="auto"/>
              </w:rPr>
            </w:pPr>
            <w:r>
              <w:rPr>
                <w:rFonts w:ascii="Arial" w:cs="Arial" w:eastAsia="Arial" w:hAnsi="Arial"/>
                <w:sz w:val="16"/>
                <w:szCs w:val="16"/>
                <w:color w:val="auto"/>
              </w:rPr>
              <w:t>STC Pension Plan</w:t>
            </w:r>
          </w:p>
        </w:tc>
        <w:tc>
          <w:tcPr>
            <w:tcW w:w="2380" w:type="dxa"/>
            <w:vAlign w:val="bottom"/>
          </w:tcPr>
          <w:p>
            <w:pPr>
              <w:jc w:val="right"/>
              <w:spacing w:after="0"/>
              <w:rPr>
                <w:sz w:val="20"/>
                <w:szCs w:val="20"/>
                <w:color w:val="auto"/>
              </w:rPr>
            </w:pPr>
            <w:r>
              <w:rPr>
                <w:rFonts w:ascii="Arial" w:cs="Arial" w:eastAsia="Arial" w:hAnsi="Arial"/>
                <w:sz w:val="16"/>
                <w:szCs w:val="16"/>
                <w:color w:val="auto"/>
              </w:rPr>
              <w:t>9.41</w:t>
            </w:r>
          </w:p>
        </w:tc>
        <w:tc>
          <w:tcPr>
            <w:tcW w:w="240" w:type="dxa"/>
            <w:vAlign w:val="bottom"/>
          </w:tcPr>
          <w:p>
            <w:pPr>
              <w:spacing w:after="0"/>
              <w:rPr>
                <w:sz w:val="18"/>
                <w:szCs w:val="18"/>
                <w:color w:val="auto"/>
              </w:rPr>
            </w:pPr>
          </w:p>
        </w:tc>
        <w:tc>
          <w:tcPr>
            <w:tcW w:w="1580" w:type="dxa"/>
            <w:vAlign w:val="bottom"/>
          </w:tcPr>
          <w:p>
            <w:pPr>
              <w:jc w:val="right"/>
              <w:ind w:right="160"/>
              <w:spacing w:after="0"/>
              <w:rPr>
                <w:sz w:val="20"/>
                <w:szCs w:val="20"/>
                <w:color w:val="auto"/>
              </w:rPr>
            </w:pPr>
            <w:r>
              <w:rPr>
                <w:rFonts w:ascii="Arial" w:cs="Arial" w:eastAsia="Arial" w:hAnsi="Arial"/>
                <w:sz w:val="16"/>
                <w:szCs w:val="16"/>
                <w:color w:val="auto"/>
              </w:rPr>
              <w:t>625,992</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4080" w:type="dxa"/>
            <w:vAlign w:val="bottom"/>
          </w:tcPr>
          <w:p>
            <w:pPr>
              <w:ind w:left="720"/>
              <w:spacing w:after="0"/>
              <w:rPr>
                <w:sz w:val="20"/>
                <w:szCs w:val="20"/>
                <w:color w:val="auto"/>
              </w:rPr>
            </w:pPr>
            <w:r>
              <w:rPr>
                <w:rFonts w:ascii="Arial" w:cs="Arial" w:eastAsia="Arial" w:hAnsi="Arial"/>
                <w:sz w:val="16"/>
                <w:szCs w:val="16"/>
                <w:color w:val="auto"/>
              </w:rPr>
              <w:t>SLB Supplementary Plan</w:t>
            </w:r>
          </w:p>
        </w:tc>
        <w:tc>
          <w:tcPr>
            <w:tcW w:w="2380" w:type="dxa"/>
            <w:vAlign w:val="bottom"/>
          </w:tcPr>
          <w:p>
            <w:pPr>
              <w:jc w:val="right"/>
              <w:spacing w:after="0"/>
              <w:rPr>
                <w:sz w:val="20"/>
                <w:szCs w:val="20"/>
                <w:color w:val="auto"/>
              </w:rPr>
            </w:pPr>
            <w:r>
              <w:rPr>
                <w:rFonts w:ascii="Arial" w:cs="Arial" w:eastAsia="Arial" w:hAnsi="Arial"/>
                <w:sz w:val="16"/>
                <w:szCs w:val="16"/>
                <w:color w:val="auto"/>
              </w:rPr>
              <w:t>7.00</w:t>
            </w:r>
          </w:p>
        </w:tc>
        <w:tc>
          <w:tcPr>
            <w:tcW w:w="240" w:type="dxa"/>
            <w:vAlign w:val="bottom"/>
          </w:tcPr>
          <w:p>
            <w:pPr>
              <w:spacing w:after="0"/>
              <w:rPr>
                <w:sz w:val="18"/>
                <w:szCs w:val="18"/>
                <w:color w:val="auto"/>
              </w:rPr>
            </w:pPr>
          </w:p>
        </w:tc>
        <w:tc>
          <w:tcPr>
            <w:tcW w:w="1580" w:type="dxa"/>
            <w:vAlign w:val="bottom"/>
          </w:tcPr>
          <w:p>
            <w:pPr>
              <w:jc w:val="right"/>
              <w:ind w:right="160"/>
              <w:spacing w:after="0"/>
              <w:rPr>
                <w:sz w:val="20"/>
                <w:szCs w:val="20"/>
                <w:color w:val="auto"/>
              </w:rPr>
            </w:pPr>
            <w:r>
              <w:rPr>
                <w:rFonts w:ascii="Arial" w:cs="Arial" w:eastAsia="Arial" w:hAnsi="Arial"/>
                <w:sz w:val="16"/>
                <w:szCs w:val="16"/>
                <w:color w:val="auto"/>
              </w:rPr>
              <w:t>2,183,929</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4080" w:type="dxa"/>
            <w:vAlign w:val="bottom"/>
          </w:tcPr>
          <w:p>
            <w:pPr>
              <w:ind w:left="720"/>
              <w:spacing w:after="0"/>
              <w:rPr>
                <w:sz w:val="20"/>
                <w:szCs w:val="20"/>
                <w:color w:val="auto"/>
              </w:rPr>
            </w:pPr>
            <w:r>
              <w:rPr>
                <w:rFonts w:ascii="Arial" w:cs="Arial" w:eastAsia="Arial" w:hAnsi="Arial"/>
                <w:sz w:val="16"/>
                <w:szCs w:val="16"/>
                <w:color w:val="auto"/>
              </w:rPr>
              <w:t>International Staff Pension Plan</w:t>
            </w:r>
          </w:p>
        </w:tc>
        <w:tc>
          <w:tcPr>
            <w:tcW w:w="2380" w:type="dxa"/>
            <w:vAlign w:val="bottom"/>
          </w:tcPr>
          <w:p>
            <w:pPr>
              <w:jc w:val="right"/>
              <w:spacing w:after="0"/>
              <w:rPr>
                <w:sz w:val="20"/>
                <w:szCs w:val="20"/>
                <w:color w:val="auto"/>
              </w:rPr>
            </w:pPr>
            <w:r>
              <w:rPr>
                <w:rFonts w:ascii="Arial" w:cs="Arial" w:eastAsia="Arial" w:hAnsi="Arial"/>
                <w:sz w:val="16"/>
                <w:szCs w:val="16"/>
                <w:color w:val="auto"/>
              </w:rPr>
              <w:t>3.70</w:t>
            </w:r>
          </w:p>
        </w:tc>
        <w:tc>
          <w:tcPr>
            <w:tcW w:w="240" w:type="dxa"/>
            <w:vAlign w:val="bottom"/>
          </w:tcPr>
          <w:p>
            <w:pPr>
              <w:spacing w:after="0"/>
              <w:rPr>
                <w:sz w:val="18"/>
                <w:szCs w:val="18"/>
                <w:color w:val="auto"/>
              </w:rPr>
            </w:pPr>
          </w:p>
        </w:tc>
        <w:tc>
          <w:tcPr>
            <w:tcW w:w="1580" w:type="dxa"/>
            <w:vAlign w:val="bottom"/>
          </w:tcPr>
          <w:p>
            <w:pPr>
              <w:jc w:val="right"/>
              <w:ind w:right="160"/>
              <w:spacing w:after="0"/>
              <w:rPr>
                <w:sz w:val="20"/>
                <w:szCs w:val="20"/>
                <w:color w:val="auto"/>
              </w:rPr>
            </w:pPr>
            <w:r>
              <w:rPr>
                <w:rFonts w:ascii="Arial" w:cs="Arial" w:eastAsia="Arial" w:hAnsi="Arial"/>
                <w:sz w:val="16"/>
                <w:szCs w:val="16"/>
                <w:color w:val="auto"/>
              </w:rPr>
              <w:t>197,307</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940" w:type="dxa"/>
            <w:vAlign w:val="bottom"/>
          </w:tcPr>
          <w:p>
            <w:pPr>
              <w:ind w:left="60"/>
              <w:spacing w:after="0"/>
              <w:rPr>
                <w:sz w:val="20"/>
                <w:szCs w:val="20"/>
                <w:color w:val="auto"/>
              </w:rPr>
            </w:pPr>
            <w:r>
              <w:rPr>
                <w:rFonts w:ascii="Arial" w:cs="Arial" w:eastAsia="Arial" w:hAnsi="Arial"/>
                <w:sz w:val="16"/>
                <w:szCs w:val="16"/>
                <w:color w:val="auto"/>
              </w:rPr>
              <w:t>K. Al Mogharbel</w:t>
            </w:r>
          </w:p>
        </w:tc>
        <w:tc>
          <w:tcPr>
            <w:tcW w:w="4080" w:type="dxa"/>
            <w:vAlign w:val="bottom"/>
          </w:tcPr>
          <w:p>
            <w:pPr>
              <w:ind w:left="720"/>
              <w:spacing w:after="0"/>
              <w:rPr>
                <w:sz w:val="20"/>
                <w:szCs w:val="20"/>
                <w:color w:val="auto"/>
              </w:rPr>
            </w:pPr>
            <w:r>
              <w:rPr>
                <w:rFonts w:ascii="Arial" w:cs="Arial" w:eastAsia="Arial" w:hAnsi="Arial"/>
                <w:sz w:val="16"/>
                <w:szCs w:val="16"/>
                <w:color w:val="auto"/>
              </w:rPr>
              <w:t>International Staff Pension Plan</w:t>
            </w:r>
          </w:p>
        </w:tc>
        <w:tc>
          <w:tcPr>
            <w:tcW w:w="2380" w:type="dxa"/>
            <w:vAlign w:val="bottom"/>
          </w:tcPr>
          <w:p>
            <w:pPr>
              <w:jc w:val="right"/>
              <w:spacing w:after="0"/>
              <w:rPr>
                <w:sz w:val="20"/>
                <w:szCs w:val="20"/>
                <w:color w:val="auto"/>
              </w:rPr>
            </w:pPr>
            <w:r>
              <w:rPr>
                <w:rFonts w:ascii="Arial" w:cs="Arial" w:eastAsia="Arial" w:hAnsi="Arial"/>
                <w:sz w:val="16"/>
                <w:szCs w:val="16"/>
                <w:color w:val="auto"/>
              </w:rPr>
              <w:t>16.20</w:t>
            </w:r>
          </w:p>
        </w:tc>
        <w:tc>
          <w:tcPr>
            <w:tcW w:w="240" w:type="dxa"/>
            <w:vAlign w:val="bottom"/>
          </w:tcPr>
          <w:p>
            <w:pPr>
              <w:spacing w:after="0"/>
              <w:rPr>
                <w:sz w:val="18"/>
                <w:szCs w:val="18"/>
                <w:color w:val="auto"/>
              </w:rPr>
            </w:pPr>
          </w:p>
        </w:tc>
        <w:tc>
          <w:tcPr>
            <w:tcW w:w="1580" w:type="dxa"/>
            <w:vAlign w:val="bottom"/>
          </w:tcPr>
          <w:p>
            <w:pPr>
              <w:jc w:val="right"/>
              <w:ind w:right="160"/>
              <w:spacing w:after="0"/>
              <w:rPr>
                <w:sz w:val="20"/>
                <w:szCs w:val="20"/>
                <w:color w:val="auto"/>
              </w:rPr>
            </w:pPr>
            <w:r>
              <w:rPr>
                <w:rFonts w:ascii="Arial" w:cs="Arial" w:eastAsia="Arial" w:hAnsi="Arial"/>
                <w:sz w:val="16"/>
                <w:szCs w:val="16"/>
                <w:color w:val="auto"/>
              </w:rPr>
              <w:t>1,390,336</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940" w:type="dxa"/>
            <w:vAlign w:val="bottom"/>
          </w:tcPr>
          <w:p>
            <w:pPr>
              <w:ind w:left="60"/>
              <w:spacing w:after="0"/>
              <w:rPr>
                <w:sz w:val="20"/>
                <w:szCs w:val="20"/>
                <w:color w:val="auto"/>
              </w:rPr>
            </w:pPr>
            <w:r>
              <w:rPr>
                <w:rFonts w:ascii="Arial" w:cs="Arial" w:eastAsia="Arial" w:hAnsi="Arial"/>
                <w:sz w:val="16"/>
                <w:szCs w:val="16"/>
                <w:color w:val="auto"/>
              </w:rPr>
              <w:t>A. Merad</w:t>
            </w:r>
          </w:p>
        </w:tc>
        <w:tc>
          <w:tcPr>
            <w:tcW w:w="4080" w:type="dxa"/>
            <w:vAlign w:val="bottom"/>
          </w:tcPr>
          <w:p>
            <w:pPr>
              <w:ind w:left="720"/>
              <w:spacing w:after="0"/>
              <w:rPr>
                <w:sz w:val="20"/>
                <w:szCs w:val="20"/>
                <w:color w:val="auto"/>
              </w:rPr>
            </w:pPr>
            <w:r>
              <w:rPr>
                <w:rFonts w:ascii="Arial" w:cs="Arial" w:eastAsia="Arial" w:hAnsi="Arial"/>
                <w:sz w:val="16"/>
                <w:szCs w:val="16"/>
                <w:color w:val="auto"/>
              </w:rPr>
              <w:t>International Staff Pension Plan</w:t>
            </w:r>
          </w:p>
        </w:tc>
        <w:tc>
          <w:tcPr>
            <w:tcW w:w="2380" w:type="dxa"/>
            <w:vAlign w:val="bottom"/>
          </w:tcPr>
          <w:p>
            <w:pPr>
              <w:jc w:val="right"/>
              <w:spacing w:after="0"/>
              <w:rPr>
                <w:sz w:val="20"/>
                <w:szCs w:val="20"/>
                <w:color w:val="auto"/>
              </w:rPr>
            </w:pPr>
            <w:r>
              <w:rPr>
                <w:rFonts w:ascii="Arial" w:cs="Arial" w:eastAsia="Arial" w:hAnsi="Arial"/>
                <w:sz w:val="16"/>
                <w:szCs w:val="16"/>
                <w:color w:val="auto"/>
              </w:rPr>
              <w:t>14.90</w:t>
            </w:r>
          </w:p>
        </w:tc>
        <w:tc>
          <w:tcPr>
            <w:tcW w:w="240" w:type="dxa"/>
            <w:vAlign w:val="bottom"/>
          </w:tcPr>
          <w:p>
            <w:pPr>
              <w:spacing w:after="0"/>
              <w:rPr>
                <w:sz w:val="18"/>
                <w:szCs w:val="18"/>
                <w:color w:val="auto"/>
              </w:rPr>
            </w:pPr>
          </w:p>
        </w:tc>
        <w:tc>
          <w:tcPr>
            <w:tcW w:w="1580" w:type="dxa"/>
            <w:vAlign w:val="bottom"/>
          </w:tcPr>
          <w:p>
            <w:pPr>
              <w:jc w:val="right"/>
              <w:ind w:right="160"/>
              <w:spacing w:after="0"/>
              <w:rPr>
                <w:sz w:val="20"/>
                <w:szCs w:val="20"/>
                <w:color w:val="auto"/>
              </w:rPr>
            </w:pPr>
            <w:r>
              <w:rPr>
                <w:rFonts w:ascii="Arial" w:cs="Arial" w:eastAsia="Arial" w:hAnsi="Arial"/>
                <w:sz w:val="16"/>
                <w:szCs w:val="16"/>
                <w:color w:val="auto"/>
              </w:rPr>
              <w:t>884,608</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5"/>
        </w:trPr>
        <w:tc>
          <w:tcPr>
            <w:tcW w:w="1940" w:type="dxa"/>
            <w:vAlign w:val="bottom"/>
            <w:tcBorders>
              <w:bottom w:val="single" w:sz="8" w:color="0233A1"/>
            </w:tcBorders>
          </w:tcPr>
          <w:p>
            <w:pPr>
              <w:ind w:left="60"/>
              <w:spacing w:after="0"/>
              <w:rPr>
                <w:sz w:val="20"/>
                <w:szCs w:val="20"/>
                <w:color w:val="auto"/>
              </w:rPr>
            </w:pPr>
            <w:r>
              <w:rPr>
                <w:rFonts w:ascii="Arial" w:cs="Arial" w:eastAsia="Arial" w:hAnsi="Arial"/>
                <w:sz w:val="16"/>
                <w:szCs w:val="16"/>
                <w:color w:val="auto"/>
              </w:rPr>
              <w:t>D. Ralston</w:t>
            </w:r>
          </w:p>
        </w:tc>
        <w:tc>
          <w:tcPr>
            <w:tcW w:w="4080" w:type="dxa"/>
            <w:vAlign w:val="bottom"/>
            <w:tcBorders>
              <w:bottom w:val="single" w:sz="8" w:color="0233A1"/>
            </w:tcBorders>
          </w:tcPr>
          <w:p>
            <w:pPr>
              <w:ind w:left="720"/>
              <w:spacing w:after="0"/>
              <w:rPr>
                <w:sz w:val="20"/>
                <w:szCs w:val="20"/>
                <w:color w:val="auto"/>
              </w:rPr>
            </w:pPr>
            <w:r>
              <w:rPr>
                <w:rFonts w:ascii="Arial" w:cs="Arial" w:eastAsia="Arial" w:hAnsi="Arial"/>
                <w:sz w:val="16"/>
                <w:szCs w:val="16"/>
                <w:color w:val="auto"/>
              </w:rPr>
              <w:t>SLB Supplementary Plan</w:t>
            </w:r>
          </w:p>
        </w:tc>
        <w:tc>
          <w:tcPr>
            <w:tcW w:w="2380" w:type="dxa"/>
            <w:vAlign w:val="bottom"/>
            <w:tcBorders>
              <w:bottom w:val="single" w:sz="8" w:color="0233A1"/>
            </w:tcBorders>
          </w:tcPr>
          <w:p>
            <w:pPr>
              <w:jc w:val="right"/>
              <w:spacing w:after="0"/>
              <w:rPr>
                <w:sz w:val="20"/>
                <w:szCs w:val="20"/>
                <w:color w:val="auto"/>
              </w:rPr>
            </w:pPr>
            <w:r>
              <w:rPr>
                <w:rFonts w:ascii="Arial" w:cs="Arial" w:eastAsia="Arial" w:hAnsi="Arial"/>
                <w:sz w:val="16"/>
                <w:szCs w:val="16"/>
                <w:color w:val="auto"/>
              </w:rPr>
              <w:t>8.50</w:t>
            </w:r>
          </w:p>
        </w:tc>
        <w:tc>
          <w:tcPr>
            <w:tcW w:w="240" w:type="dxa"/>
            <w:vAlign w:val="bottom"/>
            <w:tcBorders>
              <w:bottom w:val="single" w:sz="8" w:color="0233A1"/>
            </w:tcBorders>
          </w:tcPr>
          <w:p>
            <w:pPr>
              <w:spacing w:after="0"/>
              <w:rPr>
                <w:sz w:val="19"/>
                <w:szCs w:val="19"/>
                <w:color w:val="auto"/>
              </w:rPr>
            </w:pPr>
          </w:p>
        </w:tc>
        <w:tc>
          <w:tcPr>
            <w:tcW w:w="1580" w:type="dxa"/>
            <w:vAlign w:val="bottom"/>
            <w:tcBorders>
              <w:bottom w:val="single" w:sz="8" w:color="0233A1"/>
            </w:tcBorders>
          </w:tcPr>
          <w:p>
            <w:pPr>
              <w:jc w:val="right"/>
              <w:ind w:right="160"/>
              <w:spacing w:after="0"/>
              <w:rPr>
                <w:sz w:val="20"/>
                <w:szCs w:val="20"/>
                <w:color w:val="auto"/>
              </w:rPr>
            </w:pPr>
            <w:r>
              <w:rPr>
                <w:rFonts w:ascii="Arial" w:cs="Arial" w:eastAsia="Arial" w:hAnsi="Arial"/>
                <w:sz w:val="16"/>
                <w:szCs w:val="16"/>
                <w:color w:val="auto"/>
              </w:rPr>
              <w:t>766,141</w:t>
            </w:r>
          </w:p>
        </w:tc>
        <w:tc>
          <w:tcPr>
            <w:tcW w:w="1020" w:type="dxa"/>
            <w:vAlign w:val="bottom"/>
            <w:tcBorders>
              <w:bottom w:val="single" w:sz="8" w:color="0233A1"/>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8255"/>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8255"/>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8255"/>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-565150</wp:posOffset>
            </wp:positionV>
            <wp:extent cx="5452110" cy="8890"/>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5452110" cy="8890"/>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-702310</wp:posOffset>
            </wp:positionV>
            <wp:extent cx="5452110" cy="8890"/>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54521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-839470</wp:posOffset>
            </wp:positionV>
            <wp:extent cx="7132320" cy="8255"/>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-976630</wp:posOffset>
            </wp:positionV>
            <wp:extent cx="5452110" cy="8255"/>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5452110"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-1113790</wp:posOffset>
            </wp:positionV>
            <wp:extent cx="5452110" cy="8255"/>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5452110"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-1250950</wp:posOffset>
            </wp:positionV>
            <wp:extent cx="5452110" cy="8255"/>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38"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“Number of Years of Credited Service” column reflects each NEO’s actual years of service as a participant in each plan.</w:t>
      </w:r>
    </w:p>
    <w:p>
      <w:pPr>
        <w:spacing w:after="0" w:line="55" w:lineRule="exact"/>
        <w:rPr>
          <w:rFonts w:ascii="Arial" w:cs="Arial" w:eastAsia="Arial" w:hAnsi="Arial"/>
          <w:sz w:val="14"/>
          <w:szCs w:val="14"/>
          <w:color w:val="auto"/>
        </w:rPr>
      </w:pPr>
    </w:p>
    <w:p>
      <w:pPr>
        <w:jc w:val="both"/>
        <w:ind w:left="340" w:hanging="332"/>
        <w:spacing w:after="0" w:line="250" w:lineRule="auto"/>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present value of accumulated benefits is calculated using the Pri-2012 healthy retiree amount-weighted table for participants and the contingent survivor amount-weighted table for spouses, both with generational projection using SSA-2023, and a discount rate of 5.25% at December 31, 2023. Retirement in each case is assumed to be the earlier of normal retirement age or December 31, 2023 if the NEO is employed after normal retirement age, or, as to our U.S. plans, the date that the sum of the NEO’s age plus years of service has reached, or is expected to reach, 85, but not before the NEO reaches age 55. Additional assumptions that we use in calculating the present value of accumulated benefits are incorporated herein by reference to Note 17, “Pension and Other Postretirement Benefit Plans” to the Consolidated Financial Statements contained in our 2023 Annual Report.</w:t>
      </w:r>
    </w:p>
    <w:p>
      <w:pPr>
        <w:spacing w:after="0" w:line="263" w:lineRule="exact"/>
        <w:rPr>
          <w:sz w:val="20"/>
          <w:szCs w:val="20"/>
          <w:color w:val="auto"/>
        </w:rPr>
      </w:pPr>
    </w:p>
    <w:p>
      <w:pPr>
        <w:spacing w:after="0"/>
        <w:rPr>
          <w:sz w:val="20"/>
          <w:szCs w:val="20"/>
          <w:color w:val="auto"/>
        </w:rPr>
      </w:pPr>
      <w:r>
        <w:rPr>
          <w:rFonts w:ascii="Arial" w:cs="Arial" w:eastAsia="Arial" w:hAnsi="Arial"/>
          <w:sz w:val="25"/>
          <w:szCs w:val="25"/>
          <w:color w:val="0233A1"/>
        </w:rPr>
        <w:t>Tax-Qualified Pension Plan</w:t>
      </w:r>
    </w:p>
    <w:p>
      <w:pPr>
        <w:spacing w:after="0" w:line="207"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The STC Pension Plan is a U.S. tax-qualified pension plan, funded through cash contributions made by SLB based on actuarial valuations and regulatory requirements. Benefits under the STC Pension Plan are based on an employee’s admissible compensation (generally base salary and cash incentive) for each year in which an employee participates in the plan, and the employee’s length of service with SLB.</w:t>
      </w:r>
    </w:p>
    <w:p>
      <w:pPr>
        <w:spacing w:after="0" w:line="15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6"/>
          <w:szCs w:val="16"/>
          <w:color w:val="auto"/>
        </w:rPr>
        <w:t>Since 1989, the benefit earned under the STC Pension Plan has been 1.5% of admissible compensation for service prior to the employee’s completion of 15 years of active service and 2.0% of admissible compensation for service after completion of 15 years of active service. Normal retirement under the plan is at age 65—however, early retirement with a reduced benefit is possible at age 55 or as early as age 50 with 20 years of service. Mr. Biguet is eligible for early retirement with a reduced pension. Additionally, under the “rule of 85”, an employee or executive officer who terminates employment after age 55 and whose combined age and service is 85 or more, is eligible for retirement with an unreduced pension. Mr. Le Peuch is eligible for retirement with an unreduced pension under the rule of 85. The benefits are usually paid as a lifetime annuity.</w:t>
      </w:r>
    </w:p>
    <w:p>
      <w:pPr>
        <w:spacing w:after="0" w:line="15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In 2004, we amended the STC Pension Plan to generally provide that employees hired on or after October 1, 2004, would not be eligible to participate in the STC Pension Plan, and would instead receive an enhanced match in the SLB 401(k) Plan equal to 100% of up to 6% of admissible compensation. Participants actively accruing a benefit in the STC Pension Plan, including the pension-eligible NEOs, were able to participate in the SLB 401(k) Plan at a reduced match equal to 50% of up to 6% of admissible compensation. In 2023, the SLB 401(k) Plan was amended to provide to all participants, regardless of pension eligibility, with: (1) an additional enhanced match equal to 50% of deferrals between 6% and 10% of admissible compensation, and (2) a non-elective Company contribution of 2% of admissible compensation. The match is made each payroll period and the non-elective Company contribution is made on an annual basis.</w:t>
      </w:r>
    </w:p>
    <w:p>
      <w:pPr>
        <w:spacing w:after="0" w:line="267" w:lineRule="exact"/>
        <w:rPr>
          <w:sz w:val="20"/>
          <w:szCs w:val="20"/>
          <w:color w:val="auto"/>
        </w:rPr>
      </w:pPr>
    </w:p>
    <w:p>
      <w:pPr>
        <w:spacing w:after="0"/>
        <w:rPr>
          <w:sz w:val="20"/>
          <w:szCs w:val="20"/>
          <w:color w:val="auto"/>
        </w:rPr>
      </w:pPr>
      <w:r>
        <w:rPr>
          <w:rFonts w:ascii="Arial" w:cs="Arial" w:eastAsia="Arial" w:hAnsi="Arial"/>
          <w:sz w:val="25"/>
          <w:szCs w:val="25"/>
          <w:color w:val="0233A1"/>
        </w:rPr>
        <w:t>Supplementary Benefit Plans</w:t>
      </w:r>
    </w:p>
    <w:p>
      <w:pPr>
        <w:spacing w:after="0" w:line="2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 xml:space="preserve">The SLB Supplementary Plan and STC Supplementary Plan (collectively, the </w:t>
      </w:r>
      <w:r>
        <w:rPr>
          <w:rFonts w:ascii="Arial" w:cs="Arial" w:eastAsia="Arial" w:hAnsi="Arial"/>
          <w:sz w:val="16"/>
          <w:szCs w:val="16"/>
          <w:b w:val="1"/>
          <w:bCs w:val="1"/>
          <w:color w:val="auto"/>
        </w:rPr>
        <w:t>Supplementary Plans</w:t>
      </w:r>
      <w:r>
        <w:rPr>
          <w:rFonts w:ascii="Arial" w:cs="Arial" w:eastAsia="Arial" w:hAnsi="Arial"/>
          <w:sz w:val="16"/>
          <w:szCs w:val="16"/>
          <w:color w:val="auto"/>
        </w:rPr>
        <w:t>) provide non-tax-qualified pension benefits. These plans, which have substantially identical terms, provide an eligible employee with benefits equal to the benefits that the employee is unable to receive under a qualified pension plan due to the Internal Revenue Code limits on (1) annual compensation that can be taken into account under qualified plans and (2) annual benefits that can be provided under qualified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471170" cy="283210"/>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471170" cy="283210"/>
                    </a:xfrm>
                    <a:prstGeom prst="rect">
                      <a:avLst/>
                    </a:prstGeom>
                    <a:noFill/>
                  </pic:spPr>
                </pic:pic>
              </a:graphicData>
            </a:graphic>
          </wp:anchor>
        </w:drawing>
      </w:r>
    </w:p>
    <w:p>
      <w:pPr>
        <w:spacing w:after="0" w:line="347" w:lineRule="exact"/>
        <w:rPr>
          <w:sz w:val="20"/>
          <w:szCs w:val="20"/>
          <w:color w:val="auto"/>
        </w:rPr>
      </w:pPr>
    </w:p>
    <w:p>
      <w:pPr>
        <w:jc w:val="both"/>
        <w:ind w:left="5540"/>
        <w:spacing w:after="0"/>
        <w:tabs>
          <w:tab w:leader="none" w:pos="9540" w:val="left"/>
        </w:tabs>
        <w:rPr>
          <w:sz w:val="20"/>
          <w:szCs w:val="20"/>
          <w:color w:val="auto"/>
        </w:rPr>
      </w:pPr>
      <w:r>
        <w:rPr>
          <w:rFonts w:ascii="Arial" w:cs="Arial" w:eastAsia="Arial" w:hAnsi="Arial"/>
          <w:sz w:val="16"/>
          <w:szCs w:val="16"/>
          <w:b w:val="1"/>
          <w:bCs w:val="1"/>
          <w:color w:val="auto"/>
        </w:rPr>
        <w:t>54</w:t>
      </w:r>
      <w:r>
        <w:rPr>
          <w:sz w:val="20"/>
          <w:szCs w:val="20"/>
          <w:color w:val="auto"/>
        </w:rPr>
        <w:tab/>
      </w:r>
      <w:r>
        <w:rPr>
          <w:rFonts w:ascii="Arial" w:cs="Arial" w:eastAsia="Arial" w:hAnsi="Arial"/>
          <w:sz w:val="16"/>
          <w:szCs w:val="16"/>
          <w:b w:val="1"/>
          <w:bCs w:val="1"/>
          <w:color w:val="636466"/>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-29845</wp:posOffset>
            </wp:positionV>
            <wp:extent cx="5417820" cy="17145"/>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34290"/>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59" w:name="page60"/>
    <w:bookmarkEnd w:id="59"/>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6"/>
          <w:szCs w:val="16"/>
          <w:color w:val="auto"/>
        </w:rPr>
        <w:t>The retirement eligibility rules under SLB’s nonqualified pension plans are the same as those under the STC Pension Plan. These benefits are subject to forfeiture if the employee leaves SLB before the age of 50 with five years of service, engages in certain dishonest acts, or has violated a confidentiality arrangement with us. Reduced benefits are paid to an employee upon separation from service, provided the employee has attained the age of 55, or if earlier, age 50 with 20 years of service. Mr. Le Peuch is eligible for retirement with an unreduced pension under the rule of 85, described above. Mr. Biguet and Ms. Ralston are eligible for early retirement with a reduced pension. These nonqualified plan benefits are payable in cash from SLB’s general assets and are intended to qualify as “excess benefit plans” exempt from certain requirements of Title I of the Employee Retirement Income Security Act of 1974.</w:t>
      </w:r>
    </w:p>
    <w:p>
      <w:pPr>
        <w:spacing w:after="0" w:line="268" w:lineRule="exact"/>
        <w:rPr>
          <w:sz w:val="20"/>
          <w:szCs w:val="20"/>
          <w:color w:val="auto"/>
        </w:rPr>
      </w:pPr>
    </w:p>
    <w:p>
      <w:pPr>
        <w:spacing w:after="0"/>
        <w:rPr>
          <w:sz w:val="20"/>
          <w:szCs w:val="20"/>
          <w:color w:val="auto"/>
        </w:rPr>
      </w:pPr>
      <w:r>
        <w:rPr>
          <w:rFonts w:ascii="Arial" w:cs="Arial" w:eastAsia="Arial" w:hAnsi="Arial"/>
          <w:sz w:val="25"/>
          <w:szCs w:val="25"/>
          <w:color w:val="0233A1"/>
        </w:rPr>
        <w:t>International Staff Pension Plan</w:t>
      </w:r>
    </w:p>
    <w:p>
      <w:pPr>
        <w:spacing w:after="0" w:line="20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We maintain the International Staff Pension Plan for certain employees who work in many different countries over the course of their careers, and who otherwise would be unable to accumulate any meaningful pension. Most of the NEOs have either been in the International Staff Pension Plan at some time during their career prior to becoming an executive officer or are in the plan because of their current assignment. This plan provides for a lifetime annuity upon retirement based on a specified number of years of service. The plan is funded through cash contributions made by SLB together with mandatory contributions by employees.</w:t>
      </w:r>
    </w:p>
    <w:p>
      <w:pPr>
        <w:spacing w:after="0" w:line="16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Prior to 2010, benefits under this plan were based on a participant’s admissible compensation (base salary, geographical or rotational coefficient, as applicable, and cash incentive) for each year in which the employee participated in the plan and the employee’s length of service. The benefit earned up to year-end 2009 is 2.4% of admissible compensation prior to completion of 15 years of service, and 3.2% of admissible compensation for each year of service after 15 years. Benefits are payable upon normal retirement age, at or after age 55, or upon early retirement with a reduction, at or after age 50 with 20 years of service.</w:t>
      </w:r>
    </w:p>
    <w:p>
      <w:pPr>
        <w:spacing w:after="0" w:line="15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6"/>
          <w:szCs w:val="16"/>
          <w:color w:val="auto"/>
        </w:rPr>
        <w:t>With respect to pension rights accrued prior to 2010, Mr. Le Peuch and Mr. Biguet are eligible for normal retirement with no reduction, and Mr. Al Mogharbel and Mr. Merad are eligible for early retirement with a reduced pension. Since 2010, the benefit earned has been equal to 3.5% of admissible compensation regardless of an employee’s years of service. Benefits earned on or after this date are payable upon normal retirement age, at or after age 60, or upon early retirement at or after age 55 with a reduced pension. With respect to pension rights accrued in 2010 or later, Mr. Le Peuch is eligible for normal retirement with no reduction; Mr. Al Mogharbel, Mr. Biguet, and Mr. Merad will become eligible for normal retirement upon reaching age 60; Mr. Biguet is eligible for early retirement with a reduced pension, and Mr. Al Mogharbel and Mr. Merad will become eligible for early retirement upon reaching age 55.</w:t>
      </w:r>
    </w:p>
    <w:p>
      <w:pPr>
        <w:spacing w:after="0" w:line="258" w:lineRule="exact"/>
        <w:rPr>
          <w:sz w:val="20"/>
          <w:szCs w:val="20"/>
          <w:color w:val="auto"/>
        </w:rPr>
      </w:pPr>
    </w:p>
    <w:p>
      <w:pPr>
        <w:spacing w:after="0"/>
        <w:rPr>
          <w:sz w:val="20"/>
          <w:szCs w:val="20"/>
          <w:color w:val="auto"/>
        </w:rPr>
      </w:pPr>
      <w:r>
        <w:rPr>
          <w:rFonts w:ascii="Arial" w:cs="Arial" w:eastAsia="Arial" w:hAnsi="Arial"/>
          <w:sz w:val="29"/>
          <w:szCs w:val="29"/>
          <w:color w:val="16458B"/>
        </w:rPr>
        <w:t>Nonqualified Deferred Compensation</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and the discussion below provide information regarding nonqualified deferred compensation payable to our NEOs.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36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900" w:type="dxa"/>
            <w:vAlign w:val="bottom"/>
          </w:tcPr>
          <w:p>
            <w:pPr>
              <w:jc w:val="right"/>
              <w:ind w:right="119"/>
              <w:spacing w:after="0"/>
              <w:rPr>
                <w:sz w:val="20"/>
                <w:szCs w:val="20"/>
                <w:color w:val="auto"/>
              </w:rPr>
            </w:pPr>
            <w:r>
              <w:rPr>
                <w:rFonts w:ascii="Arial" w:cs="Arial" w:eastAsia="Arial" w:hAnsi="Arial"/>
                <w:sz w:val="16"/>
                <w:szCs w:val="16"/>
                <w:b w:val="1"/>
                <w:bCs w:val="1"/>
                <w:color w:val="0233A1"/>
              </w:rPr>
              <w:t>Executive</w:t>
            </w:r>
          </w:p>
        </w:tc>
        <w:tc>
          <w:tcPr>
            <w:tcW w:w="1280" w:type="dxa"/>
            <w:vAlign w:val="bottom"/>
          </w:tcPr>
          <w:p>
            <w:pPr>
              <w:jc w:val="right"/>
              <w:ind w:right="99"/>
              <w:spacing w:after="0"/>
              <w:rPr>
                <w:sz w:val="20"/>
                <w:szCs w:val="20"/>
                <w:color w:val="auto"/>
              </w:rPr>
            </w:pPr>
            <w:r>
              <w:rPr>
                <w:rFonts w:ascii="Arial" w:cs="Arial" w:eastAsia="Arial" w:hAnsi="Arial"/>
                <w:sz w:val="16"/>
                <w:szCs w:val="16"/>
                <w:b w:val="1"/>
                <w:bCs w:val="1"/>
                <w:color w:val="0233A1"/>
              </w:rPr>
              <w:t>Company</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0233A1"/>
              </w:rPr>
              <w:t>Aggregate</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0233A1"/>
              </w:rPr>
              <w:t>Aggregate</w:t>
            </w:r>
          </w:p>
        </w:tc>
        <w:tc>
          <w:tcPr>
            <w:tcW w:w="1160" w:type="dxa"/>
            <w:vAlign w:val="bottom"/>
          </w:tcPr>
          <w:p>
            <w:pPr>
              <w:jc w:val="right"/>
              <w:ind w:right="179"/>
              <w:spacing w:after="0"/>
              <w:rPr>
                <w:sz w:val="20"/>
                <w:szCs w:val="20"/>
                <w:color w:val="auto"/>
              </w:rPr>
            </w:pPr>
            <w:r>
              <w:rPr>
                <w:rFonts w:ascii="Arial" w:cs="Arial" w:eastAsia="Arial" w:hAnsi="Arial"/>
                <w:sz w:val="16"/>
                <w:szCs w:val="16"/>
                <w:b w:val="1"/>
                <w:bCs w:val="1"/>
                <w:color w:val="0233A1"/>
              </w:rPr>
              <w:t>Aggregate</w:t>
            </w:r>
          </w:p>
        </w:tc>
      </w:tr>
      <w:tr>
        <w:trPr>
          <w:trHeight w:val="189"/>
        </w:trPr>
        <w:tc>
          <w:tcPr>
            <w:tcW w:w="136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900" w:type="dxa"/>
            <w:vAlign w:val="bottom"/>
          </w:tcPr>
          <w:p>
            <w:pPr>
              <w:jc w:val="right"/>
              <w:ind w:right="119"/>
              <w:spacing w:after="0"/>
              <w:rPr>
                <w:sz w:val="20"/>
                <w:szCs w:val="20"/>
                <w:color w:val="auto"/>
              </w:rPr>
            </w:pPr>
            <w:r>
              <w:rPr>
                <w:rFonts w:ascii="Arial" w:cs="Arial" w:eastAsia="Arial" w:hAnsi="Arial"/>
                <w:sz w:val="16"/>
                <w:szCs w:val="16"/>
                <w:b w:val="1"/>
                <w:bCs w:val="1"/>
                <w:color w:val="0233A1"/>
              </w:rPr>
              <w:t>Contributions</w:t>
            </w:r>
          </w:p>
        </w:tc>
        <w:tc>
          <w:tcPr>
            <w:tcW w:w="1280" w:type="dxa"/>
            <w:vAlign w:val="bottom"/>
          </w:tcPr>
          <w:p>
            <w:pPr>
              <w:jc w:val="right"/>
              <w:ind w:right="99"/>
              <w:spacing w:after="0"/>
              <w:rPr>
                <w:sz w:val="20"/>
                <w:szCs w:val="20"/>
                <w:color w:val="auto"/>
              </w:rPr>
            </w:pPr>
            <w:r>
              <w:rPr>
                <w:rFonts w:ascii="Arial" w:cs="Arial" w:eastAsia="Arial" w:hAnsi="Arial"/>
                <w:sz w:val="16"/>
                <w:szCs w:val="16"/>
                <w:b w:val="1"/>
                <w:bCs w:val="1"/>
                <w:color w:val="0233A1"/>
              </w:rPr>
              <w:t>Contributions</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0233A1"/>
              </w:rPr>
              <w:t>Earnings</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0233A1"/>
              </w:rPr>
              <w:t>Withdrawals/</w:t>
            </w:r>
          </w:p>
        </w:tc>
        <w:tc>
          <w:tcPr>
            <w:tcW w:w="1160" w:type="dxa"/>
            <w:vAlign w:val="bottom"/>
          </w:tcPr>
          <w:p>
            <w:pPr>
              <w:jc w:val="right"/>
              <w:ind w:right="179"/>
              <w:spacing w:after="0"/>
              <w:rPr>
                <w:sz w:val="20"/>
                <w:szCs w:val="20"/>
                <w:color w:val="auto"/>
              </w:rPr>
            </w:pPr>
            <w:r>
              <w:rPr>
                <w:rFonts w:ascii="Arial" w:cs="Arial" w:eastAsia="Arial" w:hAnsi="Arial"/>
                <w:sz w:val="16"/>
                <w:szCs w:val="16"/>
                <w:b w:val="1"/>
                <w:bCs w:val="1"/>
                <w:color w:val="0233A1"/>
              </w:rPr>
              <w:t>Balance at</w:t>
            </w:r>
          </w:p>
        </w:tc>
      </w:tr>
      <w:tr>
        <w:trPr>
          <w:trHeight w:val="163"/>
        </w:trPr>
        <w:tc>
          <w:tcPr>
            <w:tcW w:w="13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900" w:type="dxa"/>
            <w:vAlign w:val="bottom"/>
          </w:tcPr>
          <w:p>
            <w:pPr>
              <w:jc w:val="right"/>
              <w:ind w:right="119"/>
              <w:spacing w:after="0" w:line="163" w:lineRule="exact"/>
              <w:rPr>
                <w:sz w:val="20"/>
                <w:szCs w:val="20"/>
                <w:color w:val="auto"/>
              </w:rPr>
            </w:pPr>
            <w:r>
              <w:rPr>
                <w:rFonts w:ascii="Arial" w:cs="Arial" w:eastAsia="Arial" w:hAnsi="Arial"/>
                <w:sz w:val="16"/>
                <w:szCs w:val="16"/>
                <w:b w:val="1"/>
                <w:bCs w:val="1"/>
                <w:color w:val="0233A1"/>
              </w:rPr>
              <w:t>in Last FY</w:t>
            </w:r>
          </w:p>
        </w:tc>
        <w:tc>
          <w:tcPr>
            <w:tcW w:w="1280" w:type="dxa"/>
            <w:vAlign w:val="bottom"/>
          </w:tcPr>
          <w:p>
            <w:pPr>
              <w:jc w:val="right"/>
              <w:ind w:right="99"/>
              <w:spacing w:after="0" w:line="163" w:lineRule="exact"/>
              <w:rPr>
                <w:sz w:val="20"/>
                <w:szCs w:val="20"/>
                <w:color w:val="auto"/>
              </w:rPr>
            </w:pPr>
            <w:r>
              <w:rPr>
                <w:rFonts w:ascii="Arial" w:cs="Arial" w:eastAsia="Arial" w:hAnsi="Arial"/>
                <w:sz w:val="16"/>
                <w:szCs w:val="16"/>
                <w:b w:val="1"/>
                <w:bCs w:val="1"/>
                <w:color w:val="0233A1"/>
              </w:rPr>
              <w:t>in Last FY</w:t>
            </w:r>
          </w:p>
        </w:tc>
        <w:tc>
          <w:tcPr>
            <w:tcW w:w="920" w:type="dxa"/>
            <w:vAlign w:val="bottom"/>
          </w:tcPr>
          <w:p>
            <w:pPr>
              <w:jc w:val="right"/>
              <w:spacing w:after="0" w:line="163" w:lineRule="exact"/>
              <w:rPr>
                <w:sz w:val="20"/>
                <w:szCs w:val="20"/>
                <w:color w:val="auto"/>
              </w:rPr>
            </w:pPr>
            <w:r>
              <w:rPr>
                <w:rFonts w:ascii="Arial" w:cs="Arial" w:eastAsia="Arial" w:hAnsi="Arial"/>
                <w:sz w:val="16"/>
                <w:szCs w:val="16"/>
                <w:b w:val="1"/>
                <w:bCs w:val="1"/>
                <w:color w:val="0233A1"/>
              </w:rPr>
              <w:t>in Last FY</w:t>
            </w:r>
          </w:p>
        </w:tc>
        <w:tc>
          <w:tcPr>
            <w:tcW w:w="1160" w:type="dxa"/>
            <w:vAlign w:val="bottom"/>
          </w:tcPr>
          <w:p>
            <w:pPr>
              <w:jc w:val="right"/>
              <w:spacing w:after="0" w:line="163" w:lineRule="exact"/>
              <w:rPr>
                <w:sz w:val="20"/>
                <w:szCs w:val="20"/>
                <w:color w:val="auto"/>
              </w:rPr>
            </w:pPr>
            <w:r>
              <w:rPr>
                <w:rFonts w:ascii="Arial" w:cs="Arial" w:eastAsia="Arial" w:hAnsi="Arial"/>
                <w:sz w:val="16"/>
                <w:szCs w:val="16"/>
                <w:b w:val="1"/>
                <w:bCs w:val="1"/>
                <w:color w:val="0233A1"/>
              </w:rPr>
              <w:t>Distributions</w:t>
            </w:r>
          </w:p>
        </w:tc>
        <w:tc>
          <w:tcPr>
            <w:tcW w:w="1160" w:type="dxa"/>
            <w:vAlign w:val="bottom"/>
          </w:tcPr>
          <w:p>
            <w:pPr>
              <w:jc w:val="right"/>
              <w:ind w:right="179"/>
              <w:spacing w:after="0" w:line="163" w:lineRule="exact"/>
              <w:rPr>
                <w:sz w:val="20"/>
                <w:szCs w:val="20"/>
                <w:color w:val="auto"/>
              </w:rPr>
            </w:pPr>
            <w:r>
              <w:rPr>
                <w:rFonts w:ascii="Arial" w:cs="Arial" w:eastAsia="Arial" w:hAnsi="Arial"/>
                <w:sz w:val="16"/>
                <w:szCs w:val="16"/>
                <w:b w:val="1"/>
                <w:bCs w:val="1"/>
                <w:color w:val="0233A1"/>
              </w:rPr>
              <w:t>Last FYE</w:t>
            </w:r>
          </w:p>
        </w:tc>
      </w:tr>
      <w:tr>
        <w:trPr>
          <w:trHeight w:val="230"/>
        </w:trPr>
        <w:tc>
          <w:tcPr>
            <w:tcW w:w="1360" w:type="dxa"/>
            <w:vAlign w:val="bottom"/>
            <w:tcBorders>
              <w:bottom w:val="single" w:sz="8" w:color="0233A1"/>
            </w:tcBorders>
          </w:tcPr>
          <w:p>
            <w:pPr>
              <w:ind w:left="60"/>
              <w:spacing w:after="0"/>
              <w:rPr>
                <w:sz w:val="20"/>
                <w:szCs w:val="20"/>
                <w:color w:val="auto"/>
              </w:rPr>
            </w:pPr>
            <w:r>
              <w:rPr>
                <w:rFonts w:ascii="Arial" w:cs="Arial" w:eastAsia="Arial" w:hAnsi="Arial"/>
                <w:sz w:val="16"/>
                <w:szCs w:val="16"/>
                <w:b w:val="1"/>
                <w:bCs w:val="1"/>
                <w:color w:val="0233A1"/>
              </w:rPr>
              <w:t>Name</w:t>
            </w:r>
          </w:p>
        </w:tc>
        <w:tc>
          <w:tcPr>
            <w:tcW w:w="3460" w:type="dxa"/>
            <w:vAlign w:val="bottom"/>
            <w:tcBorders>
              <w:bottom w:val="single" w:sz="8" w:color="0233A1"/>
            </w:tcBorders>
          </w:tcPr>
          <w:p>
            <w:pPr>
              <w:ind w:left="140"/>
              <w:spacing w:after="0"/>
              <w:rPr>
                <w:sz w:val="20"/>
                <w:szCs w:val="20"/>
                <w:color w:val="auto"/>
              </w:rPr>
            </w:pPr>
            <w:r>
              <w:rPr>
                <w:rFonts w:ascii="Arial" w:cs="Arial" w:eastAsia="Arial" w:hAnsi="Arial"/>
                <w:sz w:val="16"/>
                <w:szCs w:val="16"/>
                <w:b w:val="1"/>
                <w:bCs w:val="1"/>
                <w:color w:val="0233A1"/>
              </w:rPr>
              <w:t>Plan Name</w:t>
            </w:r>
          </w:p>
        </w:tc>
        <w:tc>
          <w:tcPr>
            <w:tcW w:w="1900" w:type="dxa"/>
            <w:vAlign w:val="bottom"/>
            <w:tcBorders>
              <w:bottom w:val="single" w:sz="8" w:color="0233A1"/>
            </w:tcBorders>
          </w:tcPr>
          <w:p>
            <w:pPr>
              <w:jc w:val="right"/>
              <w:spacing w:after="0" w:line="230" w:lineRule="exact"/>
              <w:rPr>
                <w:sz w:val="20"/>
                <w:szCs w:val="20"/>
                <w:color w:val="auto"/>
              </w:rPr>
            </w:pPr>
            <w:r>
              <w:rPr>
                <w:rFonts w:ascii="Arial" w:cs="Arial" w:eastAsia="Arial" w:hAnsi="Arial"/>
                <w:sz w:val="16"/>
                <w:szCs w:val="16"/>
                <w:b w:val="1"/>
                <w:bCs w:val="1"/>
                <w:color w:val="0233A1"/>
              </w:rPr>
              <w:t>($)</w:t>
            </w:r>
            <w:r>
              <w:rPr>
                <w:rFonts w:ascii="Arial" w:cs="Arial" w:eastAsia="Arial" w:hAnsi="Arial"/>
                <w:sz w:val="26"/>
                <w:szCs w:val="26"/>
                <w:b w:val="1"/>
                <w:bCs w:val="1"/>
                <w:color w:val="0233A1"/>
                <w:vertAlign w:val="superscript"/>
              </w:rPr>
              <w:t>(1)</w:t>
            </w:r>
          </w:p>
        </w:tc>
        <w:tc>
          <w:tcPr>
            <w:tcW w:w="1280" w:type="dxa"/>
            <w:vAlign w:val="bottom"/>
            <w:tcBorders>
              <w:bottom w:val="single" w:sz="8" w:color="0233A1"/>
            </w:tcBorders>
          </w:tcPr>
          <w:p>
            <w:pPr>
              <w:jc w:val="right"/>
              <w:spacing w:after="0" w:line="230" w:lineRule="exact"/>
              <w:rPr>
                <w:sz w:val="20"/>
                <w:szCs w:val="20"/>
                <w:color w:val="auto"/>
              </w:rPr>
            </w:pPr>
            <w:r>
              <w:rPr>
                <w:rFonts w:ascii="Arial" w:cs="Arial" w:eastAsia="Arial" w:hAnsi="Arial"/>
                <w:sz w:val="16"/>
                <w:szCs w:val="16"/>
                <w:b w:val="1"/>
                <w:bCs w:val="1"/>
                <w:color w:val="0233A1"/>
              </w:rPr>
              <w:t>($)</w:t>
            </w:r>
            <w:r>
              <w:rPr>
                <w:rFonts w:ascii="Arial" w:cs="Arial" w:eastAsia="Arial" w:hAnsi="Arial"/>
                <w:sz w:val="26"/>
                <w:szCs w:val="26"/>
                <w:b w:val="1"/>
                <w:bCs w:val="1"/>
                <w:color w:val="0233A1"/>
                <w:vertAlign w:val="superscript"/>
              </w:rPr>
              <w:t>(2)</w:t>
            </w:r>
          </w:p>
        </w:tc>
        <w:tc>
          <w:tcPr>
            <w:tcW w:w="920" w:type="dxa"/>
            <w:vAlign w:val="bottom"/>
            <w:tcBorders>
              <w:bottom w:val="single" w:sz="8" w:color="0233A1"/>
            </w:tcBorders>
          </w:tcPr>
          <w:p>
            <w:pPr>
              <w:jc w:val="right"/>
              <w:spacing w:after="0"/>
              <w:rPr>
                <w:sz w:val="20"/>
                <w:szCs w:val="20"/>
                <w:color w:val="auto"/>
              </w:rPr>
            </w:pPr>
            <w:r>
              <w:rPr>
                <w:rFonts w:ascii="Arial" w:cs="Arial" w:eastAsia="Arial" w:hAnsi="Arial"/>
                <w:sz w:val="16"/>
                <w:szCs w:val="16"/>
                <w:b w:val="1"/>
                <w:bCs w:val="1"/>
                <w:color w:val="0233A1"/>
              </w:rPr>
              <w:t>($)</w:t>
            </w:r>
          </w:p>
        </w:tc>
        <w:tc>
          <w:tcPr>
            <w:tcW w:w="1160" w:type="dxa"/>
            <w:vAlign w:val="bottom"/>
            <w:tcBorders>
              <w:bottom w:val="single" w:sz="8" w:color="0233A1"/>
            </w:tcBorders>
          </w:tcPr>
          <w:p>
            <w:pPr>
              <w:jc w:val="right"/>
              <w:spacing w:after="0"/>
              <w:rPr>
                <w:sz w:val="20"/>
                <w:szCs w:val="20"/>
                <w:color w:val="auto"/>
              </w:rPr>
            </w:pPr>
            <w:r>
              <w:rPr>
                <w:rFonts w:ascii="Arial" w:cs="Arial" w:eastAsia="Arial" w:hAnsi="Arial"/>
                <w:sz w:val="16"/>
                <w:szCs w:val="16"/>
                <w:b w:val="1"/>
                <w:bCs w:val="1"/>
                <w:color w:val="0233A1"/>
              </w:rPr>
              <w:t>($)</w:t>
            </w:r>
          </w:p>
        </w:tc>
        <w:tc>
          <w:tcPr>
            <w:tcW w:w="1160" w:type="dxa"/>
            <w:vAlign w:val="bottom"/>
            <w:tcBorders>
              <w:bottom w:val="single" w:sz="8" w:color="0233A1"/>
            </w:tcBorders>
          </w:tcPr>
          <w:p>
            <w:pPr>
              <w:jc w:val="right"/>
              <w:ind w:right="19"/>
              <w:spacing w:after="0" w:line="230" w:lineRule="exact"/>
              <w:rPr>
                <w:sz w:val="20"/>
                <w:szCs w:val="20"/>
                <w:color w:val="auto"/>
              </w:rPr>
            </w:pPr>
            <w:r>
              <w:rPr>
                <w:rFonts w:ascii="Arial" w:cs="Arial" w:eastAsia="Arial" w:hAnsi="Arial"/>
                <w:sz w:val="16"/>
                <w:szCs w:val="16"/>
                <w:b w:val="1"/>
                <w:bCs w:val="1"/>
                <w:color w:val="0233A1"/>
              </w:rPr>
              <w:t>($)</w:t>
            </w:r>
            <w:r>
              <w:rPr>
                <w:rFonts w:ascii="Arial" w:cs="Arial" w:eastAsia="Arial" w:hAnsi="Arial"/>
                <w:sz w:val="26"/>
                <w:szCs w:val="26"/>
                <w:b w:val="1"/>
                <w:bCs w:val="1"/>
                <w:color w:val="0233A1"/>
                <w:vertAlign w:val="superscript"/>
              </w:rPr>
              <w:t>(3)</w:t>
            </w:r>
          </w:p>
        </w:tc>
      </w:tr>
      <w:tr>
        <w:trPr>
          <w:trHeight w:val="195"/>
        </w:trPr>
        <w:tc>
          <w:tcPr>
            <w:tcW w:w="1360" w:type="dxa"/>
            <w:vAlign w:val="bottom"/>
          </w:tcPr>
          <w:p>
            <w:pPr>
              <w:ind w:left="60"/>
              <w:spacing w:after="0"/>
              <w:rPr>
                <w:sz w:val="20"/>
                <w:szCs w:val="20"/>
                <w:color w:val="auto"/>
              </w:rPr>
            </w:pPr>
            <w:r>
              <w:rPr>
                <w:rFonts w:ascii="Arial" w:cs="Arial" w:eastAsia="Arial" w:hAnsi="Arial"/>
                <w:sz w:val="16"/>
                <w:szCs w:val="16"/>
                <w:color w:val="auto"/>
              </w:rPr>
              <w:t>O. Le Peuch</w:t>
            </w:r>
          </w:p>
        </w:tc>
        <w:tc>
          <w:tcPr>
            <w:tcW w:w="3460" w:type="dxa"/>
            <w:vAlign w:val="bottom"/>
          </w:tcPr>
          <w:p>
            <w:pPr>
              <w:ind w:left="140"/>
              <w:spacing w:after="0"/>
              <w:rPr>
                <w:sz w:val="20"/>
                <w:szCs w:val="20"/>
                <w:color w:val="auto"/>
              </w:rPr>
            </w:pPr>
            <w:r>
              <w:rPr>
                <w:rFonts w:ascii="Arial" w:cs="Arial" w:eastAsia="Arial" w:hAnsi="Arial"/>
                <w:sz w:val="16"/>
                <w:szCs w:val="16"/>
                <w:color w:val="auto"/>
              </w:rPr>
              <w:t>SLB Supplementary Plan</w:t>
            </w:r>
          </w:p>
        </w:tc>
        <w:tc>
          <w:tcPr>
            <w:tcW w:w="19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13,158</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79"/>
              <w:spacing w:after="0"/>
              <w:rPr>
                <w:sz w:val="20"/>
                <w:szCs w:val="20"/>
                <w:color w:val="auto"/>
              </w:rPr>
            </w:pPr>
            <w:r>
              <w:rPr>
                <w:rFonts w:ascii="Arial" w:cs="Arial" w:eastAsia="Arial" w:hAnsi="Arial"/>
                <w:sz w:val="16"/>
                <w:szCs w:val="16"/>
                <w:color w:val="auto"/>
              </w:rPr>
              <w:t>113,084</w:t>
            </w:r>
          </w:p>
        </w:tc>
      </w:tr>
      <w:tr>
        <w:trPr>
          <w:trHeight w:val="215"/>
        </w:trPr>
        <w:tc>
          <w:tcPr>
            <w:tcW w:w="1360" w:type="dxa"/>
            <w:vAlign w:val="bottom"/>
          </w:tcPr>
          <w:p>
            <w:pPr>
              <w:spacing w:after="0"/>
              <w:rPr>
                <w:sz w:val="18"/>
                <w:szCs w:val="18"/>
                <w:color w:val="auto"/>
              </w:rPr>
            </w:pPr>
          </w:p>
        </w:tc>
        <w:tc>
          <w:tcPr>
            <w:tcW w:w="3460" w:type="dxa"/>
            <w:vAlign w:val="bottom"/>
          </w:tcPr>
          <w:p>
            <w:pPr>
              <w:ind w:left="140"/>
              <w:spacing w:after="0"/>
              <w:rPr>
                <w:sz w:val="20"/>
                <w:szCs w:val="20"/>
                <w:color w:val="auto"/>
              </w:rPr>
            </w:pPr>
            <w:r>
              <w:rPr>
                <w:rFonts w:ascii="Arial" w:cs="Arial" w:eastAsia="Arial" w:hAnsi="Arial"/>
                <w:sz w:val="16"/>
                <w:szCs w:val="16"/>
                <w:color w:val="auto"/>
              </w:rPr>
              <w:t>International Staff Profit Sharing Plan</w:t>
            </w:r>
          </w:p>
        </w:tc>
        <w:tc>
          <w:tcPr>
            <w:tcW w:w="19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228,442</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79"/>
              <w:spacing w:after="0"/>
              <w:rPr>
                <w:sz w:val="20"/>
                <w:szCs w:val="20"/>
                <w:color w:val="auto"/>
              </w:rPr>
            </w:pPr>
            <w:r>
              <w:rPr>
                <w:rFonts w:ascii="Arial" w:cs="Arial" w:eastAsia="Arial" w:hAnsi="Arial"/>
                <w:sz w:val="16"/>
                <w:szCs w:val="16"/>
                <w:color w:val="auto"/>
              </w:rPr>
              <w:t>1,664,541</w:t>
            </w:r>
          </w:p>
        </w:tc>
      </w:tr>
      <w:tr>
        <w:trPr>
          <w:trHeight w:val="216"/>
        </w:trPr>
        <w:tc>
          <w:tcPr>
            <w:tcW w:w="1360" w:type="dxa"/>
            <w:vAlign w:val="bottom"/>
          </w:tcPr>
          <w:p>
            <w:pPr>
              <w:spacing w:after="0"/>
              <w:rPr>
                <w:sz w:val="18"/>
                <w:szCs w:val="18"/>
                <w:color w:val="auto"/>
              </w:rPr>
            </w:pPr>
          </w:p>
        </w:tc>
        <w:tc>
          <w:tcPr>
            <w:tcW w:w="3460" w:type="dxa"/>
            <w:vAlign w:val="bottom"/>
          </w:tcPr>
          <w:p>
            <w:pPr>
              <w:ind w:left="140"/>
              <w:spacing w:after="0"/>
              <w:rPr>
                <w:sz w:val="20"/>
                <w:szCs w:val="20"/>
                <w:color w:val="auto"/>
              </w:rPr>
            </w:pPr>
            <w:r>
              <w:rPr>
                <w:rFonts w:ascii="Arial" w:cs="Arial" w:eastAsia="Arial" w:hAnsi="Arial"/>
                <w:sz w:val="16"/>
                <w:szCs w:val="16"/>
                <w:color w:val="auto"/>
              </w:rPr>
              <w:t>Restoration Savings Plan</w:t>
            </w:r>
          </w:p>
        </w:tc>
        <w:tc>
          <w:tcPr>
            <w:tcW w:w="1900" w:type="dxa"/>
            <w:vAlign w:val="bottom"/>
          </w:tcPr>
          <w:p>
            <w:pPr>
              <w:jc w:val="right"/>
              <w:ind w:right="119"/>
              <w:spacing w:after="0"/>
              <w:rPr>
                <w:sz w:val="20"/>
                <w:szCs w:val="20"/>
                <w:color w:val="auto"/>
              </w:rPr>
            </w:pPr>
            <w:r>
              <w:rPr>
                <w:rFonts w:ascii="Arial" w:cs="Arial" w:eastAsia="Arial" w:hAnsi="Arial"/>
                <w:sz w:val="16"/>
                <w:szCs w:val="16"/>
                <w:color w:val="auto"/>
              </w:rPr>
              <w:t>944,925</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94,492</w:t>
            </w:r>
          </w:p>
        </w:tc>
        <w:tc>
          <w:tcPr>
            <w:tcW w:w="920" w:type="dxa"/>
            <w:vAlign w:val="bottom"/>
          </w:tcPr>
          <w:p>
            <w:pPr>
              <w:jc w:val="right"/>
              <w:spacing w:after="0"/>
              <w:rPr>
                <w:sz w:val="20"/>
                <w:szCs w:val="20"/>
                <w:color w:val="auto"/>
              </w:rPr>
            </w:pPr>
            <w:r>
              <w:rPr>
                <w:rFonts w:ascii="Arial" w:cs="Arial" w:eastAsia="Arial" w:hAnsi="Arial"/>
                <w:sz w:val="16"/>
                <w:szCs w:val="16"/>
                <w:color w:val="auto"/>
              </w:rPr>
              <w:t>1,041,535</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79"/>
              <w:spacing w:after="0"/>
              <w:rPr>
                <w:sz w:val="20"/>
                <w:szCs w:val="20"/>
                <w:color w:val="auto"/>
              </w:rPr>
            </w:pPr>
            <w:r>
              <w:rPr>
                <w:rFonts w:ascii="Arial" w:cs="Arial" w:eastAsia="Arial" w:hAnsi="Arial"/>
                <w:sz w:val="16"/>
                <w:szCs w:val="16"/>
                <w:color w:val="auto"/>
              </w:rPr>
              <w:t>7,544,417</w:t>
            </w:r>
          </w:p>
        </w:tc>
      </w:tr>
      <w:tr>
        <w:trPr>
          <w:trHeight w:val="216"/>
        </w:trPr>
        <w:tc>
          <w:tcPr>
            <w:tcW w:w="1360" w:type="dxa"/>
            <w:vAlign w:val="bottom"/>
          </w:tcPr>
          <w:p>
            <w:pPr>
              <w:ind w:left="60"/>
              <w:spacing w:after="0"/>
              <w:rPr>
                <w:sz w:val="20"/>
                <w:szCs w:val="20"/>
                <w:color w:val="auto"/>
              </w:rPr>
            </w:pPr>
            <w:r>
              <w:rPr>
                <w:rFonts w:ascii="Arial" w:cs="Arial" w:eastAsia="Arial" w:hAnsi="Arial"/>
                <w:sz w:val="16"/>
                <w:szCs w:val="16"/>
                <w:color w:val="auto"/>
              </w:rPr>
              <w:t>S. Biguet</w:t>
            </w:r>
          </w:p>
        </w:tc>
        <w:tc>
          <w:tcPr>
            <w:tcW w:w="3460" w:type="dxa"/>
            <w:vAlign w:val="bottom"/>
          </w:tcPr>
          <w:p>
            <w:pPr>
              <w:ind w:left="140"/>
              <w:spacing w:after="0"/>
              <w:rPr>
                <w:sz w:val="20"/>
                <w:szCs w:val="20"/>
                <w:color w:val="auto"/>
              </w:rPr>
            </w:pPr>
            <w:r>
              <w:rPr>
                <w:rFonts w:ascii="Arial" w:cs="Arial" w:eastAsia="Arial" w:hAnsi="Arial"/>
                <w:sz w:val="16"/>
                <w:szCs w:val="16"/>
                <w:color w:val="auto"/>
              </w:rPr>
              <w:t>SLB Supplementary Plan</w:t>
            </w:r>
          </w:p>
        </w:tc>
        <w:tc>
          <w:tcPr>
            <w:tcW w:w="19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1,012</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79"/>
              <w:spacing w:after="0"/>
              <w:rPr>
                <w:sz w:val="20"/>
                <w:szCs w:val="20"/>
                <w:color w:val="auto"/>
              </w:rPr>
            </w:pPr>
            <w:r>
              <w:rPr>
                <w:rFonts w:ascii="Arial" w:cs="Arial" w:eastAsia="Arial" w:hAnsi="Arial"/>
                <w:sz w:val="16"/>
                <w:szCs w:val="16"/>
                <w:color w:val="auto"/>
              </w:rPr>
              <w:t>18,911</w:t>
            </w:r>
          </w:p>
        </w:tc>
      </w:tr>
      <w:tr>
        <w:trPr>
          <w:trHeight w:val="216"/>
        </w:trPr>
        <w:tc>
          <w:tcPr>
            <w:tcW w:w="1360" w:type="dxa"/>
            <w:vAlign w:val="bottom"/>
          </w:tcPr>
          <w:p>
            <w:pPr>
              <w:spacing w:after="0"/>
              <w:rPr>
                <w:sz w:val="18"/>
                <w:szCs w:val="18"/>
                <w:color w:val="auto"/>
              </w:rPr>
            </w:pPr>
          </w:p>
        </w:tc>
        <w:tc>
          <w:tcPr>
            <w:tcW w:w="3460" w:type="dxa"/>
            <w:vAlign w:val="bottom"/>
          </w:tcPr>
          <w:p>
            <w:pPr>
              <w:ind w:left="140"/>
              <w:spacing w:after="0"/>
              <w:rPr>
                <w:sz w:val="20"/>
                <w:szCs w:val="20"/>
                <w:color w:val="auto"/>
              </w:rPr>
            </w:pPr>
            <w:r>
              <w:rPr>
                <w:rFonts w:ascii="Arial" w:cs="Arial" w:eastAsia="Arial" w:hAnsi="Arial"/>
                <w:sz w:val="16"/>
                <w:szCs w:val="16"/>
                <w:color w:val="auto"/>
              </w:rPr>
              <w:t>International Staff Profit Sharing Plan</w:t>
            </w:r>
          </w:p>
        </w:tc>
        <w:tc>
          <w:tcPr>
            <w:tcW w:w="19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71,254</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79"/>
              <w:spacing w:after="0"/>
              <w:rPr>
                <w:sz w:val="20"/>
                <w:szCs w:val="20"/>
                <w:color w:val="auto"/>
              </w:rPr>
            </w:pPr>
            <w:r>
              <w:rPr>
                <w:rFonts w:ascii="Arial" w:cs="Arial" w:eastAsia="Arial" w:hAnsi="Arial"/>
                <w:sz w:val="16"/>
                <w:szCs w:val="16"/>
                <w:color w:val="auto"/>
              </w:rPr>
              <w:t>495,624</w:t>
            </w:r>
          </w:p>
        </w:tc>
      </w:tr>
      <w:tr>
        <w:trPr>
          <w:trHeight w:val="216"/>
        </w:trPr>
        <w:tc>
          <w:tcPr>
            <w:tcW w:w="1360" w:type="dxa"/>
            <w:vAlign w:val="bottom"/>
          </w:tcPr>
          <w:p>
            <w:pPr>
              <w:spacing w:after="0"/>
              <w:rPr>
                <w:sz w:val="18"/>
                <w:szCs w:val="18"/>
                <w:color w:val="auto"/>
              </w:rPr>
            </w:pPr>
          </w:p>
        </w:tc>
        <w:tc>
          <w:tcPr>
            <w:tcW w:w="3460" w:type="dxa"/>
            <w:vAlign w:val="bottom"/>
          </w:tcPr>
          <w:p>
            <w:pPr>
              <w:ind w:left="140"/>
              <w:spacing w:after="0"/>
              <w:rPr>
                <w:sz w:val="20"/>
                <w:szCs w:val="20"/>
                <w:color w:val="auto"/>
              </w:rPr>
            </w:pPr>
            <w:r>
              <w:rPr>
                <w:rFonts w:ascii="Arial" w:cs="Arial" w:eastAsia="Arial" w:hAnsi="Arial"/>
                <w:sz w:val="16"/>
                <w:szCs w:val="16"/>
                <w:color w:val="auto"/>
              </w:rPr>
              <w:t>Restoration Savings Plan</w:t>
            </w:r>
          </w:p>
        </w:tc>
        <w:tc>
          <w:tcPr>
            <w:tcW w:w="1900" w:type="dxa"/>
            <w:vAlign w:val="bottom"/>
          </w:tcPr>
          <w:p>
            <w:pPr>
              <w:jc w:val="right"/>
              <w:ind w:right="119"/>
              <w:spacing w:after="0"/>
              <w:rPr>
                <w:sz w:val="20"/>
                <w:szCs w:val="20"/>
                <w:color w:val="auto"/>
              </w:rPr>
            </w:pPr>
            <w:r>
              <w:rPr>
                <w:rFonts w:ascii="Arial" w:cs="Arial" w:eastAsia="Arial" w:hAnsi="Arial"/>
                <w:sz w:val="16"/>
                <w:szCs w:val="16"/>
                <w:color w:val="auto"/>
              </w:rPr>
              <w:t>302,663</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36,320</w:t>
            </w:r>
          </w:p>
        </w:tc>
        <w:tc>
          <w:tcPr>
            <w:tcW w:w="920" w:type="dxa"/>
            <w:vAlign w:val="bottom"/>
          </w:tcPr>
          <w:p>
            <w:pPr>
              <w:jc w:val="right"/>
              <w:spacing w:after="0"/>
              <w:rPr>
                <w:sz w:val="20"/>
                <w:szCs w:val="20"/>
                <w:color w:val="auto"/>
              </w:rPr>
            </w:pPr>
            <w:r>
              <w:rPr>
                <w:rFonts w:ascii="Arial" w:cs="Arial" w:eastAsia="Arial" w:hAnsi="Arial"/>
                <w:sz w:val="16"/>
                <w:szCs w:val="16"/>
                <w:color w:val="auto"/>
              </w:rPr>
              <w:t>374,591</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79"/>
              <w:spacing w:after="0"/>
              <w:rPr>
                <w:sz w:val="20"/>
                <w:szCs w:val="20"/>
                <w:color w:val="auto"/>
              </w:rPr>
            </w:pPr>
            <w:r>
              <w:rPr>
                <w:rFonts w:ascii="Arial" w:cs="Arial" w:eastAsia="Arial" w:hAnsi="Arial"/>
                <w:sz w:val="16"/>
                <w:szCs w:val="16"/>
                <w:color w:val="auto"/>
              </w:rPr>
              <w:t>2,177,790</w:t>
            </w:r>
          </w:p>
        </w:tc>
      </w:tr>
      <w:tr>
        <w:trPr>
          <w:trHeight w:val="217"/>
        </w:trPr>
        <w:tc>
          <w:tcPr>
            <w:tcW w:w="1360" w:type="dxa"/>
            <w:vAlign w:val="bottom"/>
          </w:tcPr>
          <w:p>
            <w:pPr>
              <w:ind w:left="60"/>
              <w:spacing w:after="0"/>
              <w:rPr>
                <w:sz w:val="20"/>
                <w:szCs w:val="20"/>
                <w:color w:val="auto"/>
              </w:rPr>
            </w:pPr>
            <w:r>
              <w:rPr>
                <w:rFonts w:ascii="Arial" w:cs="Arial" w:eastAsia="Arial" w:hAnsi="Arial"/>
                <w:sz w:val="16"/>
                <w:szCs w:val="16"/>
                <w:color w:val="auto"/>
              </w:rPr>
              <w:t>K. Al Mogharbel</w:t>
            </w:r>
          </w:p>
        </w:tc>
        <w:tc>
          <w:tcPr>
            <w:tcW w:w="3460" w:type="dxa"/>
            <w:vAlign w:val="bottom"/>
          </w:tcPr>
          <w:p>
            <w:pPr>
              <w:ind w:left="140"/>
              <w:spacing w:after="0"/>
              <w:rPr>
                <w:sz w:val="20"/>
                <w:szCs w:val="20"/>
                <w:color w:val="auto"/>
              </w:rPr>
            </w:pPr>
            <w:r>
              <w:rPr>
                <w:rFonts w:ascii="Arial" w:cs="Arial" w:eastAsia="Arial" w:hAnsi="Arial"/>
                <w:sz w:val="16"/>
                <w:szCs w:val="16"/>
                <w:color w:val="auto"/>
              </w:rPr>
              <w:t>SLB Supplementary Plan</w:t>
            </w:r>
          </w:p>
        </w:tc>
        <w:tc>
          <w:tcPr>
            <w:tcW w:w="19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26,378</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79"/>
              <w:spacing w:after="0"/>
              <w:rPr>
                <w:sz w:val="20"/>
                <w:szCs w:val="20"/>
                <w:color w:val="auto"/>
              </w:rPr>
            </w:pPr>
            <w:r>
              <w:rPr>
                <w:rFonts w:ascii="Arial" w:cs="Arial" w:eastAsia="Arial" w:hAnsi="Arial"/>
                <w:sz w:val="16"/>
                <w:szCs w:val="16"/>
                <w:color w:val="auto"/>
              </w:rPr>
              <w:t>188,588</w:t>
            </w:r>
          </w:p>
        </w:tc>
      </w:tr>
      <w:tr>
        <w:trPr>
          <w:trHeight w:val="215"/>
        </w:trPr>
        <w:tc>
          <w:tcPr>
            <w:tcW w:w="1360" w:type="dxa"/>
            <w:vAlign w:val="bottom"/>
          </w:tcPr>
          <w:p>
            <w:pPr>
              <w:spacing w:after="0"/>
              <w:rPr>
                <w:sz w:val="18"/>
                <w:szCs w:val="18"/>
                <w:color w:val="auto"/>
              </w:rPr>
            </w:pPr>
          </w:p>
        </w:tc>
        <w:tc>
          <w:tcPr>
            <w:tcW w:w="3460" w:type="dxa"/>
            <w:vAlign w:val="bottom"/>
          </w:tcPr>
          <w:p>
            <w:pPr>
              <w:ind w:left="140"/>
              <w:spacing w:after="0"/>
              <w:rPr>
                <w:sz w:val="20"/>
                <w:szCs w:val="20"/>
                <w:color w:val="auto"/>
              </w:rPr>
            </w:pPr>
            <w:r>
              <w:rPr>
                <w:rFonts w:ascii="Arial" w:cs="Arial" w:eastAsia="Arial" w:hAnsi="Arial"/>
                <w:sz w:val="16"/>
                <w:szCs w:val="16"/>
                <w:color w:val="auto"/>
              </w:rPr>
              <w:t>International Staff Profit Sharing Plan</w:t>
            </w:r>
          </w:p>
        </w:tc>
        <w:tc>
          <w:tcPr>
            <w:tcW w:w="19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114,564</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79"/>
              <w:spacing w:after="0"/>
              <w:rPr>
                <w:sz w:val="20"/>
                <w:szCs w:val="20"/>
                <w:color w:val="auto"/>
              </w:rPr>
            </w:pPr>
            <w:r>
              <w:rPr>
                <w:rFonts w:ascii="Arial" w:cs="Arial" w:eastAsia="Arial" w:hAnsi="Arial"/>
                <w:sz w:val="16"/>
                <w:szCs w:val="16"/>
                <w:color w:val="auto"/>
              </w:rPr>
              <w:t>834,773</w:t>
            </w:r>
          </w:p>
        </w:tc>
      </w:tr>
      <w:tr>
        <w:trPr>
          <w:trHeight w:val="216"/>
        </w:trPr>
        <w:tc>
          <w:tcPr>
            <w:tcW w:w="1360" w:type="dxa"/>
            <w:vAlign w:val="bottom"/>
          </w:tcPr>
          <w:p>
            <w:pPr>
              <w:spacing w:after="0"/>
              <w:rPr>
                <w:sz w:val="18"/>
                <w:szCs w:val="18"/>
                <w:color w:val="auto"/>
              </w:rPr>
            </w:pPr>
          </w:p>
        </w:tc>
        <w:tc>
          <w:tcPr>
            <w:tcW w:w="3460" w:type="dxa"/>
            <w:vAlign w:val="bottom"/>
          </w:tcPr>
          <w:p>
            <w:pPr>
              <w:ind w:left="140"/>
              <w:spacing w:after="0"/>
              <w:rPr>
                <w:sz w:val="20"/>
                <w:szCs w:val="20"/>
                <w:color w:val="auto"/>
              </w:rPr>
            </w:pPr>
            <w:r>
              <w:rPr>
                <w:rFonts w:ascii="Arial" w:cs="Arial" w:eastAsia="Arial" w:hAnsi="Arial"/>
                <w:sz w:val="16"/>
                <w:szCs w:val="16"/>
                <w:color w:val="auto"/>
              </w:rPr>
              <w:t>Restoration Savings Plan</w:t>
            </w:r>
          </w:p>
        </w:tc>
        <w:tc>
          <w:tcPr>
            <w:tcW w:w="1900" w:type="dxa"/>
            <w:vAlign w:val="bottom"/>
          </w:tcPr>
          <w:p>
            <w:pPr>
              <w:jc w:val="right"/>
              <w:ind w:right="119"/>
              <w:spacing w:after="0"/>
              <w:rPr>
                <w:sz w:val="20"/>
                <w:szCs w:val="20"/>
                <w:color w:val="auto"/>
              </w:rPr>
            </w:pPr>
            <w:r>
              <w:rPr>
                <w:rFonts w:ascii="Arial" w:cs="Arial" w:eastAsia="Arial" w:hAnsi="Arial"/>
                <w:sz w:val="16"/>
                <w:szCs w:val="16"/>
                <w:color w:val="auto"/>
              </w:rPr>
              <w:t>130,125</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78,075</w:t>
            </w:r>
          </w:p>
        </w:tc>
        <w:tc>
          <w:tcPr>
            <w:tcW w:w="920" w:type="dxa"/>
            <w:vAlign w:val="bottom"/>
          </w:tcPr>
          <w:p>
            <w:pPr>
              <w:jc w:val="right"/>
              <w:spacing w:after="0"/>
              <w:rPr>
                <w:sz w:val="20"/>
                <w:szCs w:val="20"/>
                <w:color w:val="auto"/>
              </w:rPr>
            </w:pPr>
            <w:r>
              <w:rPr>
                <w:rFonts w:ascii="Arial" w:cs="Arial" w:eastAsia="Arial" w:hAnsi="Arial"/>
                <w:sz w:val="16"/>
                <w:szCs w:val="16"/>
                <w:color w:val="auto"/>
              </w:rPr>
              <w:t>518,802</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79"/>
              <w:spacing w:after="0"/>
              <w:rPr>
                <w:sz w:val="20"/>
                <w:szCs w:val="20"/>
                <w:color w:val="auto"/>
              </w:rPr>
            </w:pPr>
            <w:r>
              <w:rPr>
                <w:rFonts w:ascii="Arial" w:cs="Arial" w:eastAsia="Arial" w:hAnsi="Arial"/>
                <w:sz w:val="16"/>
                <w:szCs w:val="16"/>
                <w:color w:val="auto"/>
              </w:rPr>
              <w:t>3,332,332</w:t>
            </w:r>
          </w:p>
        </w:tc>
      </w:tr>
      <w:tr>
        <w:trPr>
          <w:trHeight w:val="216"/>
        </w:trPr>
        <w:tc>
          <w:tcPr>
            <w:tcW w:w="1360" w:type="dxa"/>
            <w:vAlign w:val="bottom"/>
          </w:tcPr>
          <w:p>
            <w:pPr>
              <w:ind w:left="60"/>
              <w:spacing w:after="0"/>
              <w:rPr>
                <w:sz w:val="20"/>
                <w:szCs w:val="20"/>
                <w:color w:val="auto"/>
              </w:rPr>
            </w:pPr>
            <w:r>
              <w:rPr>
                <w:rFonts w:ascii="Arial" w:cs="Arial" w:eastAsia="Arial" w:hAnsi="Arial"/>
                <w:sz w:val="16"/>
                <w:szCs w:val="16"/>
                <w:color w:val="auto"/>
              </w:rPr>
              <w:t>A. Merad</w:t>
            </w:r>
          </w:p>
        </w:tc>
        <w:tc>
          <w:tcPr>
            <w:tcW w:w="3460" w:type="dxa"/>
            <w:vAlign w:val="bottom"/>
          </w:tcPr>
          <w:p>
            <w:pPr>
              <w:ind w:left="140"/>
              <w:spacing w:after="0"/>
              <w:rPr>
                <w:sz w:val="20"/>
                <w:szCs w:val="20"/>
                <w:color w:val="auto"/>
              </w:rPr>
            </w:pPr>
            <w:r>
              <w:rPr>
                <w:rFonts w:ascii="Arial" w:cs="Arial" w:eastAsia="Arial" w:hAnsi="Arial"/>
                <w:sz w:val="16"/>
                <w:szCs w:val="16"/>
                <w:color w:val="auto"/>
              </w:rPr>
              <w:t>SLB Supplementary Plan</w:t>
            </w:r>
          </w:p>
        </w:tc>
        <w:tc>
          <w:tcPr>
            <w:tcW w:w="19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482</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79"/>
              <w:spacing w:after="0"/>
              <w:rPr>
                <w:sz w:val="20"/>
                <w:szCs w:val="20"/>
                <w:color w:val="auto"/>
              </w:rPr>
            </w:pPr>
            <w:r>
              <w:rPr>
                <w:rFonts w:ascii="Arial" w:cs="Arial" w:eastAsia="Arial" w:hAnsi="Arial"/>
                <w:sz w:val="16"/>
                <w:szCs w:val="16"/>
                <w:color w:val="auto"/>
              </w:rPr>
              <w:t>3,447</w:t>
            </w:r>
          </w:p>
        </w:tc>
      </w:tr>
      <w:tr>
        <w:trPr>
          <w:trHeight w:val="216"/>
        </w:trPr>
        <w:tc>
          <w:tcPr>
            <w:tcW w:w="1360" w:type="dxa"/>
            <w:vAlign w:val="bottom"/>
          </w:tcPr>
          <w:p>
            <w:pPr>
              <w:spacing w:after="0"/>
              <w:rPr>
                <w:sz w:val="18"/>
                <w:szCs w:val="18"/>
                <w:color w:val="auto"/>
              </w:rPr>
            </w:pPr>
          </w:p>
        </w:tc>
        <w:tc>
          <w:tcPr>
            <w:tcW w:w="3460" w:type="dxa"/>
            <w:vAlign w:val="bottom"/>
          </w:tcPr>
          <w:p>
            <w:pPr>
              <w:ind w:left="140"/>
              <w:spacing w:after="0"/>
              <w:rPr>
                <w:sz w:val="20"/>
                <w:szCs w:val="20"/>
                <w:color w:val="auto"/>
              </w:rPr>
            </w:pPr>
            <w:r>
              <w:rPr>
                <w:rFonts w:ascii="Arial" w:cs="Arial" w:eastAsia="Arial" w:hAnsi="Arial"/>
                <w:sz w:val="16"/>
                <w:szCs w:val="16"/>
                <w:color w:val="auto"/>
              </w:rPr>
              <w:t>International Staff Profit Sharing Plan</w:t>
            </w:r>
          </w:p>
        </w:tc>
        <w:tc>
          <w:tcPr>
            <w:tcW w:w="19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84,621</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79"/>
              <w:spacing w:after="0"/>
              <w:rPr>
                <w:sz w:val="20"/>
                <w:szCs w:val="20"/>
                <w:color w:val="auto"/>
              </w:rPr>
            </w:pPr>
            <w:r>
              <w:rPr>
                <w:rFonts w:ascii="Arial" w:cs="Arial" w:eastAsia="Arial" w:hAnsi="Arial"/>
                <w:sz w:val="16"/>
                <w:szCs w:val="16"/>
                <w:color w:val="auto"/>
              </w:rPr>
              <w:t>616,593</w:t>
            </w:r>
          </w:p>
        </w:tc>
      </w:tr>
      <w:tr>
        <w:trPr>
          <w:trHeight w:val="216"/>
        </w:trPr>
        <w:tc>
          <w:tcPr>
            <w:tcW w:w="1360" w:type="dxa"/>
            <w:vAlign w:val="bottom"/>
          </w:tcPr>
          <w:p>
            <w:pPr>
              <w:spacing w:after="0"/>
              <w:rPr>
                <w:sz w:val="18"/>
                <w:szCs w:val="18"/>
                <w:color w:val="auto"/>
              </w:rPr>
            </w:pPr>
          </w:p>
        </w:tc>
        <w:tc>
          <w:tcPr>
            <w:tcW w:w="3460" w:type="dxa"/>
            <w:vAlign w:val="bottom"/>
          </w:tcPr>
          <w:p>
            <w:pPr>
              <w:ind w:left="140"/>
              <w:spacing w:after="0"/>
              <w:rPr>
                <w:sz w:val="20"/>
                <w:szCs w:val="20"/>
                <w:color w:val="auto"/>
              </w:rPr>
            </w:pPr>
            <w:r>
              <w:rPr>
                <w:rFonts w:ascii="Arial" w:cs="Arial" w:eastAsia="Arial" w:hAnsi="Arial"/>
                <w:sz w:val="16"/>
                <w:szCs w:val="16"/>
                <w:color w:val="auto"/>
              </w:rPr>
              <w:t>Restoration Savings Plan</w:t>
            </w:r>
          </w:p>
        </w:tc>
        <w:tc>
          <w:tcPr>
            <w:tcW w:w="1900" w:type="dxa"/>
            <w:vAlign w:val="bottom"/>
          </w:tcPr>
          <w:p>
            <w:pPr>
              <w:jc w:val="right"/>
              <w:ind w:right="119"/>
              <w:spacing w:after="0"/>
              <w:rPr>
                <w:sz w:val="20"/>
                <w:szCs w:val="20"/>
                <w:color w:val="auto"/>
              </w:rPr>
            </w:pPr>
            <w:r>
              <w:rPr>
                <w:rFonts w:ascii="Arial" w:cs="Arial" w:eastAsia="Arial" w:hAnsi="Arial"/>
                <w:sz w:val="16"/>
                <w:szCs w:val="16"/>
                <w:color w:val="auto"/>
              </w:rPr>
              <w:t>65,409</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65,409</w:t>
            </w:r>
          </w:p>
        </w:tc>
        <w:tc>
          <w:tcPr>
            <w:tcW w:w="920" w:type="dxa"/>
            <w:vAlign w:val="bottom"/>
          </w:tcPr>
          <w:p>
            <w:pPr>
              <w:jc w:val="right"/>
              <w:spacing w:after="0"/>
              <w:rPr>
                <w:sz w:val="20"/>
                <w:szCs w:val="20"/>
                <w:color w:val="auto"/>
              </w:rPr>
            </w:pPr>
            <w:r>
              <w:rPr>
                <w:rFonts w:ascii="Arial" w:cs="Arial" w:eastAsia="Arial" w:hAnsi="Arial"/>
                <w:sz w:val="16"/>
                <w:szCs w:val="16"/>
                <w:color w:val="auto"/>
              </w:rPr>
              <w:t>180,738</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79"/>
              <w:spacing w:after="0"/>
              <w:rPr>
                <w:sz w:val="20"/>
                <w:szCs w:val="20"/>
                <w:color w:val="auto"/>
              </w:rPr>
            </w:pPr>
            <w:r>
              <w:rPr>
                <w:rFonts w:ascii="Arial" w:cs="Arial" w:eastAsia="Arial" w:hAnsi="Arial"/>
                <w:sz w:val="16"/>
                <w:szCs w:val="16"/>
                <w:color w:val="auto"/>
              </w:rPr>
              <w:t>889,724</w:t>
            </w:r>
          </w:p>
        </w:tc>
      </w:tr>
      <w:tr>
        <w:trPr>
          <w:trHeight w:val="225"/>
        </w:trPr>
        <w:tc>
          <w:tcPr>
            <w:tcW w:w="1360" w:type="dxa"/>
            <w:vAlign w:val="bottom"/>
            <w:tcBorders>
              <w:bottom w:val="single" w:sz="8" w:color="0233A1"/>
            </w:tcBorders>
          </w:tcPr>
          <w:p>
            <w:pPr>
              <w:ind w:left="60"/>
              <w:spacing w:after="0"/>
              <w:rPr>
                <w:sz w:val="20"/>
                <w:szCs w:val="20"/>
                <w:color w:val="auto"/>
              </w:rPr>
            </w:pPr>
            <w:r>
              <w:rPr>
                <w:rFonts w:ascii="Arial" w:cs="Arial" w:eastAsia="Arial" w:hAnsi="Arial"/>
                <w:sz w:val="16"/>
                <w:szCs w:val="16"/>
                <w:color w:val="auto"/>
              </w:rPr>
              <w:t>D. Ralston</w:t>
            </w:r>
          </w:p>
        </w:tc>
        <w:tc>
          <w:tcPr>
            <w:tcW w:w="3460" w:type="dxa"/>
            <w:vAlign w:val="bottom"/>
            <w:tcBorders>
              <w:bottom w:val="single" w:sz="8" w:color="0233A1"/>
            </w:tcBorders>
          </w:tcPr>
          <w:p>
            <w:pPr>
              <w:ind w:left="140"/>
              <w:spacing w:after="0"/>
              <w:rPr>
                <w:sz w:val="20"/>
                <w:szCs w:val="20"/>
                <w:color w:val="auto"/>
              </w:rPr>
            </w:pPr>
            <w:r>
              <w:rPr>
                <w:rFonts w:ascii="Arial" w:cs="Arial" w:eastAsia="Arial" w:hAnsi="Arial"/>
                <w:sz w:val="16"/>
                <w:szCs w:val="16"/>
                <w:color w:val="auto"/>
              </w:rPr>
              <w:t>Restoration Savings Plan</w:t>
            </w:r>
          </w:p>
        </w:tc>
        <w:tc>
          <w:tcPr>
            <w:tcW w:w="1900" w:type="dxa"/>
            <w:vAlign w:val="bottom"/>
            <w:tcBorders>
              <w:bottom w:val="single" w:sz="8" w:color="0233A1"/>
            </w:tcBorders>
          </w:tcPr>
          <w:p>
            <w:pPr>
              <w:jc w:val="right"/>
              <w:ind w:right="119"/>
              <w:spacing w:after="0"/>
              <w:rPr>
                <w:sz w:val="20"/>
                <w:szCs w:val="20"/>
                <w:color w:val="auto"/>
              </w:rPr>
            </w:pPr>
            <w:r>
              <w:rPr>
                <w:rFonts w:ascii="Arial" w:cs="Arial" w:eastAsia="Arial" w:hAnsi="Arial"/>
                <w:sz w:val="16"/>
                <w:szCs w:val="16"/>
                <w:color w:val="auto"/>
              </w:rPr>
              <w:t>100,127</w:t>
            </w:r>
          </w:p>
        </w:tc>
        <w:tc>
          <w:tcPr>
            <w:tcW w:w="1280" w:type="dxa"/>
            <w:vAlign w:val="bottom"/>
            <w:tcBorders>
              <w:bottom w:val="single" w:sz="8" w:color="0233A1"/>
            </w:tcBorders>
          </w:tcPr>
          <w:p>
            <w:pPr>
              <w:jc w:val="right"/>
              <w:ind w:right="99"/>
              <w:spacing w:after="0"/>
              <w:rPr>
                <w:sz w:val="20"/>
                <w:szCs w:val="20"/>
                <w:color w:val="auto"/>
              </w:rPr>
            </w:pPr>
            <w:r>
              <w:rPr>
                <w:rFonts w:ascii="Arial" w:cs="Arial" w:eastAsia="Arial" w:hAnsi="Arial"/>
                <w:sz w:val="16"/>
                <w:szCs w:val="16"/>
                <w:color w:val="auto"/>
              </w:rPr>
              <w:t>30,038</w:t>
            </w:r>
          </w:p>
        </w:tc>
        <w:tc>
          <w:tcPr>
            <w:tcW w:w="920" w:type="dxa"/>
            <w:vAlign w:val="bottom"/>
            <w:tcBorders>
              <w:bottom w:val="single" w:sz="8" w:color="0233A1"/>
            </w:tcBorders>
          </w:tcPr>
          <w:p>
            <w:pPr>
              <w:jc w:val="right"/>
              <w:spacing w:after="0"/>
              <w:rPr>
                <w:sz w:val="20"/>
                <w:szCs w:val="20"/>
                <w:color w:val="auto"/>
              </w:rPr>
            </w:pPr>
            <w:r>
              <w:rPr>
                <w:rFonts w:ascii="Arial" w:cs="Arial" w:eastAsia="Arial" w:hAnsi="Arial"/>
                <w:sz w:val="16"/>
                <w:szCs w:val="16"/>
                <w:color w:val="auto"/>
              </w:rPr>
              <w:t>111,517</w:t>
            </w:r>
          </w:p>
        </w:tc>
        <w:tc>
          <w:tcPr>
            <w:tcW w:w="1160" w:type="dxa"/>
            <w:vAlign w:val="bottom"/>
            <w:tcBorders>
              <w:bottom w:val="single" w:sz="8" w:color="0233A1"/>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0233A1"/>
            </w:tcBorders>
          </w:tcPr>
          <w:p>
            <w:pPr>
              <w:jc w:val="right"/>
              <w:ind w:right="179"/>
              <w:spacing w:after="0"/>
              <w:rPr>
                <w:sz w:val="20"/>
                <w:szCs w:val="20"/>
                <w:color w:val="auto"/>
              </w:rPr>
            </w:pPr>
            <w:r>
              <w:rPr>
                <w:rFonts w:ascii="Arial" w:cs="Arial" w:eastAsia="Arial" w:hAnsi="Arial"/>
                <w:sz w:val="16"/>
                <w:szCs w:val="16"/>
                <w:color w:val="auto"/>
              </w:rPr>
              <w:t>493,269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8255"/>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956310</wp:posOffset>
            </wp:positionH>
            <wp:positionV relativeFrom="paragraph">
              <wp:posOffset>-290830</wp:posOffset>
            </wp:positionV>
            <wp:extent cx="6180455" cy="8890"/>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6180455" cy="8890"/>
                    </a:xfrm>
                    <a:prstGeom prst="rect">
                      <a:avLst/>
                    </a:prstGeom>
                    <a:noFill/>
                  </pic:spPr>
                </pic:pic>
              </a:graphicData>
            </a:graphic>
          </wp:anchor>
        </w:drawing>
        <w:drawing>
          <wp:anchor simplePos="0" relativeHeight="251657728" behindDoc="1" locked="0" layoutInCell="0" allowOverlap="1">
            <wp:simplePos x="0" y="0"/>
            <wp:positionH relativeFrom="column">
              <wp:posOffset>956310</wp:posOffset>
            </wp:positionH>
            <wp:positionV relativeFrom="paragraph">
              <wp:posOffset>-427990</wp:posOffset>
            </wp:positionV>
            <wp:extent cx="6180455" cy="8255"/>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61804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-565150</wp:posOffset>
            </wp:positionV>
            <wp:extent cx="7132320" cy="8890"/>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956310</wp:posOffset>
            </wp:positionH>
            <wp:positionV relativeFrom="paragraph">
              <wp:posOffset>-702310</wp:posOffset>
            </wp:positionV>
            <wp:extent cx="6180455" cy="8255"/>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6180455" cy="8255"/>
                    </a:xfrm>
                    <a:prstGeom prst="rect">
                      <a:avLst/>
                    </a:prstGeom>
                    <a:noFill/>
                  </pic:spPr>
                </pic:pic>
              </a:graphicData>
            </a:graphic>
          </wp:anchor>
        </w:drawing>
        <w:drawing>
          <wp:anchor simplePos="0" relativeHeight="251657728" behindDoc="1" locked="0" layoutInCell="0" allowOverlap="1">
            <wp:simplePos x="0" y="0"/>
            <wp:positionH relativeFrom="column">
              <wp:posOffset>956310</wp:posOffset>
            </wp:positionH>
            <wp:positionV relativeFrom="paragraph">
              <wp:posOffset>-839470</wp:posOffset>
            </wp:positionV>
            <wp:extent cx="6180455" cy="8255"/>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61804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-976630</wp:posOffset>
            </wp:positionV>
            <wp:extent cx="7132320" cy="8890"/>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956310</wp:posOffset>
            </wp:positionH>
            <wp:positionV relativeFrom="paragraph">
              <wp:posOffset>-1113790</wp:posOffset>
            </wp:positionV>
            <wp:extent cx="6180455" cy="8255"/>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6180455" cy="8255"/>
                    </a:xfrm>
                    <a:prstGeom prst="rect">
                      <a:avLst/>
                    </a:prstGeom>
                    <a:noFill/>
                  </pic:spPr>
                </pic:pic>
              </a:graphicData>
            </a:graphic>
          </wp:anchor>
        </w:drawing>
        <w:drawing>
          <wp:anchor simplePos="0" relativeHeight="251657728" behindDoc="1" locked="0" layoutInCell="0" allowOverlap="1">
            <wp:simplePos x="0" y="0"/>
            <wp:positionH relativeFrom="column">
              <wp:posOffset>956310</wp:posOffset>
            </wp:positionH>
            <wp:positionV relativeFrom="paragraph">
              <wp:posOffset>-1250950</wp:posOffset>
            </wp:positionV>
            <wp:extent cx="6180455" cy="8255"/>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61804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-1388110</wp:posOffset>
            </wp:positionV>
            <wp:extent cx="7132320" cy="8890"/>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956310</wp:posOffset>
            </wp:positionH>
            <wp:positionV relativeFrom="paragraph">
              <wp:posOffset>-1525270</wp:posOffset>
            </wp:positionV>
            <wp:extent cx="6180455" cy="8255"/>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6180455" cy="8255"/>
                    </a:xfrm>
                    <a:prstGeom prst="rect">
                      <a:avLst/>
                    </a:prstGeom>
                    <a:noFill/>
                  </pic:spPr>
                </pic:pic>
              </a:graphicData>
            </a:graphic>
          </wp:anchor>
        </w:drawing>
        <w:drawing>
          <wp:anchor simplePos="0" relativeHeight="251657728" behindDoc="1" locked="0" layoutInCell="0" allowOverlap="1">
            <wp:simplePos x="0" y="0"/>
            <wp:positionH relativeFrom="column">
              <wp:posOffset>956310</wp:posOffset>
            </wp:positionH>
            <wp:positionV relativeFrom="paragraph">
              <wp:posOffset>-1662430</wp:posOffset>
            </wp:positionV>
            <wp:extent cx="6180455" cy="8255"/>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38"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Represents an NEO’s elective contributions to the Restoration Savings Plan of a portion of base salary and non-equity incentive plan compensation.</w:t>
      </w:r>
    </w:p>
    <w:p>
      <w:pPr>
        <w:spacing w:after="0" w:line="55" w:lineRule="exact"/>
        <w:rPr>
          <w:rFonts w:ascii="Arial" w:cs="Arial" w:eastAsia="Arial" w:hAnsi="Arial"/>
          <w:sz w:val="14"/>
          <w:szCs w:val="14"/>
          <w:color w:val="auto"/>
        </w:rPr>
      </w:pPr>
    </w:p>
    <w:p>
      <w:pPr>
        <w:ind w:left="340" w:right="20" w:hanging="332"/>
        <w:spacing w:after="0" w:line="281" w:lineRule="auto"/>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Represents SLB’s contributions to each NEO’s SLB Supplementary Plan, International Staff Profit Sharing Plan, and Restoration Savings Plan accounts, as applicable, which amounts are also reported as 2023 “All Other Compensation” in the Summary Compensation Table.</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Represents each NEO’s account balances for the SLB Supplementary Plan, International Staff Profit Sharing Plan, and Restoration Savings Plan,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203835</wp:posOffset>
            </wp:positionV>
            <wp:extent cx="471805" cy="282575"/>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2024 Proxy Statement</w:t>
            </w:r>
          </w:p>
        </w:tc>
        <w:tc>
          <w:tcPr>
            <w:tcW w:w="3600" w:type="dxa"/>
            <w:vAlign w:val="bottom"/>
            <w:tcBorders>
              <w:bottom w:val="single" w:sz="8" w:color="auto"/>
            </w:tcBorders>
          </w:tcPr>
          <w:p>
            <w:pPr>
              <w:spacing w:after="0"/>
              <w:rPr>
                <w:sz w:val="12"/>
                <w:szCs w:val="12"/>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55</w:t>
            </w:r>
          </w:p>
        </w:tc>
        <w:tc>
          <w:tcPr>
            <w:tcW w:w="4480" w:type="dxa"/>
            <w:vAlign w:val="bottom"/>
            <w:tcBorders>
              <w:bottom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36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48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60" w:name="page61"/>
    <w:bookmarkEnd w:id="60"/>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3" w:lineRule="exact"/>
        <w:rPr>
          <w:sz w:val="20"/>
          <w:szCs w:val="20"/>
          <w:color w:val="auto"/>
        </w:rPr>
      </w:pPr>
    </w:p>
    <w:p>
      <w:pPr>
        <w:spacing w:after="0"/>
        <w:rPr>
          <w:sz w:val="20"/>
          <w:szCs w:val="20"/>
          <w:color w:val="auto"/>
        </w:rPr>
      </w:pPr>
      <w:r>
        <w:rPr>
          <w:rFonts w:ascii="Arial" w:cs="Arial" w:eastAsia="Arial" w:hAnsi="Arial"/>
          <w:sz w:val="25"/>
          <w:szCs w:val="25"/>
          <w:color w:val="0233A1"/>
        </w:rPr>
        <w:t>Supplementary Benefit Plans</w:t>
      </w:r>
    </w:p>
    <w:p>
      <w:pPr>
        <w:spacing w:after="0" w:line="20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The Supplementary Plans provide eligible employees, including our NEOs, with certain non-tax-qualified defined contribution benefits that are not permissible under a tax-qualified plan due to Internal Revenue Code limits on (1) annual compensation that can be taken into account under the qualified plan and (2) annual benefits that can be provided under the qualified plan. These nonqualified plan benefits are credited with earnings and losses based on employee investment elections. An employee forfeits rights under the nonqualified plans if the employee terminates employment before completing four years of service, engages in certain dishonest acts, or has violated a confidentiality arrangement with us. These nonqualified plan benefits are paid in a lump-sum payment following the end of the year in which the employee terminates active service, or the employee can elect to receive payment in installments of five or ten years following the termination of service.</w:t>
      </w:r>
    </w:p>
    <w:p>
      <w:pPr>
        <w:spacing w:after="0" w:line="267" w:lineRule="exact"/>
        <w:rPr>
          <w:sz w:val="20"/>
          <w:szCs w:val="20"/>
          <w:color w:val="auto"/>
        </w:rPr>
      </w:pPr>
    </w:p>
    <w:p>
      <w:pPr>
        <w:spacing w:after="0"/>
        <w:rPr>
          <w:sz w:val="20"/>
          <w:szCs w:val="20"/>
          <w:color w:val="auto"/>
        </w:rPr>
      </w:pPr>
      <w:r>
        <w:rPr>
          <w:rFonts w:ascii="Arial" w:cs="Arial" w:eastAsia="Arial" w:hAnsi="Arial"/>
          <w:sz w:val="25"/>
          <w:szCs w:val="25"/>
          <w:color w:val="0233A1"/>
        </w:rPr>
        <w:t>International Staff Profit Sharing Plan</w:t>
      </w:r>
    </w:p>
    <w:p>
      <w:pPr>
        <w:spacing w:after="0" w:line="20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SLB maintains the International Staff Profit Sharing Plan which, through year-end 2023, provided for an annual employer contribution based on admissible compensation (base salary, geographical or rotational coefficient, as applicable, and cash incentive). Amounts allocated to the participants’ accounts share in investment gains and/or losses of the trust fund and are generally distributed in a lump sum upon the satisfaction of certain conditions on termination of employment or, upon the employee’s election, may be converted to additional pension rights under the International Staff Pension Plan. Effective January 1, 2024, SLB ceased to provide employer contributions to the International Staff Profit Sharing Plan. Benefits earned under the International Staff Profit Sharing Plan will be forfeited upon a determination by the International Staff Profit Sharing Plan’s administrator that the employee’s separation from service was due to circumstances of fraud or misconduct detrimental to us or any customer.</w:t>
      </w:r>
    </w:p>
    <w:p>
      <w:pPr>
        <w:spacing w:after="0" w:line="267" w:lineRule="exact"/>
        <w:rPr>
          <w:sz w:val="20"/>
          <w:szCs w:val="20"/>
          <w:color w:val="auto"/>
        </w:rPr>
      </w:pPr>
    </w:p>
    <w:p>
      <w:pPr>
        <w:spacing w:after="0"/>
        <w:rPr>
          <w:sz w:val="20"/>
          <w:szCs w:val="20"/>
          <w:color w:val="auto"/>
        </w:rPr>
      </w:pPr>
      <w:r>
        <w:rPr>
          <w:rFonts w:ascii="Arial" w:cs="Arial" w:eastAsia="Arial" w:hAnsi="Arial"/>
          <w:sz w:val="25"/>
          <w:szCs w:val="25"/>
          <w:color w:val="0233A1"/>
        </w:rPr>
        <w:t>Restoration Savings Plans</w:t>
      </w:r>
    </w:p>
    <w:p>
      <w:pPr>
        <w:spacing w:after="0" w:line="2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The Restoration Savings Plan, a nonqualified deferred compensation plan, provides certain defined contribution benefits for our NEOs and other eligible employees. The Restoration Savings Plan allows an eligible employee to defer compensation (and receive an associated employer match) that the employee cannot otherwise defer under a tax-qualified plan because of Internal Revenue Code limits on the amount of compensation that can be taken into account. STC maintains the STC Restoration Savings Plan with substantially identical terms as the Restoration Savings Plan.</w:t>
      </w:r>
    </w:p>
    <w:p>
      <w:pPr>
        <w:spacing w:after="0" w:line="15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An eligible employee may elect in advance to defer a percentage (from 1% to 50%) of admissible compensation (generally base salary and cash incentive) over the Internal Revenue Code annual compensation limits. We make matching contributions with respect to each employee’s deferrals. For employees who participate in any SLB tax-qualified pension plan, the amount of the matching contribution equaled 50% of the first 6% deferred by the employee in 2023. For employees who do not participate in any SLB tax-qualified pension plan, the matching contribution was 100% of the first 6% deferred by the employee in 2023. Effective January 1, 2024, SLB added for all Restoration Savings Plan participants: (1) an additional matching contribution equal to 50% of deferrals exceeding 6% up to 10%, and (2) a non-elective Company contribution of 2% of admissible compensation over the IRS limit. The match is made each payroll period and the non-elective Company contribution is made on an annual basis. Neither the match nor the non-elective Company contribution is contingent on SLB’s profitability. Employees’ accounts are credited with earnings based on their investment elections. All NEOs are 100% vested in their Restoration Savings Plan matching contributions and related earnings.</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6"/>
          <w:szCs w:val="16"/>
          <w:color w:val="auto"/>
        </w:rPr>
        <w:t>An employee’s vested account balance is paid in a single lump sum (subject to tax withholding) following the participant’s death, qualifying disability, retirement, or other qualifying termination of employment or, subject to certain limitations, the employee can elect to receive payment in installments of five or ten years following the termination of employment. However, employees forfeit all benefits under the plan if a determination is made that they have engaged in certain dishonest acts or violated a confidentiality arrangement with us. Payment to key employees is delayed six months following separation from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471170" cy="282575"/>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471170" cy="28257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both"/>
        <w:ind w:left="5540"/>
        <w:spacing w:after="0"/>
        <w:tabs>
          <w:tab w:leader="none" w:pos="9540" w:val="left"/>
        </w:tabs>
        <w:rPr>
          <w:sz w:val="20"/>
          <w:szCs w:val="20"/>
          <w:color w:val="auto"/>
        </w:rPr>
      </w:pPr>
      <w:r>
        <w:rPr>
          <w:rFonts w:ascii="Arial" w:cs="Arial" w:eastAsia="Arial" w:hAnsi="Arial"/>
          <w:sz w:val="16"/>
          <w:szCs w:val="16"/>
          <w:b w:val="1"/>
          <w:bCs w:val="1"/>
          <w:color w:val="auto"/>
        </w:rPr>
        <w:t>56</w:t>
      </w:r>
      <w:r>
        <w:rPr>
          <w:sz w:val="20"/>
          <w:szCs w:val="20"/>
          <w:color w:val="auto"/>
        </w:rPr>
        <w:tab/>
      </w:r>
      <w:r>
        <w:rPr>
          <w:rFonts w:ascii="Arial" w:cs="Arial" w:eastAsia="Arial" w:hAnsi="Arial"/>
          <w:sz w:val="16"/>
          <w:szCs w:val="16"/>
          <w:b w:val="1"/>
          <w:bCs w:val="1"/>
          <w:color w:val="636466"/>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-29845</wp:posOffset>
            </wp:positionV>
            <wp:extent cx="5417820" cy="17145"/>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34290"/>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61" w:name="page62"/>
    <w:bookmarkEnd w:id="61"/>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color w:val="16458B"/>
        </w:rPr>
        <w:t>Potential Payments Upon Termination or Change in Control</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Our NEOs generally receive the same benefits as our other employees. As is the case with our other compensation arrangements, any differences are generally due to local (country-specific) requirements. In line with this practice, our NEOs do not have employment agreements, severance agreements, “golden parachutes,” or change in control agreements. Our NEOs serve at the will of the Board, which enables SLB to terminate their employment using judgment as to the necessity or terms of any severance arrangement and based on specific circumstances at the time they cease being executive officers.</w:t>
      </w:r>
    </w:p>
    <w:p>
      <w:pPr>
        <w:spacing w:after="0" w:line="15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All employees who receive equity awards, including our NEOs, are subject to the same terms and conditions in the event of a termination or change in control, except for certain stock options that were assumed in connection with our acquisition of Cameron International Corporation (</w:t>
      </w:r>
      <w:r>
        <w:rPr>
          <w:rFonts w:ascii="Arial" w:cs="Arial" w:eastAsia="Arial" w:hAnsi="Arial"/>
          <w:sz w:val="16"/>
          <w:szCs w:val="16"/>
          <w:b w:val="1"/>
          <w:bCs w:val="1"/>
          <w:color w:val="auto"/>
        </w:rPr>
        <w:t>Cameron</w:t>
      </w:r>
      <w:r>
        <w:rPr>
          <w:rFonts w:ascii="Arial" w:cs="Arial" w:eastAsia="Arial" w:hAnsi="Arial"/>
          <w:sz w:val="16"/>
          <w:szCs w:val="16"/>
          <w:color w:val="auto"/>
        </w:rPr>
        <w:t>), none of which are held by our NEOs.</w:t>
      </w: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color w:val="0233A1"/>
        </w:rPr>
        <w:t>Termination of Employment</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PSUs and RSUs</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If an NEO’s employment with SLB terminates prior to an applicable vesting date, that NEO’s PSUs and RSUs will be treated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20" w:type="dxa"/>
            <w:vAlign w:val="bottom"/>
            <w:tcBorders>
              <w:bottom w:val="single" w:sz="8" w:color="0233A1"/>
            </w:tcBorders>
          </w:tcPr>
          <w:p>
            <w:pPr>
              <w:ind w:left="60"/>
              <w:spacing w:after="0"/>
              <w:rPr>
                <w:sz w:val="20"/>
                <w:szCs w:val="20"/>
                <w:color w:val="auto"/>
              </w:rPr>
            </w:pPr>
            <w:r>
              <w:rPr>
                <w:rFonts w:ascii="Arial" w:cs="Arial" w:eastAsia="Arial" w:hAnsi="Arial"/>
                <w:sz w:val="16"/>
                <w:szCs w:val="16"/>
                <w:b w:val="1"/>
                <w:bCs w:val="1"/>
                <w:color w:val="0233A1"/>
              </w:rPr>
              <w:t>Reason for Termination of Employment</w:t>
            </w:r>
          </w:p>
        </w:tc>
        <w:tc>
          <w:tcPr>
            <w:tcW w:w="5720" w:type="dxa"/>
            <w:vAlign w:val="bottom"/>
            <w:tcBorders>
              <w:bottom w:val="single" w:sz="8" w:color="0233A1"/>
            </w:tcBorders>
          </w:tcPr>
          <w:p>
            <w:pPr>
              <w:ind w:left="220"/>
              <w:spacing w:after="0"/>
              <w:rPr>
                <w:sz w:val="20"/>
                <w:szCs w:val="20"/>
                <w:color w:val="auto"/>
              </w:rPr>
            </w:pPr>
            <w:r>
              <w:rPr>
                <w:rFonts w:ascii="Arial" w:cs="Arial" w:eastAsia="Arial" w:hAnsi="Arial"/>
                <w:sz w:val="16"/>
                <w:szCs w:val="16"/>
                <w:b w:val="1"/>
                <w:bCs w:val="1"/>
                <w:color w:val="0233A1"/>
              </w:rPr>
              <w:t>Vesting</w:t>
            </w:r>
          </w:p>
        </w:tc>
      </w:tr>
      <w:tr>
        <w:trPr>
          <w:trHeight w:val="221"/>
        </w:trPr>
        <w:tc>
          <w:tcPr>
            <w:tcW w:w="5520" w:type="dxa"/>
            <w:vAlign w:val="bottom"/>
          </w:tcPr>
          <w:p>
            <w:pPr>
              <w:ind w:left="60"/>
              <w:spacing w:after="0"/>
              <w:rPr>
                <w:sz w:val="20"/>
                <w:szCs w:val="20"/>
                <w:color w:val="auto"/>
              </w:rPr>
            </w:pPr>
            <w:r>
              <w:rPr>
                <w:rFonts w:ascii="Arial" w:cs="Arial" w:eastAsia="Arial" w:hAnsi="Arial"/>
                <w:sz w:val="16"/>
                <w:szCs w:val="16"/>
                <w:color w:val="auto"/>
              </w:rPr>
              <w:t>Death or Disability</w:t>
            </w:r>
          </w:p>
        </w:tc>
        <w:tc>
          <w:tcPr>
            <w:tcW w:w="5720" w:type="dxa"/>
            <w:vAlign w:val="bottom"/>
          </w:tcPr>
          <w:p>
            <w:pPr>
              <w:ind w:left="220"/>
              <w:spacing w:after="0"/>
              <w:rPr>
                <w:sz w:val="20"/>
                <w:szCs w:val="20"/>
                <w:color w:val="auto"/>
              </w:rPr>
            </w:pPr>
            <w:r>
              <w:rPr>
                <w:rFonts w:ascii="Arial" w:cs="Arial" w:eastAsia="Arial" w:hAnsi="Arial"/>
                <w:sz w:val="16"/>
                <w:szCs w:val="16"/>
                <w:color w:val="auto"/>
              </w:rPr>
              <w:t>Full, immediate vesting of target number of PSUs and all unvested RSUs</w:t>
            </w:r>
          </w:p>
        </w:tc>
      </w:tr>
      <w:tr>
        <w:trPr>
          <w:trHeight w:val="258"/>
        </w:trPr>
        <w:tc>
          <w:tcPr>
            <w:tcW w:w="5520" w:type="dxa"/>
            <w:vAlign w:val="bottom"/>
          </w:tcPr>
          <w:p>
            <w:pPr>
              <w:ind w:left="60"/>
              <w:spacing w:after="0"/>
              <w:rPr>
                <w:sz w:val="20"/>
                <w:szCs w:val="20"/>
                <w:color w:val="auto"/>
              </w:rPr>
            </w:pPr>
            <w:r>
              <w:rPr>
                <w:rFonts w:ascii="Arial" w:cs="Arial" w:eastAsia="Arial" w:hAnsi="Arial"/>
                <w:sz w:val="16"/>
                <w:szCs w:val="16"/>
                <w:color w:val="auto"/>
              </w:rPr>
              <w:t>Retirement or, with Compensation Committee approval, Early Retirement</w:t>
            </w:r>
          </w:p>
        </w:tc>
        <w:tc>
          <w:tcPr>
            <w:tcW w:w="5720" w:type="dxa"/>
            <w:vAlign w:val="bottom"/>
          </w:tcPr>
          <w:p>
            <w:pPr>
              <w:ind w:left="220"/>
              <w:spacing w:after="0"/>
              <w:rPr>
                <w:sz w:val="20"/>
                <w:szCs w:val="20"/>
                <w:color w:val="auto"/>
              </w:rPr>
            </w:pPr>
            <w:r>
              <w:rPr>
                <w:rFonts w:ascii="Arial" w:cs="Arial" w:eastAsia="Arial" w:hAnsi="Arial"/>
                <w:sz w:val="16"/>
                <w:szCs w:val="16"/>
                <w:color w:val="auto"/>
              </w:rPr>
              <w:t>Continued vesting of PSUs and RSUs on the regularly scheduled vesting</w:t>
            </w:r>
          </w:p>
        </w:tc>
      </w:tr>
      <w:tr>
        <w:trPr>
          <w:trHeight w:val="189"/>
        </w:trPr>
        <w:tc>
          <w:tcPr>
            <w:tcW w:w="5520" w:type="dxa"/>
            <w:vAlign w:val="bottom"/>
          </w:tcPr>
          <w:p>
            <w:pPr>
              <w:spacing w:after="0"/>
              <w:rPr>
                <w:sz w:val="16"/>
                <w:szCs w:val="16"/>
                <w:color w:val="auto"/>
              </w:rPr>
            </w:pPr>
          </w:p>
        </w:tc>
        <w:tc>
          <w:tcPr>
            <w:tcW w:w="5720" w:type="dxa"/>
            <w:vAlign w:val="bottom"/>
          </w:tcPr>
          <w:p>
            <w:pPr>
              <w:ind w:left="220"/>
              <w:spacing w:after="0"/>
              <w:rPr>
                <w:sz w:val="20"/>
                <w:szCs w:val="20"/>
                <w:color w:val="auto"/>
              </w:rPr>
            </w:pPr>
            <w:r>
              <w:rPr>
                <w:rFonts w:ascii="Arial" w:cs="Arial" w:eastAsia="Arial" w:hAnsi="Arial"/>
                <w:sz w:val="16"/>
                <w:szCs w:val="16"/>
                <w:color w:val="auto"/>
              </w:rPr>
              <w:t>dates, with the number of PSUs determined as if the holder’s employment</w:t>
            </w:r>
          </w:p>
        </w:tc>
      </w:tr>
      <w:tr>
        <w:trPr>
          <w:trHeight w:val="215"/>
        </w:trPr>
        <w:tc>
          <w:tcPr>
            <w:tcW w:w="5520" w:type="dxa"/>
            <w:vAlign w:val="bottom"/>
          </w:tcPr>
          <w:p>
            <w:pPr>
              <w:spacing w:after="0"/>
              <w:rPr>
                <w:sz w:val="18"/>
                <w:szCs w:val="18"/>
                <w:color w:val="auto"/>
              </w:rPr>
            </w:pPr>
          </w:p>
        </w:tc>
        <w:tc>
          <w:tcPr>
            <w:tcW w:w="5720" w:type="dxa"/>
            <w:vAlign w:val="bottom"/>
          </w:tcPr>
          <w:p>
            <w:pPr>
              <w:ind w:left="220"/>
              <w:spacing w:after="0"/>
              <w:rPr>
                <w:sz w:val="20"/>
                <w:szCs w:val="20"/>
                <w:color w:val="auto"/>
              </w:rPr>
            </w:pPr>
            <w:r>
              <w:rPr>
                <w:rFonts w:ascii="Arial" w:cs="Arial" w:eastAsia="Arial" w:hAnsi="Arial"/>
                <w:sz w:val="16"/>
                <w:szCs w:val="16"/>
                <w:color w:val="auto"/>
              </w:rPr>
              <w:t>had not been terminated</w:t>
            </w:r>
          </w:p>
        </w:tc>
      </w:tr>
      <w:tr>
        <w:trPr>
          <w:trHeight w:val="204"/>
        </w:trPr>
        <w:tc>
          <w:tcPr>
            <w:tcW w:w="5520" w:type="dxa"/>
            <w:vAlign w:val="bottom"/>
          </w:tcPr>
          <w:p>
            <w:pPr>
              <w:ind w:left="60"/>
              <w:spacing w:after="0"/>
              <w:rPr>
                <w:sz w:val="20"/>
                <w:szCs w:val="20"/>
                <w:color w:val="auto"/>
              </w:rPr>
            </w:pPr>
            <w:r>
              <w:rPr>
                <w:rFonts w:ascii="Arial" w:cs="Arial" w:eastAsia="Arial" w:hAnsi="Arial"/>
                <w:sz w:val="16"/>
                <w:szCs w:val="16"/>
                <w:color w:val="auto"/>
              </w:rPr>
              <w:t>With Compensation Committee approval, Special Retirement</w:t>
            </w:r>
          </w:p>
        </w:tc>
        <w:tc>
          <w:tcPr>
            <w:tcW w:w="5720" w:type="dxa"/>
            <w:vAlign w:val="bottom"/>
          </w:tcPr>
          <w:p>
            <w:pPr>
              <w:ind w:left="220"/>
              <w:spacing w:after="0"/>
              <w:rPr>
                <w:sz w:val="20"/>
                <w:szCs w:val="20"/>
                <w:color w:val="auto"/>
              </w:rPr>
            </w:pPr>
            <w:r>
              <w:rPr>
                <w:rFonts w:ascii="Arial" w:cs="Arial" w:eastAsia="Arial" w:hAnsi="Arial"/>
                <w:sz w:val="16"/>
                <w:szCs w:val="16"/>
                <w:color w:val="auto"/>
              </w:rPr>
              <w:t>Continued vesting of PSUs on the regularly scheduled vesting dates, with</w:t>
            </w:r>
          </w:p>
        </w:tc>
      </w:tr>
      <w:tr>
        <w:trPr>
          <w:trHeight w:val="189"/>
        </w:trPr>
        <w:tc>
          <w:tcPr>
            <w:tcW w:w="5520" w:type="dxa"/>
            <w:vAlign w:val="bottom"/>
          </w:tcPr>
          <w:p>
            <w:pPr>
              <w:spacing w:after="0"/>
              <w:rPr>
                <w:sz w:val="16"/>
                <w:szCs w:val="16"/>
                <w:color w:val="auto"/>
              </w:rPr>
            </w:pPr>
          </w:p>
        </w:tc>
        <w:tc>
          <w:tcPr>
            <w:tcW w:w="5720" w:type="dxa"/>
            <w:vAlign w:val="bottom"/>
          </w:tcPr>
          <w:p>
            <w:pPr>
              <w:ind w:left="220"/>
              <w:spacing w:after="0"/>
              <w:rPr>
                <w:sz w:val="20"/>
                <w:szCs w:val="20"/>
                <w:color w:val="auto"/>
              </w:rPr>
            </w:pPr>
            <w:r>
              <w:rPr>
                <w:rFonts w:ascii="Arial" w:cs="Arial" w:eastAsia="Arial" w:hAnsi="Arial"/>
                <w:sz w:val="16"/>
                <w:szCs w:val="16"/>
                <w:color w:val="auto"/>
              </w:rPr>
              <w:t>the number of PSUs determined as if the holder’s employment had not</w:t>
            </w:r>
          </w:p>
        </w:tc>
      </w:tr>
      <w:tr>
        <w:trPr>
          <w:trHeight w:val="215"/>
        </w:trPr>
        <w:tc>
          <w:tcPr>
            <w:tcW w:w="5520" w:type="dxa"/>
            <w:vAlign w:val="bottom"/>
          </w:tcPr>
          <w:p>
            <w:pPr>
              <w:spacing w:after="0"/>
              <w:rPr>
                <w:sz w:val="18"/>
                <w:szCs w:val="18"/>
                <w:color w:val="auto"/>
              </w:rPr>
            </w:pPr>
          </w:p>
        </w:tc>
        <w:tc>
          <w:tcPr>
            <w:tcW w:w="5720" w:type="dxa"/>
            <w:vAlign w:val="bottom"/>
          </w:tcPr>
          <w:p>
            <w:pPr>
              <w:ind w:left="220"/>
              <w:spacing w:after="0"/>
              <w:rPr>
                <w:sz w:val="20"/>
                <w:szCs w:val="20"/>
                <w:color w:val="auto"/>
              </w:rPr>
            </w:pPr>
            <w:r>
              <w:rPr>
                <w:rFonts w:ascii="Arial" w:cs="Arial" w:eastAsia="Arial" w:hAnsi="Arial"/>
                <w:sz w:val="16"/>
                <w:szCs w:val="16"/>
                <w:color w:val="auto"/>
              </w:rPr>
              <w:t>been terminated; and no additional vesting of RSUs</w:t>
            </w:r>
          </w:p>
        </w:tc>
      </w:tr>
      <w:tr>
        <w:trPr>
          <w:trHeight w:val="229"/>
        </w:trPr>
        <w:tc>
          <w:tcPr>
            <w:tcW w:w="5520" w:type="dxa"/>
            <w:vAlign w:val="bottom"/>
          </w:tcPr>
          <w:p>
            <w:pPr>
              <w:ind w:left="60"/>
              <w:spacing w:after="0"/>
              <w:rPr>
                <w:sz w:val="20"/>
                <w:szCs w:val="20"/>
                <w:color w:val="auto"/>
              </w:rPr>
            </w:pPr>
            <w:r>
              <w:rPr>
                <w:rFonts w:ascii="Arial" w:cs="Arial" w:eastAsia="Arial" w:hAnsi="Arial"/>
                <w:sz w:val="16"/>
                <w:szCs w:val="16"/>
                <w:color w:val="auto"/>
              </w:rPr>
              <w:t>Any other reason</w:t>
            </w:r>
          </w:p>
        </w:tc>
        <w:tc>
          <w:tcPr>
            <w:tcW w:w="5720" w:type="dxa"/>
            <w:vAlign w:val="bottom"/>
          </w:tcPr>
          <w:p>
            <w:pPr>
              <w:ind w:left="220"/>
              <w:spacing w:after="0"/>
              <w:rPr>
                <w:sz w:val="20"/>
                <w:szCs w:val="20"/>
                <w:color w:val="auto"/>
              </w:rPr>
            </w:pPr>
            <w:r>
              <w:rPr>
                <w:rFonts w:ascii="Arial" w:cs="Arial" w:eastAsia="Arial" w:hAnsi="Arial"/>
                <w:sz w:val="16"/>
                <w:szCs w:val="16"/>
                <w:color w:val="auto"/>
              </w:rPr>
              <w:t>No additional vesting; all outstanding PSUs and RSUs forfeited</w:t>
            </w:r>
          </w:p>
        </w:tc>
      </w:tr>
      <w:tr>
        <w:trPr>
          <w:trHeight w:val="50"/>
        </w:trPr>
        <w:tc>
          <w:tcPr>
            <w:tcW w:w="5520" w:type="dxa"/>
            <w:vAlign w:val="bottom"/>
            <w:tcBorders>
              <w:bottom w:val="single" w:sz="8" w:color="0233A1"/>
            </w:tcBorders>
          </w:tcPr>
          <w:p>
            <w:pPr>
              <w:spacing w:after="0"/>
              <w:rPr>
                <w:sz w:val="4"/>
                <w:szCs w:val="4"/>
                <w:color w:val="auto"/>
              </w:rPr>
            </w:pPr>
          </w:p>
        </w:tc>
        <w:tc>
          <w:tcPr>
            <w:tcW w:w="5720" w:type="dxa"/>
            <w:vAlign w:val="bottom"/>
            <w:tcBorders>
              <w:bottom w:val="single" w:sz="8" w:color="0233A1"/>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8890"/>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8890"/>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-968375</wp:posOffset>
            </wp:positionV>
            <wp:extent cx="7132320" cy="8890"/>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5" w:lineRule="exact"/>
        <w:rPr>
          <w:sz w:val="20"/>
          <w:szCs w:val="20"/>
          <w:color w:val="auto"/>
        </w:rPr>
      </w:pPr>
    </w:p>
    <w:p>
      <w:pPr>
        <w:jc w:val="both"/>
        <w:ind w:right="20" w:firstLine="324"/>
        <w:spacing w:after="0" w:line="266" w:lineRule="auto"/>
        <w:rPr>
          <w:sz w:val="20"/>
          <w:szCs w:val="20"/>
          <w:color w:val="auto"/>
        </w:rPr>
      </w:pPr>
      <w:r>
        <w:rPr>
          <w:rFonts w:ascii="Arial" w:cs="Arial" w:eastAsia="Arial" w:hAnsi="Arial"/>
          <w:sz w:val="16"/>
          <w:szCs w:val="16"/>
          <w:color w:val="auto"/>
        </w:rPr>
        <w:t>For these purposes, “retirement,” “early retirement,” “special retirement,” and “disability” have the meanings assigned to those terms in the applicable PSU and RSU award agreements. The applicable date of “retirement,” “early retirement,” or “special retirement” takes into consideration the completion of any active employment period, including employment pursuant to our officer departure guidelines described on page 45.</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Stock Options</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If an NEO’s employment with SLB terminates, that NEO’s outstanding options—all of which are vested—will be treated as follows:</w:t>
      </w:r>
    </w:p>
    <w:p>
      <w:pPr>
        <w:spacing w:after="0" w:line="275" w:lineRule="exact"/>
        <w:rPr>
          <w:sz w:val="20"/>
          <w:szCs w:val="20"/>
          <w:color w:val="auto"/>
        </w:rPr>
      </w:pPr>
    </w:p>
    <w:p>
      <w:pPr>
        <w:ind w:left="60"/>
        <w:spacing w:after="0"/>
        <w:tabs>
          <w:tab w:leader="none" w:pos="5720" w:val="left"/>
        </w:tabs>
        <w:rPr>
          <w:sz w:val="20"/>
          <w:szCs w:val="20"/>
          <w:color w:val="auto"/>
        </w:rPr>
      </w:pPr>
      <w:r>
        <w:rPr>
          <w:rFonts w:ascii="Arial" w:cs="Arial" w:eastAsia="Arial" w:hAnsi="Arial"/>
          <w:sz w:val="16"/>
          <w:szCs w:val="16"/>
          <w:b w:val="1"/>
          <w:bCs w:val="1"/>
          <w:color w:val="0233A1"/>
        </w:rPr>
        <w:t>Reason for Termination of Employment</w:t>
      </w:r>
      <w:r>
        <w:rPr>
          <w:sz w:val="20"/>
          <w:szCs w:val="20"/>
          <w:color w:val="auto"/>
        </w:rPr>
        <w:tab/>
      </w:r>
      <w:r>
        <w:rPr>
          <w:rFonts w:ascii="Arial" w:cs="Arial" w:eastAsia="Arial" w:hAnsi="Arial"/>
          <w:sz w:val="16"/>
          <w:szCs w:val="16"/>
          <w:b w:val="1"/>
          <w:bCs w:val="1"/>
          <w:color w:val="0233A1"/>
        </w:rPr>
        <w:t>Post-Employment Exercise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73" w:lineRule="exact"/>
        <w:rPr>
          <w:sz w:val="20"/>
          <w:szCs w:val="20"/>
          <w:color w:val="auto"/>
        </w:rPr>
      </w:pPr>
    </w:p>
    <w:p>
      <w:pPr>
        <w:ind w:left="60"/>
        <w:spacing w:after="0" w:line="286" w:lineRule="auto"/>
        <w:rPr>
          <w:sz w:val="20"/>
          <w:szCs w:val="20"/>
          <w:color w:val="auto"/>
        </w:rPr>
      </w:pPr>
      <w:r>
        <w:rPr>
          <w:rFonts w:ascii="Arial" w:cs="Arial" w:eastAsia="Arial" w:hAnsi="Arial"/>
          <w:sz w:val="16"/>
          <w:szCs w:val="16"/>
          <w:color w:val="auto"/>
        </w:rPr>
        <w:t>Voluntary termination with SLB consent or termination by SLB other than for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3557270" cy="8255"/>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ind w:left="60"/>
        <w:spacing w:after="0"/>
        <w:rPr>
          <w:sz w:val="20"/>
          <w:szCs w:val="20"/>
          <w:color w:val="auto"/>
        </w:rPr>
      </w:pPr>
      <w:r>
        <w:rPr>
          <w:rFonts w:ascii="Arial" w:cs="Arial" w:eastAsia="Arial" w:hAnsi="Arial"/>
          <w:sz w:val="16"/>
          <w:szCs w:val="16"/>
          <w:color w:val="auto"/>
        </w:rPr>
        <w:t>Termination by SLB for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3557270" cy="8255"/>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3557270" cy="8255"/>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6"/>
          <w:szCs w:val="16"/>
          <w:color w:val="auto"/>
        </w:rPr>
        <w:t>Special 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3557270" cy="8255"/>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Exercisable (to the extent exercisable at termination) at any time within three months after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-11430</wp:posOffset>
            </wp:positionV>
            <wp:extent cx="3566160" cy="8255"/>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right="1880"/>
        <w:spacing w:after="0" w:line="405" w:lineRule="auto"/>
        <w:rPr>
          <w:sz w:val="20"/>
          <w:szCs w:val="20"/>
          <w:color w:val="auto"/>
        </w:rPr>
      </w:pPr>
      <w:r>
        <w:rPr>
          <w:rFonts w:ascii="Arial" w:cs="Arial" w:eastAsia="Arial" w:hAnsi="Arial"/>
          <w:sz w:val="16"/>
          <w:szCs w:val="16"/>
          <w:color w:val="auto"/>
        </w:rPr>
        <w:t>Vested and unvested options forfeited immediately Exercisable for 10 years from original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-15875</wp:posOffset>
            </wp:positionV>
            <wp:extent cx="3566160" cy="8255"/>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-213360</wp:posOffset>
            </wp:positionV>
            <wp:extent cx="3566160" cy="8255"/>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jc w:val="both"/>
        <w:ind w:right="100"/>
        <w:spacing w:after="0" w:line="266" w:lineRule="auto"/>
        <w:rPr>
          <w:sz w:val="20"/>
          <w:szCs w:val="20"/>
          <w:color w:val="auto"/>
        </w:rPr>
      </w:pPr>
      <w:r>
        <w:rPr>
          <w:rFonts w:ascii="Arial" w:cs="Arial" w:eastAsia="Arial" w:hAnsi="Arial"/>
          <w:sz w:val="16"/>
          <w:szCs w:val="16"/>
          <w:color w:val="auto"/>
        </w:rPr>
        <w:t>Exercisable (to the extent exercisable at termination) at any time during the 60-month period after termination due to retirement or during the remainder of the option period, whichever is shorter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-1905</wp:posOffset>
            </wp:positionV>
            <wp:extent cx="3566160" cy="8255"/>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3" w:lineRule="exact"/>
        <w:rPr>
          <w:sz w:val="20"/>
          <w:szCs w:val="20"/>
          <w:color w:val="auto"/>
        </w:rPr>
      </w:pPr>
    </w:p>
    <w:p>
      <w:pPr>
        <w:sectPr>
          <w:pgSz w:w="11900" w:h="16838" w:orient="portrait"/>
          <w:cols w:equalWidth="0" w:num="2">
            <w:col w:w="5500" w:space="240"/>
            <w:col w:w="5500"/>
          </w:cols>
          <w:pgMar w:left="320" w:top="238" w:right="33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3560" w:type="dxa"/>
            <w:vAlign w:val="bottom"/>
          </w:tcPr>
          <w:p>
            <w:pPr>
              <w:ind w:left="60"/>
              <w:spacing w:after="0"/>
              <w:rPr>
                <w:sz w:val="20"/>
                <w:szCs w:val="20"/>
                <w:color w:val="auto"/>
              </w:rPr>
            </w:pPr>
            <w:r>
              <w:rPr>
                <w:rFonts w:ascii="Arial" w:cs="Arial" w:eastAsia="Arial" w:hAnsi="Arial"/>
                <w:sz w:val="16"/>
                <w:szCs w:val="16"/>
                <w:color w:val="auto"/>
              </w:rPr>
              <w:t>Death or Disability</w:t>
            </w:r>
          </w:p>
        </w:tc>
        <w:tc>
          <w:tcPr>
            <w:tcW w:w="7680" w:type="dxa"/>
            <w:vAlign w:val="bottom"/>
          </w:tcPr>
          <w:p>
            <w:pPr>
              <w:ind w:left="2180"/>
              <w:spacing w:after="0"/>
              <w:rPr>
                <w:sz w:val="20"/>
                <w:szCs w:val="20"/>
                <w:color w:val="auto"/>
              </w:rPr>
            </w:pPr>
            <w:r>
              <w:rPr>
                <w:rFonts w:ascii="Arial" w:cs="Arial" w:eastAsia="Arial" w:hAnsi="Arial"/>
                <w:sz w:val="16"/>
                <w:szCs w:val="16"/>
                <w:color w:val="auto"/>
              </w:rPr>
              <w:t>Exercisable at any time during the 60-month period after termination due to</w:t>
            </w:r>
          </w:p>
        </w:tc>
      </w:tr>
      <w:tr>
        <w:trPr>
          <w:trHeight w:val="189"/>
        </w:trPr>
        <w:tc>
          <w:tcPr>
            <w:tcW w:w="3560" w:type="dxa"/>
            <w:vAlign w:val="bottom"/>
          </w:tcPr>
          <w:p>
            <w:pPr>
              <w:spacing w:after="0"/>
              <w:rPr>
                <w:sz w:val="16"/>
                <w:szCs w:val="16"/>
                <w:color w:val="auto"/>
              </w:rPr>
            </w:pPr>
          </w:p>
        </w:tc>
        <w:tc>
          <w:tcPr>
            <w:tcW w:w="7680" w:type="dxa"/>
            <w:vAlign w:val="bottom"/>
          </w:tcPr>
          <w:p>
            <w:pPr>
              <w:ind w:left="2180"/>
              <w:spacing w:after="0"/>
              <w:rPr>
                <w:sz w:val="20"/>
                <w:szCs w:val="20"/>
                <w:color w:val="auto"/>
              </w:rPr>
            </w:pPr>
            <w:r>
              <w:rPr>
                <w:rFonts w:ascii="Arial" w:cs="Arial" w:eastAsia="Arial" w:hAnsi="Arial"/>
                <w:sz w:val="16"/>
                <w:szCs w:val="16"/>
                <w:color w:val="auto"/>
              </w:rPr>
              <w:t>death or disability or during the remainder of the option period, whichever is</w:t>
            </w:r>
          </w:p>
        </w:tc>
      </w:tr>
      <w:tr>
        <w:trPr>
          <w:trHeight w:val="237"/>
        </w:trPr>
        <w:tc>
          <w:tcPr>
            <w:tcW w:w="3560" w:type="dxa"/>
            <w:vAlign w:val="bottom"/>
            <w:tcBorders>
              <w:bottom w:val="single" w:sz="8" w:color="0233A1"/>
            </w:tcBorders>
          </w:tcPr>
          <w:p>
            <w:pPr>
              <w:spacing w:after="0"/>
              <w:rPr>
                <w:sz w:val="20"/>
                <w:szCs w:val="20"/>
                <w:color w:val="auto"/>
              </w:rPr>
            </w:pPr>
          </w:p>
        </w:tc>
        <w:tc>
          <w:tcPr>
            <w:tcW w:w="7680" w:type="dxa"/>
            <w:vAlign w:val="bottom"/>
            <w:tcBorders>
              <w:bottom w:val="single" w:sz="8" w:color="0233A1"/>
            </w:tcBorders>
          </w:tcPr>
          <w:p>
            <w:pPr>
              <w:ind w:left="2180"/>
              <w:spacing w:after="0"/>
              <w:rPr>
                <w:sz w:val="20"/>
                <w:szCs w:val="20"/>
                <w:color w:val="auto"/>
              </w:rPr>
            </w:pPr>
            <w:r>
              <w:rPr>
                <w:rFonts w:ascii="Arial" w:cs="Arial" w:eastAsia="Arial" w:hAnsi="Arial"/>
                <w:sz w:val="16"/>
                <w:szCs w:val="16"/>
                <w:color w:val="auto"/>
              </w:rPr>
              <w:t>shorter</w:t>
            </w:r>
          </w:p>
        </w:tc>
      </w:tr>
    </w:tbl>
    <w:p>
      <w:pPr>
        <w:spacing w:after="0" w:line="175"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Notwithstanding the exercisability provisions described above, an option holder may forfeit the right to exercise stock options, and may have certain prior option exercises rescinded, if the option holder engages in “detrimental activity” within one year after termination of employment (or five years after termination of employment in the event of retirement or disability).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177800</wp:posOffset>
            </wp:positionV>
            <wp:extent cx="471805" cy="283210"/>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extLst>
                        <a:ext uri="{28A0092B-C50C-407E-A947-70E740481C1C}"/>
                      </a:extLst>
                    </a:blip>
                    <a:srcRect/>
                    <a:stretch>
                      <a:fillRect/>
                    </a:stretch>
                  </pic:blipFill>
                  <pic:spPr bwMode="auto">
                    <a:xfrm>
                      <a:off x="0" y="0"/>
                      <a:ext cx="471805" cy="283210"/>
                    </a:xfrm>
                    <a:prstGeom prst="rect">
                      <a:avLst/>
                    </a:prstGeom>
                    <a:noFill/>
                  </pic:spPr>
                </pic:pic>
              </a:graphicData>
            </a:graphic>
          </wp:anchor>
        </w:drawing>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2024 Proxy Statement</w:t>
            </w:r>
          </w:p>
        </w:tc>
        <w:tc>
          <w:tcPr>
            <w:tcW w:w="3600" w:type="dxa"/>
            <w:vAlign w:val="bottom"/>
            <w:tcBorders>
              <w:bottom w:val="single" w:sz="8" w:color="auto"/>
            </w:tcBorders>
          </w:tcPr>
          <w:p>
            <w:pPr>
              <w:spacing w:after="0"/>
              <w:rPr>
                <w:sz w:val="10"/>
                <w:szCs w:val="10"/>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57</w:t>
            </w:r>
          </w:p>
        </w:tc>
        <w:tc>
          <w:tcPr>
            <w:tcW w:w="4480" w:type="dxa"/>
            <w:vAlign w:val="bottom"/>
            <w:tcBorders>
              <w:bottom w:val="single" w:sz="8" w:color="auto"/>
            </w:tcBorders>
          </w:tcPr>
          <w:p>
            <w:pPr>
              <w:spacing w:after="0"/>
              <w:rPr>
                <w:sz w:val="10"/>
                <w:szCs w:val="10"/>
                <w:color w:val="auto"/>
              </w:rPr>
            </w:pPr>
          </w:p>
        </w:tc>
        <w:tc>
          <w:tcPr>
            <w:tcW w:w="9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800" w:type="dxa"/>
            <w:vAlign w:val="bottom"/>
            <w:vMerge w:val="continue"/>
          </w:tcPr>
          <w:p>
            <w:pPr>
              <w:spacing w:after="0"/>
              <w:rPr>
                <w:sz w:val="8"/>
                <w:szCs w:val="8"/>
                <w:color w:val="auto"/>
              </w:rPr>
            </w:pPr>
          </w:p>
        </w:tc>
        <w:tc>
          <w:tcPr>
            <w:tcW w:w="360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448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3" w:lineRule="exact"/>
        <w:rPr>
          <w:sz w:val="20"/>
          <w:szCs w:val="20"/>
          <w:color w:val="auto"/>
        </w:rPr>
      </w:pPr>
    </w:p>
    <w:p>
      <w:pPr>
        <w:spacing w:after="0"/>
        <w:rPr>
          <w:sz w:val="20"/>
          <w:szCs w:val="20"/>
          <w:color w:val="auto"/>
        </w:rPr>
      </w:pPr>
      <w:r>
        <w:rPr>
          <w:rFonts w:ascii="Arial" w:cs="Arial" w:eastAsia="Arial" w:hAnsi="Arial"/>
          <w:sz w:val="25"/>
          <w:szCs w:val="25"/>
          <w:color w:val="0233A1"/>
        </w:rPr>
        <w:t>Change in Control</w:t>
      </w:r>
    </w:p>
    <w:p>
      <w:pPr>
        <w:spacing w:after="0" w:line="20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 xml:space="preserve">Under our omnibus incentive plans, in the event of a merger, consolidation, acquisition of property or stock, separation, spinoff, reorganization, or liquidation (each a </w:t>
      </w:r>
      <w:r>
        <w:rPr>
          <w:rFonts w:ascii="Arial" w:cs="Arial" w:eastAsia="Arial" w:hAnsi="Arial"/>
          <w:sz w:val="16"/>
          <w:szCs w:val="16"/>
          <w:b w:val="1"/>
          <w:bCs w:val="1"/>
          <w:color w:val="auto"/>
        </w:rPr>
        <w:t>Corporate Transaction</w:t>
      </w:r>
      <w:r>
        <w:rPr>
          <w:rFonts w:ascii="Arial" w:cs="Arial" w:eastAsia="Arial" w:hAnsi="Arial"/>
          <w:sz w:val="16"/>
          <w:szCs w:val="16"/>
          <w:color w:val="auto"/>
        </w:rPr>
        <w:t>), our Board may, in its sole discretion, (i) provide for the substitution of a new award (or other arrangement) for or assumption of any award, (ii) provide for accelerated vesting of any awards, or (iii) decide to cancel any awards and deliver to the holders cash in an amount that our Board determines in its sole discretion is equal to the fair market value of such awards on the date of such event. However, no current agreement with respect to our outstanding RSUs, PSUs, and stock options currently provides for any definitive special treatment upon such a Corporate Transaction.</w:t>
      </w:r>
    </w:p>
    <w:p>
      <w:pPr>
        <w:spacing w:after="0" w:line="15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The following table sets forth the value of the unvested RSUs and PSUs (at target) and the intrinsic value of the unvested stock options held by each NEO as of December 31, 2023, that would become vested upon the occurrence of a Corporate Transaction, assuming that the Board elects to accelerate the vesting of RSUs, PSUs, and stock options as provided in the previous paragraph. Due to the various factors that could affect the nature and amount of any benefits provided upon these events, any amounts actually paid or distributed may be different. Factors that could affect these amounts include the time during the year of any such event, the price of SLB common stock, and SLB’s achievement of any relevant performance metric.</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40" w:type="dxa"/>
            <w:vAlign w:val="bottom"/>
          </w:tcPr>
          <w:p>
            <w:pPr>
              <w:spacing w:after="0"/>
              <w:rPr>
                <w:sz w:val="17"/>
                <w:szCs w:val="17"/>
                <w:color w:val="auto"/>
              </w:rPr>
            </w:pPr>
          </w:p>
        </w:tc>
        <w:tc>
          <w:tcPr>
            <w:tcW w:w="4800" w:type="dxa"/>
            <w:vAlign w:val="bottom"/>
            <w:gridSpan w:val="3"/>
          </w:tcPr>
          <w:p>
            <w:pPr>
              <w:jc w:val="right"/>
              <w:ind w:right="1420"/>
              <w:spacing w:after="0"/>
              <w:rPr>
                <w:sz w:val="20"/>
                <w:szCs w:val="20"/>
                <w:color w:val="auto"/>
              </w:rPr>
            </w:pPr>
            <w:r>
              <w:rPr>
                <w:rFonts w:ascii="Arial" w:cs="Arial" w:eastAsia="Arial" w:hAnsi="Arial"/>
                <w:sz w:val="16"/>
                <w:szCs w:val="16"/>
                <w:b w:val="1"/>
                <w:bCs w:val="1"/>
                <w:color w:val="0233A1"/>
              </w:rPr>
              <w:t>Upon Corporate Transaction</w:t>
            </w:r>
          </w:p>
        </w:tc>
      </w:tr>
      <w:tr>
        <w:trPr>
          <w:trHeight w:val="168"/>
        </w:trPr>
        <w:tc>
          <w:tcPr>
            <w:tcW w:w="6440" w:type="dxa"/>
            <w:vAlign w:val="bottom"/>
          </w:tcPr>
          <w:p>
            <w:pPr>
              <w:spacing w:after="0"/>
              <w:rPr>
                <w:sz w:val="14"/>
                <w:szCs w:val="14"/>
                <w:color w:val="auto"/>
              </w:rPr>
            </w:pPr>
          </w:p>
        </w:tc>
        <w:tc>
          <w:tcPr>
            <w:tcW w:w="2840" w:type="dxa"/>
            <w:vAlign w:val="bottom"/>
            <w:tcBorders>
              <w:top w:val="single" w:sz="8" w:color="0233A1"/>
            </w:tcBorders>
          </w:tcPr>
          <w:p>
            <w:pPr>
              <w:jc w:val="right"/>
              <w:ind w:right="259"/>
              <w:spacing w:after="0" w:line="168" w:lineRule="exact"/>
              <w:rPr>
                <w:sz w:val="20"/>
                <w:szCs w:val="20"/>
                <w:color w:val="auto"/>
              </w:rPr>
            </w:pPr>
            <w:r>
              <w:rPr>
                <w:rFonts w:ascii="Arial" w:cs="Arial" w:eastAsia="Arial" w:hAnsi="Arial"/>
                <w:sz w:val="16"/>
                <w:szCs w:val="16"/>
                <w:b w:val="1"/>
                <w:bCs w:val="1"/>
                <w:color w:val="0233A1"/>
              </w:rPr>
              <w:t>Value of Unvested RSUs and</w:t>
            </w:r>
          </w:p>
        </w:tc>
        <w:tc>
          <w:tcPr>
            <w:tcW w:w="1740" w:type="dxa"/>
            <w:vAlign w:val="bottom"/>
            <w:tcBorders>
              <w:top w:val="single" w:sz="8" w:color="0233A1"/>
            </w:tcBorders>
          </w:tcPr>
          <w:p>
            <w:pPr>
              <w:jc w:val="right"/>
              <w:spacing w:after="0" w:line="168" w:lineRule="exact"/>
              <w:rPr>
                <w:sz w:val="20"/>
                <w:szCs w:val="20"/>
                <w:color w:val="auto"/>
              </w:rPr>
            </w:pPr>
            <w:r>
              <w:rPr>
                <w:rFonts w:ascii="Arial" w:cs="Arial" w:eastAsia="Arial" w:hAnsi="Arial"/>
                <w:sz w:val="16"/>
                <w:szCs w:val="16"/>
                <w:b w:val="1"/>
                <w:bCs w:val="1"/>
                <w:color w:val="0233A1"/>
              </w:rPr>
              <w:t>Intrinsic Value</w:t>
            </w:r>
          </w:p>
        </w:tc>
        <w:tc>
          <w:tcPr>
            <w:tcW w:w="220" w:type="dxa"/>
            <w:vAlign w:val="bottom"/>
          </w:tcPr>
          <w:p>
            <w:pPr>
              <w:spacing w:after="0"/>
              <w:rPr>
                <w:sz w:val="14"/>
                <w:szCs w:val="14"/>
                <w:color w:val="auto"/>
              </w:rPr>
            </w:pPr>
          </w:p>
        </w:tc>
      </w:tr>
      <w:tr>
        <w:trPr>
          <w:trHeight w:val="163"/>
        </w:trPr>
        <w:tc>
          <w:tcPr>
            <w:tcW w:w="6440" w:type="dxa"/>
            <w:vAlign w:val="bottom"/>
          </w:tcPr>
          <w:p>
            <w:pPr>
              <w:spacing w:after="0"/>
              <w:rPr>
                <w:sz w:val="14"/>
                <w:szCs w:val="14"/>
                <w:color w:val="auto"/>
              </w:rPr>
            </w:pPr>
          </w:p>
        </w:tc>
        <w:tc>
          <w:tcPr>
            <w:tcW w:w="2840" w:type="dxa"/>
            <w:vAlign w:val="bottom"/>
          </w:tcPr>
          <w:p>
            <w:pPr>
              <w:jc w:val="right"/>
              <w:ind w:right="259"/>
              <w:spacing w:after="0" w:line="163" w:lineRule="exact"/>
              <w:rPr>
                <w:sz w:val="20"/>
                <w:szCs w:val="20"/>
                <w:color w:val="auto"/>
              </w:rPr>
            </w:pPr>
            <w:r>
              <w:rPr>
                <w:rFonts w:ascii="Arial" w:cs="Arial" w:eastAsia="Arial" w:hAnsi="Arial"/>
                <w:sz w:val="16"/>
                <w:szCs w:val="16"/>
                <w:b w:val="1"/>
                <w:bCs w:val="1"/>
                <w:color w:val="0233A1"/>
              </w:rPr>
              <w:t>PSUs (at Target)</w:t>
            </w:r>
          </w:p>
        </w:tc>
        <w:tc>
          <w:tcPr>
            <w:tcW w:w="1960" w:type="dxa"/>
            <w:vAlign w:val="bottom"/>
            <w:gridSpan w:val="2"/>
          </w:tcPr>
          <w:p>
            <w:pPr>
              <w:jc w:val="right"/>
              <w:ind w:right="220"/>
              <w:spacing w:after="0" w:line="163" w:lineRule="exact"/>
              <w:rPr>
                <w:sz w:val="20"/>
                <w:szCs w:val="20"/>
                <w:color w:val="auto"/>
              </w:rPr>
            </w:pPr>
            <w:r>
              <w:rPr>
                <w:rFonts w:ascii="Arial" w:cs="Arial" w:eastAsia="Arial" w:hAnsi="Arial"/>
                <w:sz w:val="16"/>
                <w:szCs w:val="16"/>
                <w:b w:val="1"/>
                <w:bCs w:val="1"/>
                <w:color w:val="0233A1"/>
              </w:rPr>
              <w:t>of Unvested Options</w:t>
            </w:r>
          </w:p>
        </w:tc>
      </w:tr>
      <w:tr>
        <w:trPr>
          <w:trHeight w:val="229"/>
        </w:trPr>
        <w:tc>
          <w:tcPr>
            <w:tcW w:w="6440" w:type="dxa"/>
            <w:vAlign w:val="bottom"/>
            <w:tcBorders>
              <w:bottom w:val="single" w:sz="8" w:color="0233A1"/>
            </w:tcBorders>
          </w:tcPr>
          <w:p>
            <w:pPr>
              <w:ind w:left="60"/>
              <w:spacing w:after="0"/>
              <w:rPr>
                <w:sz w:val="20"/>
                <w:szCs w:val="20"/>
                <w:color w:val="auto"/>
              </w:rPr>
            </w:pPr>
            <w:r>
              <w:rPr>
                <w:rFonts w:ascii="Arial" w:cs="Arial" w:eastAsia="Arial" w:hAnsi="Arial"/>
                <w:sz w:val="16"/>
                <w:szCs w:val="16"/>
                <w:b w:val="1"/>
                <w:bCs w:val="1"/>
                <w:color w:val="0233A1"/>
              </w:rPr>
              <w:t>Name</w:t>
            </w:r>
          </w:p>
        </w:tc>
        <w:tc>
          <w:tcPr>
            <w:tcW w:w="2840" w:type="dxa"/>
            <w:vAlign w:val="bottom"/>
            <w:tcBorders>
              <w:bottom w:val="single" w:sz="8" w:color="0233A1"/>
            </w:tcBorders>
          </w:tcPr>
          <w:p>
            <w:pPr>
              <w:jc w:val="right"/>
              <w:ind w:right="99"/>
              <w:spacing w:after="0" w:line="230" w:lineRule="exact"/>
              <w:rPr>
                <w:sz w:val="20"/>
                <w:szCs w:val="20"/>
                <w:color w:val="auto"/>
              </w:rPr>
            </w:pPr>
            <w:r>
              <w:rPr>
                <w:rFonts w:ascii="Arial" w:cs="Arial" w:eastAsia="Arial" w:hAnsi="Arial"/>
                <w:sz w:val="16"/>
                <w:szCs w:val="16"/>
                <w:b w:val="1"/>
                <w:bCs w:val="1"/>
                <w:color w:val="0233A1"/>
              </w:rPr>
              <w:t>($)</w:t>
            </w:r>
            <w:r>
              <w:rPr>
                <w:rFonts w:ascii="Arial" w:cs="Arial" w:eastAsia="Arial" w:hAnsi="Arial"/>
                <w:sz w:val="26"/>
                <w:szCs w:val="26"/>
                <w:color w:val="0233A1"/>
                <w:vertAlign w:val="superscript"/>
              </w:rPr>
              <w:t>(1)</w:t>
            </w:r>
          </w:p>
        </w:tc>
        <w:tc>
          <w:tcPr>
            <w:tcW w:w="1960" w:type="dxa"/>
            <w:vAlign w:val="bottom"/>
            <w:tcBorders>
              <w:bottom w:val="single" w:sz="8" w:color="0233A1"/>
            </w:tcBorders>
            <w:gridSpan w:val="2"/>
          </w:tcPr>
          <w:p>
            <w:pPr>
              <w:jc w:val="right"/>
              <w:ind w:right="40"/>
              <w:spacing w:after="0" w:line="230" w:lineRule="exact"/>
              <w:rPr>
                <w:sz w:val="20"/>
                <w:szCs w:val="20"/>
                <w:color w:val="auto"/>
              </w:rPr>
            </w:pPr>
            <w:r>
              <w:rPr>
                <w:rFonts w:ascii="Arial" w:cs="Arial" w:eastAsia="Arial" w:hAnsi="Arial"/>
                <w:sz w:val="16"/>
                <w:szCs w:val="16"/>
                <w:b w:val="1"/>
                <w:bCs w:val="1"/>
                <w:color w:val="0233A1"/>
              </w:rPr>
              <w:t>($)</w:t>
            </w:r>
            <w:r>
              <w:rPr>
                <w:rFonts w:ascii="Arial" w:cs="Arial" w:eastAsia="Arial" w:hAnsi="Arial"/>
                <w:sz w:val="26"/>
                <w:szCs w:val="26"/>
                <w:color w:val="000000"/>
                <w:vertAlign w:val="superscript"/>
              </w:rPr>
              <w:t>(2)</w:t>
            </w:r>
          </w:p>
        </w:tc>
      </w:tr>
      <w:tr>
        <w:trPr>
          <w:trHeight w:val="182"/>
        </w:trPr>
        <w:tc>
          <w:tcPr>
            <w:tcW w:w="6440" w:type="dxa"/>
            <w:vAlign w:val="bottom"/>
          </w:tcPr>
          <w:p>
            <w:pPr>
              <w:ind w:left="60"/>
              <w:spacing w:after="0" w:line="182" w:lineRule="exact"/>
              <w:rPr>
                <w:sz w:val="20"/>
                <w:szCs w:val="20"/>
                <w:color w:val="auto"/>
              </w:rPr>
            </w:pPr>
            <w:r>
              <w:rPr>
                <w:rFonts w:ascii="Arial" w:cs="Arial" w:eastAsia="Arial" w:hAnsi="Arial"/>
                <w:sz w:val="16"/>
                <w:szCs w:val="16"/>
                <w:color w:val="auto"/>
              </w:rPr>
              <w:t>O. Le Peuch</w:t>
            </w:r>
          </w:p>
        </w:tc>
        <w:tc>
          <w:tcPr>
            <w:tcW w:w="2840" w:type="dxa"/>
            <w:vAlign w:val="bottom"/>
          </w:tcPr>
          <w:p>
            <w:pPr>
              <w:jc w:val="right"/>
              <w:ind w:right="259"/>
              <w:spacing w:after="0" w:line="182" w:lineRule="exact"/>
              <w:rPr>
                <w:sz w:val="20"/>
                <w:szCs w:val="20"/>
                <w:color w:val="auto"/>
              </w:rPr>
            </w:pPr>
            <w:r>
              <w:rPr>
                <w:rFonts w:ascii="Arial" w:cs="Arial" w:eastAsia="Arial" w:hAnsi="Arial"/>
                <w:sz w:val="16"/>
                <w:szCs w:val="16"/>
                <w:color w:val="auto"/>
              </w:rPr>
              <w:t>50,144,807</w:t>
            </w:r>
          </w:p>
        </w:tc>
        <w:tc>
          <w:tcPr>
            <w:tcW w:w="1960" w:type="dxa"/>
            <w:vAlign w:val="bottom"/>
            <w:gridSpan w:val="2"/>
          </w:tcPr>
          <w:p>
            <w:pPr>
              <w:jc w:val="right"/>
              <w:ind w:right="220"/>
              <w:spacing w:after="0" w:line="182" w:lineRule="exact"/>
              <w:rPr>
                <w:sz w:val="20"/>
                <w:szCs w:val="20"/>
                <w:color w:val="auto"/>
              </w:rPr>
            </w:pPr>
            <w:r>
              <w:rPr>
                <w:rFonts w:ascii="Arial" w:cs="Arial" w:eastAsia="Arial" w:hAnsi="Arial"/>
                <w:sz w:val="16"/>
                <w:szCs w:val="16"/>
                <w:color w:val="auto"/>
              </w:rPr>
              <w:t>—</w:t>
            </w:r>
          </w:p>
        </w:tc>
      </w:tr>
      <w:tr>
        <w:trPr>
          <w:trHeight w:val="203"/>
        </w:trPr>
        <w:tc>
          <w:tcPr>
            <w:tcW w:w="6440" w:type="dxa"/>
            <w:vAlign w:val="bottom"/>
          </w:tcPr>
          <w:p>
            <w:pPr>
              <w:ind w:left="60"/>
              <w:spacing w:after="0"/>
              <w:rPr>
                <w:sz w:val="20"/>
                <w:szCs w:val="20"/>
                <w:color w:val="auto"/>
              </w:rPr>
            </w:pPr>
            <w:r>
              <w:rPr>
                <w:rFonts w:ascii="Arial" w:cs="Arial" w:eastAsia="Arial" w:hAnsi="Arial"/>
                <w:sz w:val="16"/>
                <w:szCs w:val="16"/>
                <w:color w:val="auto"/>
              </w:rPr>
              <w:t>S. Biguet</w:t>
            </w:r>
          </w:p>
        </w:tc>
        <w:tc>
          <w:tcPr>
            <w:tcW w:w="2840" w:type="dxa"/>
            <w:vAlign w:val="bottom"/>
          </w:tcPr>
          <w:p>
            <w:pPr>
              <w:jc w:val="right"/>
              <w:ind w:right="259"/>
              <w:spacing w:after="0"/>
              <w:rPr>
                <w:sz w:val="20"/>
                <w:szCs w:val="20"/>
                <w:color w:val="auto"/>
              </w:rPr>
            </w:pPr>
            <w:r>
              <w:rPr>
                <w:rFonts w:ascii="Arial" w:cs="Arial" w:eastAsia="Arial" w:hAnsi="Arial"/>
                <w:sz w:val="16"/>
                <w:szCs w:val="16"/>
                <w:color w:val="auto"/>
              </w:rPr>
              <w:t>14,916,381</w:t>
            </w:r>
          </w:p>
        </w:tc>
        <w:tc>
          <w:tcPr>
            <w:tcW w:w="1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r>
      <w:tr>
        <w:trPr>
          <w:trHeight w:val="203"/>
        </w:trPr>
        <w:tc>
          <w:tcPr>
            <w:tcW w:w="6440" w:type="dxa"/>
            <w:vAlign w:val="bottom"/>
          </w:tcPr>
          <w:p>
            <w:pPr>
              <w:ind w:left="60"/>
              <w:spacing w:after="0"/>
              <w:rPr>
                <w:sz w:val="20"/>
                <w:szCs w:val="20"/>
                <w:color w:val="auto"/>
              </w:rPr>
            </w:pPr>
            <w:r>
              <w:rPr>
                <w:rFonts w:ascii="Arial" w:cs="Arial" w:eastAsia="Arial" w:hAnsi="Arial"/>
                <w:sz w:val="16"/>
                <w:szCs w:val="16"/>
                <w:color w:val="auto"/>
              </w:rPr>
              <w:t>K. Al Mogharbel</w:t>
            </w:r>
          </w:p>
        </w:tc>
        <w:tc>
          <w:tcPr>
            <w:tcW w:w="2840" w:type="dxa"/>
            <w:vAlign w:val="bottom"/>
          </w:tcPr>
          <w:p>
            <w:pPr>
              <w:jc w:val="right"/>
              <w:ind w:right="259"/>
              <w:spacing w:after="0"/>
              <w:rPr>
                <w:sz w:val="20"/>
                <w:szCs w:val="20"/>
                <w:color w:val="auto"/>
              </w:rPr>
            </w:pPr>
            <w:r>
              <w:rPr>
                <w:rFonts w:ascii="Arial" w:cs="Arial" w:eastAsia="Arial" w:hAnsi="Arial"/>
                <w:sz w:val="16"/>
                <w:szCs w:val="16"/>
                <w:color w:val="auto"/>
              </w:rPr>
              <w:t>15,551,790</w:t>
            </w:r>
          </w:p>
        </w:tc>
        <w:tc>
          <w:tcPr>
            <w:tcW w:w="1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r>
      <w:tr>
        <w:trPr>
          <w:trHeight w:val="203"/>
        </w:trPr>
        <w:tc>
          <w:tcPr>
            <w:tcW w:w="6440" w:type="dxa"/>
            <w:vAlign w:val="bottom"/>
          </w:tcPr>
          <w:p>
            <w:pPr>
              <w:ind w:left="60"/>
              <w:spacing w:after="0"/>
              <w:rPr>
                <w:sz w:val="20"/>
                <w:szCs w:val="20"/>
                <w:color w:val="auto"/>
              </w:rPr>
            </w:pPr>
            <w:r>
              <w:rPr>
                <w:rFonts w:ascii="Arial" w:cs="Arial" w:eastAsia="Arial" w:hAnsi="Arial"/>
                <w:sz w:val="16"/>
                <w:szCs w:val="16"/>
                <w:color w:val="auto"/>
              </w:rPr>
              <w:t>A. Merad</w:t>
            </w:r>
          </w:p>
        </w:tc>
        <w:tc>
          <w:tcPr>
            <w:tcW w:w="2840" w:type="dxa"/>
            <w:vAlign w:val="bottom"/>
          </w:tcPr>
          <w:p>
            <w:pPr>
              <w:jc w:val="right"/>
              <w:ind w:right="259"/>
              <w:spacing w:after="0"/>
              <w:rPr>
                <w:sz w:val="20"/>
                <w:szCs w:val="20"/>
                <w:color w:val="auto"/>
              </w:rPr>
            </w:pPr>
            <w:r>
              <w:rPr>
                <w:rFonts w:ascii="Arial" w:cs="Arial" w:eastAsia="Arial" w:hAnsi="Arial"/>
                <w:sz w:val="16"/>
                <w:szCs w:val="16"/>
                <w:color w:val="auto"/>
              </w:rPr>
              <w:t>14,877,559</w:t>
            </w:r>
          </w:p>
        </w:tc>
        <w:tc>
          <w:tcPr>
            <w:tcW w:w="1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r>
      <w:tr>
        <w:trPr>
          <w:trHeight w:val="210"/>
        </w:trPr>
        <w:tc>
          <w:tcPr>
            <w:tcW w:w="6440" w:type="dxa"/>
            <w:vAlign w:val="bottom"/>
            <w:tcBorders>
              <w:bottom w:val="single" w:sz="8" w:color="0233A1"/>
            </w:tcBorders>
          </w:tcPr>
          <w:p>
            <w:pPr>
              <w:ind w:left="60"/>
              <w:spacing w:after="0"/>
              <w:rPr>
                <w:sz w:val="20"/>
                <w:szCs w:val="20"/>
                <w:color w:val="auto"/>
              </w:rPr>
            </w:pPr>
            <w:r>
              <w:rPr>
                <w:rFonts w:ascii="Arial" w:cs="Arial" w:eastAsia="Arial" w:hAnsi="Arial"/>
                <w:sz w:val="16"/>
                <w:szCs w:val="16"/>
                <w:color w:val="auto"/>
              </w:rPr>
              <w:t>D. Ralston</w:t>
            </w:r>
          </w:p>
        </w:tc>
        <w:tc>
          <w:tcPr>
            <w:tcW w:w="2840" w:type="dxa"/>
            <w:vAlign w:val="bottom"/>
            <w:tcBorders>
              <w:bottom w:val="single" w:sz="8" w:color="0233A1"/>
            </w:tcBorders>
          </w:tcPr>
          <w:p>
            <w:pPr>
              <w:jc w:val="right"/>
              <w:ind w:right="259"/>
              <w:spacing w:after="0"/>
              <w:rPr>
                <w:sz w:val="20"/>
                <w:szCs w:val="20"/>
                <w:color w:val="auto"/>
              </w:rPr>
            </w:pPr>
            <w:r>
              <w:rPr>
                <w:rFonts w:ascii="Arial" w:cs="Arial" w:eastAsia="Arial" w:hAnsi="Arial"/>
                <w:sz w:val="16"/>
                <w:szCs w:val="16"/>
                <w:color w:val="auto"/>
              </w:rPr>
              <w:t>14,218,525</w:t>
            </w:r>
          </w:p>
        </w:tc>
        <w:tc>
          <w:tcPr>
            <w:tcW w:w="1960" w:type="dxa"/>
            <w:vAlign w:val="bottom"/>
            <w:tcBorders>
              <w:bottom w:val="single" w:sz="8" w:color="0233A1"/>
            </w:tcBorders>
            <w:gridSpan w:val="2"/>
          </w:tcPr>
          <w:p>
            <w:pPr>
              <w:jc w:val="right"/>
              <w:ind w:right="22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255"/>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8255"/>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-402590</wp:posOffset>
            </wp:positionV>
            <wp:extent cx="7132320" cy="8890"/>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-530860</wp:posOffset>
            </wp:positionV>
            <wp:extent cx="7132320" cy="8890"/>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 w:lineRule="exact"/>
        <w:rPr>
          <w:sz w:val="20"/>
          <w:szCs w:val="20"/>
          <w:color w:val="auto"/>
        </w:rPr>
      </w:pPr>
    </w:p>
    <w:p>
      <w:pPr>
        <w:ind w:left="340" w:hanging="332"/>
        <w:spacing w:after="0" w:line="281" w:lineRule="auto"/>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Calculated by multiplying the December 29, 2023 closing price of our common stock ($52.04) by the number of outstanding, unvested RSUs and PSUs (at target) held by the executive as of that date.</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Reflects that the December 29, 2023 closing price of our common stock ($52.04) was lower than the exercise price of all stock options held by our NEOs as of that date.</w:t>
      </w:r>
    </w:p>
    <w:p>
      <w:pPr>
        <w:spacing w:after="0" w:line="298" w:lineRule="exact"/>
        <w:rPr>
          <w:sz w:val="20"/>
          <w:szCs w:val="20"/>
          <w:color w:val="auto"/>
        </w:rPr>
      </w:pPr>
    </w:p>
    <w:p>
      <w:pPr>
        <w:spacing w:after="0"/>
        <w:rPr>
          <w:sz w:val="20"/>
          <w:szCs w:val="20"/>
          <w:color w:val="auto"/>
        </w:rPr>
      </w:pPr>
      <w:r>
        <w:rPr>
          <w:rFonts w:ascii="Arial" w:cs="Arial" w:eastAsia="Arial" w:hAnsi="Arial"/>
          <w:sz w:val="25"/>
          <w:szCs w:val="25"/>
          <w:color w:val="0233A1"/>
        </w:rPr>
        <w:t>Retirement Plans</w:t>
      </w:r>
    </w:p>
    <w:p>
      <w:pPr>
        <w:spacing w:after="0" w:line="20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Our pension plans and nonqualified deferred compensation plans include the same terms and conditions for all participating employees in the event of a termination or change in control. The Restoration Savings Plan provides for accelerated payment of vested account balances within 30 days following a change in control as defined under Internal Revenue Code section 409A. Other than the Restoration Savings Plan, none of our nonqualified plans provide for the accelerated payment of benefits upon a change in control. For more information on these plans, see the Pension Benefits table and accompanying discussion beginning on page 54 above and the Nonqualified Deferred Compensation table and accompanying discussion beginning on page 55 above.</w:t>
      </w:r>
    </w:p>
    <w:p>
      <w:pPr>
        <w:spacing w:after="0" w:line="15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following table sets forth the amounts as of December 31, 2023 of benefit payments that would be accelerated under the Restoration Savings Plan upon a change in control.</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40" w:type="dxa"/>
            <w:vAlign w:val="bottom"/>
          </w:tcPr>
          <w:p>
            <w:pPr>
              <w:spacing w:after="0"/>
              <w:rPr>
                <w:sz w:val="16"/>
                <w:szCs w:val="16"/>
                <w:color w:val="auto"/>
              </w:rPr>
            </w:pPr>
          </w:p>
        </w:tc>
        <w:tc>
          <w:tcPr>
            <w:tcW w:w="5400" w:type="dxa"/>
            <w:vAlign w:val="bottom"/>
          </w:tcPr>
          <w:p>
            <w:pPr>
              <w:jc w:val="right"/>
              <w:spacing w:after="0"/>
              <w:rPr>
                <w:sz w:val="20"/>
                <w:szCs w:val="20"/>
                <w:color w:val="auto"/>
              </w:rPr>
            </w:pPr>
            <w:r>
              <w:rPr>
                <w:rFonts w:ascii="Arial" w:cs="Arial" w:eastAsia="Arial" w:hAnsi="Arial"/>
                <w:sz w:val="16"/>
                <w:szCs w:val="16"/>
                <w:b w:val="1"/>
                <w:bCs w:val="1"/>
                <w:color w:val="0233A1"/>
              </w:rPr>
              <w:t>Amount</w:t>
            </w:r>
          </w:p>
        </w:tc>
      </w:tr>
      <w:tr>
        <w:trPr>
          <w:trHeight w:val="203"/>
        </w:trPr>
        <w:tc>
          <w:tcPr>
            <w:tcW w:w="5840" w:type="dxa"/>
            <w:vAlign w:val="bottom"/>
            <w:tcBorders>
              <w:bottom w:val="single" w:sz="8" w:color="0233A1"/>
            </w:tcBorders>
          </w:tcPr>
          <w:p>
            <w:pPr>
              <w:ind w:left="60"/>
              <w:spacing w:after="0"/>
              <w:rPr>
                <w:sz w:val="20"/>
                <w:szCs w:val="20"/>
                <w:color w:val="auto"/>
              </w:rPr>
            </w:pPr>
            <w:r>
              <w:rPr>
                <w:rFonts w:ascii="Arial" w:cs="Arial" w:eastAsia="Arial" w:hAnsi="Arial"/>
                <w:sz w:val="16"/>
                <w:szCs w:val="16"/>
                <w:b w:val="1"/>
                <w:bCs w:val="1"/>
                <w:color w:val="0233A1"/>
              </w:rPr>
              <w:t>Name</w:t>
            </w:r>
          </w:p>
        </w:tc>
        <w:tc>
          <w:tcPr>
            <w:tcW w:w="5400" w:type="dxa"/>
            <w:vAlign w:val="bottom"/>
            <w:tcBorders>
              <w:bottom w:val="single" w:sz="8" w:color="0233A1"/>
            </w:tcBorders>
          </w:tcPr>
          <w:p>
            <w:pPr>
              <w:jc w:val="right"/>
              <w:spacing w:after="0"/>
              <w:rPr>
                <w:sz w:val="20"/>
                <w:szCs w:val="20"/>
                <w:color w:val="auto"/>
              </w:rPr>
            </w:pPr>
            <w:r>
              <w:rPr>
                <w:rFonts w:ascii="Arial" w:cs="Arial" w:eastAsia="Arial" w:hAnsi="Arial"/>
                <w:sz w:val="16"/>
                <w:szCs w:val="16"/>
                <w:b w:val="1"/>
                <w:bCs w:val="1"/>
                <w:color w:val="0233A1"/>
              </w:rPr>
              <w:t>($)</w:t>
            </w:r>
          </w:p>
        </w:tc>
      </w:tr>
      <w:tr>
        <w:trPr>
          <w:trHeight w:val="182"/>
        </w:trPr>
        <w:tc>
          <w:tcPr>
            <w:tcW w:w="5840" w:type="dxa"/>
            <w:vAlign w:val="bottom"/>
          </w:tcPr>
          <w:p>
            <w:pPr>
              <w:ind w:left="60"/>
              <w:spacing w:after="0" w:line="182" w:lineRule="exact"/>
              <w:rPr>
                <w:sz w:val="20"/>
                <w:szCs w:val="20"/>
                <w:color w:val="auto"/>
              </w:rPr>
            </w:pPr>
            <w:r>
              <w:rPr>
                <w:rFonts w:ascii="Arial" w:cs="Arial" w:eastAsia="Arial" w:hAnsi="Arial"/>
                <w:sz w:val="16"/>
                <w:szCs w:val="16"/>
                <w:color w:val="auto"/>
              </w:rPr>
              <w:t>O. Le Peuch</w:t>
            </w:r>
          </w:p>
        </w:tc>
        <w:tc>
          <w:tcPr>
            <w:tcW w:w="5400" w:type="dxa"/>
            <w:vAlign w:val="bottom"/>
          </w:tcPr>
          <w:p>
            <w:pPr>
              <w:jc w:val="right"/>
              <w:spacing w:after="0" w:line="182" w:lineRule="exact"/>
              <w:rPr>
                <w:sz w:val="20"/>
                <w:szCs w:val="20"/>
                <w:color w:val="auto"/>
              </w:rPr>
            </w:pPr>
            <w:r>
              <w:rPr>
                <w:rFonts w:ascii="Arial" w:cs="Arial" w:eastAsia="Arial" w:hAnsi="Arial"/>
                <w:sz w:val="16"/>
                <w:szCs w:val="16"/>
                <w:color w:val="auto"/>
              </w:rPr>
              <w:t>7,544,417</w:t>
            </w:r>
          </w:p>
        </w:tc>
      </w:tr>
      <w:tr>
        <w:trPr>
          <w:trHeight w:val="203"/>
        </w:trPr>
        <w:tc>
          <w:tcPr>
            <w:tcW w:w="5840" w:type="dxa"/>
            <w:vAlign w:val="bottom"/>
          </w:tcPr>
          <w:p>
            <w:pPr>
              <w:ind w:left="60"/>
              <w:spacing w:after="0"/>
              <w:rPr>
                <w:sz w:val="20"/>
                <w:szCs w:val="20"/>
                <w:color w:val="auto"/>
              </w:rPr>
            </w:pPr>
            <w:r>
              <w:rPr>
                <w:rFonts w:ascii="Arial" w:cs="Arial" w:eastAsia="Arial" w:hAnsi="Arial"/>
                <w:sz w:val="16"/>
                <w:szCs w:val="16"/>
                <w:color w:val="auto"/>
              </w:rPr>
              <w:t>S. Biguet</w:t>
            </w:r>
          </w:p>
        </w:tc>
        <w:tc>
          <w:tcPr>
            <w:tcW w:w="5400" w:type="dxa"/>
            <w:vAlign w:val="bottom"/>
          </w:tcPr>
          <w:p>
            <w:pPr>
              <w:jc w:val="right"/>
              <w:spacing w:after="0"/>
              <w:rPr>
                <w:sz w:val="20"/>
                <w:szCs w:val="20"/>
                <w:color w:val="auto"/>
              </w:rPr>
            </w:pPr>
            <w:r>
              <w:rPr>
                <w:rFonts w:ascii="Arial" w:cs="Arial" w:eastAsia="Arial" w:hAnsi="Arial"/>
                <w:sz w:val="16"/>
                <w:szCs w:val="16"/>
                <w:color w:val="auto"/>
              </w:rPr>
              <w:t>2,177,790</w:t>
            </w:r>
          </w:p>
        </w:tc>
      </w:tr>
      <w:tr>
        <w:trPr>
          <w:trHeight w:val="203"/>
        </w:trPr>
        <w:tc>
          <w:tcPr>
            <w:tcW w:w="5840" w:type="dxa"/>
            <w:vAlign w:val="bottom"/>
          </w:tcPr>
          <w:p>
            <w:pPr>
              <w:ind w:left="60"/>
              <w:spacing w:after="0"/>
              <w:rPr>
                <w:sz w:val="20"/>
                <w:szCs w:val="20"/>
                <w:color w:val="auto"/>
              </w:rPr>
            </w:pPr>
            <w:r>
              <w:rPr>
                <w:rFonts w:ascii="Arial" w:cs="Arial" w:eastAsia="Arial" w:hAnsi="Arial"/>
                <w:sz w:val="16"/>
                <w:szCs w:val="16"/>
                <w:color w:val="auto"/>
              </w:rPr>
              <w:t>K. Al Mogharbel</w:t>
            </w:r>
          </w:p>
        </w:tc>
        <w:tc>
          <w:tcPr>
            <w:tcW w:w="5400" w:type="dxa"/>
            <w:vAlign w:val="bottom"/>
          </w:tcPr>
          <w:p>
            <w:pPr>
              <w:jc w:val="right"/>
              <w:spacing w:after="0"/>
              <w:rPr>
                <w:sz w:val="20"/>
                <w:szCs w:val="20"/>
                <w:color w:val="auto"/>
              </w:rPr>
            </w:pPr>
            <w:r>
              <w:rPr>
                <w:rFonts w:ascii="Arial" w:cs="Arial" w:eastAsia="Arial" w:hAnsi="Arial"/>
                <w:sz w:val="16"/>
                <w:szCs w:val="16"/>
                <w:color w:val="auto"/>
              </w:rPr>
              <w:t>3,332,332</w:t>
            </w:r>
          </w:p>
        </w:tc>
      </w:tr>
      <w:tr>
        <w:trPr>
          <w:trHeight w:val="203"/>
        </w:trPr>
        <w:tc>
          <w:tcPr>
            <w:tcW w:w="5840" w:type="dxa"/>
            <w:vAlign w:val="bottom"/>
          </w:tcPr>
          <w:p>
            <w:pPr>
              <w:ind w:left="60"/>
              <w:spacing w:after="0"/>
              <w:rPr>
                <w:sz w:val="20"/>
                <w:szCs w:val="20"/>
                <w:color w:val="auto"/>
              </w:rPr>
            </w:pPr>
            <w:r>
              <w:rPr>
                <w:rFonts w:ascii="Arial" w:cs="Arial" w:eastAsia="Arial" w:hAnsi="Arial"/>
                <w:sz w:val="16"/>
                <w:szCs w:val="16"/>
                <w:color w:val="auto"/>
              </w:rPr>
              <w:t>A. Merad</w:t>
            </w:r>
          </w:p>
        </w:tc>
        <w:tc>
          <w:tcPr>
            <w:tcW w:w="5400" w:type="dxa"/>
            <w:vAlign w:val="bottom"/>
          </w:tcPr>
          <w:p>
            <w:pPr>
              <w:jc w:val="right"/>
              <w:spacing w:after="0"/>
              <w:rPr>
                <w:sz w:val="20"/>
                <w:szCs w:val="20"/>
                <w:color w:val="auto"/>
              </w:rPr>
            </w:pPr>
            <w:r>
              <w:rPr>
                <w:rFonts w:ascii="Arial" w:cs="Arial" w:eastAsia="Arial" w:hAnsi="Arial"/>
                <w:sz w:val="16"/>
                <w:szCs w:val="16"/>
                <w:color w:val="auto"/>
              </w:rPr>
              <w:t>889,724</w:t>
            </w:r>
          </w:p>
        </w:tc>
      </w:tr>
      <w:tr>
        <w:trPr>
          <w:trHeight w:val="210"/>
        </w:trPr>
        <w:tc>
          <w:tcPr>
            <w:tcW w:w="5840" w:type="dxa"/>
            <w:vAlign w:val="bottom"/>
            <w:tcBorders>
              <w:bottom w:val="single" w:sz="8" w:color="0233A1"/>
            </w:tcBorders>
          </w:tcPr>
          <w:p>
            <w:pPr>
              <w:ind w:left="60"/>
              <w:spacing w:after="0"/>
              <w:rPr>
                <w:sz w:val="20"/>
                <w:szCs w:val="20"/>
                <w:color w:val="auto"/>
              </w:rPr>
            </w:pPr>
            <w:r>
              <w:rPr>
                <w:rFonts w:ascii="Arial" w:cs="Arial" w:eastAsia="Arial" w:hAnsi="Arial"/>
                <w:sz w:val="16"/>
                <w:szCs w:val="16"/>
                <w:color w:val="auto"/>
              </w:rPr>
              <w:t>D. Ralston</w:t>
            </w:r>
          </w:p>
        </w:tc>
        <w:tc>
          <w:tcPr>
            <w:tcW w:w="5400" w:type="dxa"/>
            <w:vAlign w:val="bottom"/>
            <w:tcBorders>
              <w:bottom w:val="single" w:sz="8" w:color="0233A1"/>
            </w:tcBorders>
          </w:tcPr>
          <w:p>
            <w:pPr>
              <w:jc w:val="right"/>
              <w:spacing w:after="0"/>
              <w:rPr>
                <w:sz w:val="20"/>
                <w:szCs w:val="20"/>
                <w:color w:val="auto"/>
              </w:rPr>
            </w:pPr>
            <w:r>
              <w:rPr>
                <w:rFonts w:ascii="Arial" w:cs="Arial" w:eastAsia="Arial" w:hAnsi="Arial"/>
                <w:sz w:val="16"/>
                <w:szCs w:val="16"/>
                <w:color w:val="auto"/>
              </w:rPr>
              <w:t>493,269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-530860</wp:posOffset>
            </wp:positionV>
            <wp:extent cx="8890" cy="8255"/>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-530860</wp:posOffset>
            </wp:positionV>
            <wp:extent cx="8890" cy="8255"/>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-530860</wp:posOffset>
            </wp:positionV>
            <wp:extent cx="8255" cy="8255"/>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-530860</wp:posOffset>
            </wp:positionV>
            <wp:extent cx="8255" cy="8255"/>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-530860</wp:posOffset>
            </wp:positionV>
            <wp:extent cx="8890" cy="8255"/>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-530860</wp:posOffset>
            </wp:positionV>
            <wp:extent cx="8255" cy="8255"/>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-530860</wp:posOffset>
            </wp:positionV>
            <wp:extent cx="8255" cy="8255"/>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-530860</wp:posOffset>
            </wp:positionV>
            <wp:extent cx="8255" cy="8255"/>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-530860</wp:posOffset>
            </wp:positionV>
            <wp:extent cx="8890" cy="8255"/>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-530860</wp:posOffset>
            </wp:positionV>
            <wp:extent cx="8255" cy="8255"/>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-530860</wp:posOffset>
            </wp:positionV>
            <wp:extent cx="8255" cy="8255"/>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-530860</wp:posOffset>
            </wp:positionV>
            <wp:extent cx="8890" cy="8255"/>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-530860</wp:posOffset>
            </wp:positionV>
            <wp:extent cx="8255" cy="8255"/>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-530860</wp:posOffset>
            </wp:positionV>
            <wp:extent cx="8255" cy="8255"/>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-530860</wp:posOffset>
            </wp:positionV>
            <wp:extent cx="8255" cy="8255"/>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-530860</wp:posOffset>
            </wp:positionV>
            <wp:extent cx="8255" cy="8255"/>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-530860</wp:posOffset>
            </wp:positionV>
            <wp:extent cx="8255" cy="8255"/>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-530860</wp:posOffset>
            </wp:positionV>
            <wp:extent cx="8890" cy="8255"/>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-530860</wp:posOffset>
            </wp:positionV>
            <wp:extent cx="8255" cy="8255"/>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-530860</wp:posOffset>
            </wp:positionV>
            <wp:extent cx="8255" cy="8255"/>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-530860</wp:posOffset>
            </wp:positionV>
            <wp:extent cx="8890" cy="8255"/>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-530860</wp:posOffset>
            </wp:positionV>
            <wp:extent cx="8255" cy="8255"/>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-530860</wp:posOffset>
            </wp:positionV>
            <wp:extent cx="8255" cy="8255"/>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-530860</wp:posOffset>
            </wp:positionV>
            <wp:extent cx="8255" cy="8255"/>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-530860</wp:posOffset>
            </wp:positionV>
            <wp:extent cx="8255" cy="8255"/>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-530860</wp:posOffset>
            </wp:positionV>
            <wp:extent cx="8255" cy="8255"/>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-530860</wp:posOffset>
            </wp:positionV>
            <wp:extent cx="8255" cy="8255"/>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-530860</wp:posOffset>
            </wp:positionV>
            <wp:extent cx="8255" cy="8255"/>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-530860</wp:posOffset>
            </wp:positionV>
            <wp:extent cx="8255" cy="8255"/>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-530860</wp:posOffset>
            </wp:positionV>
            <wp:extent cx="8255" cy="8255"/>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-530860</wp:posOffset>
            </wp:positionV>
            <wp:extent cx="8255" cy="8255"/>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-530860</wp:posOffset>
            </wp:positionV>
            <wp:extent cx="8890" cy="8255"/>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-530860</wp:posOffset>
            </wp:positionV>
            <wp:extent cx="8255" cy="8255"/>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-530860</wp:posOffset>
            </wp:positionV>
            <wp:extent cx="8255" cy="8255"/>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-530860</wp:posOffset>
            </wp:positionV>
            <wp:extent cx="8890" cy="8255"/>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-530860</wp:posOffset>
            </wp:positionV>
            <wp:extent cx="8890" cy="8255"/>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-530860</wp:posOffset>
            </wp:positionV>
            <wp:extent cx="8890" cy="8255"/>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-530860</wp:posOffset>
            </wp:positionV>
            <wp:extent cx="8890" cy="8255"/>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-530860</wp:posOffset>
            </wp:positionV>
            <wp:extent cx="8890" cy="8255"/>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-530860</wp:posOffset>
            </wp:positionV>
            <wp:extent cx="8255" cy="8255"/>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-530860</wp:posOffset>
            </wp:positionV>
            <wp:extent cx="8255" cy="8255"/>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-530860</wp:posOffset>
            </wp:positionV>
            <wp:extent cx="8890" cy="8255"/>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-530860</wp:posOffset>
            </wp:positionV>
            <wp:extent cx="8890" cy="8255"/>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-530860</wp:posOffset>
            </wp:positionV>
            <wp:extent cx="8890" cy="8255"/>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-530860</wp:posOffset>
            </wp:positionV>
            <wp:extent cx="8255" cy="8255"/>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-530860</wp:posOffset>
            </wp:positionV>
            <wp:extent cx="8255" cy="8255"/>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-530860</wp:posOffset>
            </wp:positionV>
            <wp:extent cx="8255" cy="8255"/>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-530860</wp:posOffset>
            </wp:positionV>
            <wp:extent cx="8890" cy="8255"/>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-530860</wp:posOffset>
            </wp:positionV>
            <wp:extent cx="8890" cy="8255"/>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-530860</wp:posOffset>
            </wp:positionV>
            <wp:extent cx="8890" cy="8255"/>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-530860</wp:posOffset>
            </wp:positionV>
            <wp:extent cx="8255" cy="8255"/>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-530860</wp:posOffset>
            </wp:positionV>
            <wp:extent cx="8255" cy="8255"/>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-530860</wp:posOffset>
            </wp:positionV>
            <wp:extent cx="8890" cy="8255"/>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-530860</wp:posOffset>
            </wp:positionV>
            <wp:extent cx="8890" cy="8255"/>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-530860</wp:posOffset>
            </wp:positionV>
            <wp:extent cx="8890" cy="8255"/>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-530860</wp:posOffset>
            </wp:positionV>
            <wp:extent cx="8255" cy="8255"/>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-530860</wp:posOffset>
            </wp:positionV>
            <wp:extent cx="8255" cy="8255"/>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-530860</wp:posOffset>
            </wp:positionV>
            <wp:extent cx="8255" cy="8255"/>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-530860</wp:posOffset>
            </wp:positionV>
            <wp:extent cx="8890" cy="8255"/>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-530860</wp:posOffset>
            </wp:positionV>
            <wp:extent cx="8890" cy="8255"/>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-530860</wp:posOffset>
            </wp:positionV>
            <wp:extent cx="8890" cy="8255"/>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-530860</wp:posOffset>
            </wp:positionV>
            <wp:extent cx="8255" cy="8255"/>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-530860</wp:posOffset>
            </wp:positionV>
            <wp:extent cx="8255" cy="8255"/>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-530860</wp:posOffset>
            </wp:positionV>
            <wp:extent cx="8890" cy="8255"/>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-530860</wp:posOffset>
            </wp:positionV>
            <wp:extent cx="8890" cy="8255"/>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-530860</wp:posOffset>
            </wp:positionV>
            <wp:extent cx="8890" cy="8255"/>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-530860</wp:posOffset>
            </wp:positionV>
            <wp:extent cx="8255" cy="8255"/>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-530860</wp:posOffset>
            </wp:positionV>
            <wp:extent cx="8255" cy="8255"/>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-530860</wp:posOffset>
            </wp:positionV>
            <wp:extent cx="8255" cy="8255"/>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-530860</wp:posOffset>
            </wp:positionV>
            <wp:extent cx="8890" cy="8255"/>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-530860</wp:posOffset>
            </wp:positionV>
            <wp:extent cx="8890" cy="8255"/>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-530860</wp:posOffset>
            </wp:positionV>
            <wp:extent cx="8890" cy="8255"/>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-530860</wp:posOffset>
            </wp:positionV>
            <wp:extent cx="8255" cy="8255"/>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-530860</wp:posOffset>
            </wp:positionV>
            <wp:extent cx="8255" cy="8255"/>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-530860</wp:posOffset>
            </wp:positionV>
            <wp:extent cx="8890" cy="8255"/>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-530860</wp:posOffset>
            </wp:positionV>
            <wp:extent cx="8890" cy="8255"/>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-530860</wp:posOffset>
            </wp:positionV>
            <wp:extent cx="8890" cy="8255"/>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-530860</wp:posOffset>
            </wp:positionV>
            <wp:extent cx="8890" cy="8255"/>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-530860</wp:posOffset>
            </wp:positionV>
            <wp:extent cx="8255" cy="8255"/>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-530860</wp:posOffset>
            </wp:positionV>
            <wp:extent cx="8255" cy="8255"/>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-530860</wp:posOffset>
            </wp:positionV>
            <wp:extent cx="8890" cy="8255"/>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-530860</wp:posOffset>
            </wp:positionV>
            <wp:extent cx="8890" cy="8255"/>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-530860</wp:posOffset>
            </wp:positionV>
            <wp:extent cx="8890" cy="8255"/>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-530860</wp:posOffset>
            </wp:positionV>
            <wp:extent cx="8890" cy="8255"/>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-530860</wp:posOffset>
            </wp:positionV>
            <wp:extent cx="8890" cy="8255"/>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6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-530860</wp:posOffset>
            </wp:positionV>
            <wp:extent cx="8890" cy="8255"/>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-530860</wp:posOffset>
            </wp:positionV>
            <wp:extent cx="8890" cy="8255"/>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-530860</wp:posOffset>
            </wp:positionV>
            <wp:extent cx="8255" cy="8255"/>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-530860</wp:posOffset>
            </wp:positionV>
            <wp:extent cx="8890" cy="8255"/>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-530860</wp:posOffset>
            </wp:positionV>
            <wp:extent cx="8890" cy="8255"/>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-530860</wp:posOffset>
            </wp:positionV>
            <wp:extent cx="8890" cy="8255"/>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-530860</wp:posOffset>
            </wp:positionV>
            <wp:extent cx="8890" cy="8255"/>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-530860</wp:posOffset>
            </wp:positionV>
            <wp:extent cx="8255" cy="8255"/>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-530860</wp:posOffset>
            </wp:positionV>
            <wp:extent cx="8890" cy="8255"/>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-530860</wp:posOffset>
            </wp:positionV>
            <wp:extent cx="8890" cy="8255"/>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-530860</wp:posOffset>
            </wp:positionV>
            <wp:extent cx="8890" cy="8255"/>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-530860</wp:posOffset>
            </wp:positionV>
            <wp:extent cx="8890" cy="8255"/>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-530860</wp:posOffset>
            </wp:positionV>
            <wp:extent cx="8255" cy="8255"/>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-530860</wp:posOffset>
            </wp:positionV>
            <wp:extent cx="8890" cy="8255"/>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-530860</wp:posOffset>
            </wp:positionV>
            <wp:extent cx="8890" cy="8255"/>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-530860</wp:posOffset>
            </wp:positionV>
            <wp:extent cx="8890" cy="8255"/>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-530860</wp:posOffset>
            </wp:positionV>
            <wp:extent cx="8890" cy="8255"/>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-530860</wp:posOffset>
            </wp:positionV>
            <wp:extent cx="8890" cy="8255"/>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-530860</wp:posOffset>
            </wp:positionV>
            <wp:extent cx="8890" cy="8255"/>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-530860</wp:posOffset>
            </wp:positionV>
            <wp:extent cx="8255" cy="8255"/>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-530860</wp:posOffset>
            </wp:positionV>
            <wp:extent cx="8890" cy="8255"/>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-530860</wp:posOffset>
            </wp:positionV>
            <wp:extent cx="8890" cy="8255"/>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-530860</wp:posOffset>
            </wp:positionV>
            <wp:extent cx="8890" cy="8255"/>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-530860</wp:posOffset>
            </wp:positionV>
            <wp:extent cx="8890" cy="8255"/>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-530860</wp:posOffset>
            </wp:positionV>
            <wp:extent cx="8255" cy="8255"/>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-530860</wp:posOffset>
            </wp:positionV>
            <wp:extent cx="8890" cy="8255"/>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-530860</wp:posOffset>
            </wp:positionV>
            <wp:extent cx="8890" cy="8255"/>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-530860</wp:posOffset>
            </wp:positionV>
            <wp:extent cx="8890" cy="8255"/>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-530860</wp:posOffset>
            </wp:positionV>
            <wp:extent cx="8890" cy="8255"/>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-530860</wp:posOffset>
            </wp:positionV>
            <wp:extent cx="8255" cy="8255"/>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-530860</wp:posOffset>
            </wp:positionV>
            <wp:extent cx="8890" cy="8255"/>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-530860</wp:posOffset>
            </wp:positionV>
            <wp:extent cx="8890" cy="8255"/>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-530860</wp:posOffset>
            </wp:positionV>
            <wp:extent cx="8890" cy="8255"/>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-530860</wp:posOffset>
            </wp:positionV>
            <wp:extent cx="8890" cy="8255"/>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-530860</wp:posOffset>
            </wp:positionV>
            <wp:extent cx="8255" cy="8255"/>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-530860</wp:posOffset>
            </wp:positionV>
            <wp:extent cx="8890" cy="8255"/>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-530860</wp:posOffset>
            </wp:positionV>
            <wp:extent cx="8255" cy="8255"/>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-530860</wp:posOffset>
            </wp:positionV>
            <wp:extent cx="8890" cy="8255"/>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-530860</wp:posOffset>
            </wp:positionV>
            <wp:extent cx="8890" cy="8255"/>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-530860</wp:posOffset>
            </wp:positionV>
            <wp:extent cx="8890" cy="8255"/>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-530860</wp:posOffset>
            </wp:positionV>
            <wp:extent cx="8890" cy="8255"/>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-530860</wp:posOffset>
            </wp:positionV>
            <wp:extent cx="8255" cy="8255"/>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-530860</wp:posOffset>
            </wp:positionV>
            <wp:extent cx="8890" cy="8255"/>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-530860</wp:posOffset>
            </wp:positionV>
            <wp:extent cx="8890" cy="8255"/>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-530860</wp:posOffset>
            </wp:positionV>
            <wp:extent cx="8890" cy="8255"/>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-530860</wp:posOffset>
            </wp:positionV>
            <wp:extent cx="8890" cy="8255"/>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-530860</wp:posOffset>
            </wp:positionV>
            <wp:extent cx="8255" cy="8255"/>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-530860</wp:posOffset>
            </wp:positionV>
            <wp:extent cx="8890" cy="8255"/>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-530860</wp:posOffset>
            </wp:positionV>
            <wp:extent cx="8890" cy="8255"/>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-530860</wp:posOffset>
            </wp:positionV>
            <wp:extent cx="8890" cy="8255"/>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-530860</wp:posOffset>
            </wp:positionV>
            <wp:extent cx="8890" cy="8255"/>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-530860</wp:posOffset>
            </wp:positionV>
            <wp:extent cx="8255" cy="8255"/>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-530860</wp:posOffset>
            </wp:positionV>
            <wp:extent cx="8890" cy="8255"/>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-530860</wp:posOffset>
            </wp:positionV>
            <wp:extent cx="8890" cy="8255"/>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-530860</wp:posOffset>
            </wp:positionV>
            <wp:extent cx="8890" cy="8255"/>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-530860</wp:posOffset>
            </wp:positionV>
            <wp:extent cx="8890" cy="8255"/>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-530860</wp:posOffset>
            </wp:positionV>
            <wp:extent cx="8255" cy="8255"/>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-530860</wp:posOffset>
            </wp:positionV>
            <wp:extent cx="8890" cy="8255"/>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-530860</wp:posOffset>
            </wp:positionV>
            <wp:extent cx="8255" cy="8255"/>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-530860</wp:posOffset>
            </wp:positionV>
            <wp:extent cx="8890" cy="8255"/>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-530860</wp:posOffset>
            </wp:positionV>
            <wp:extent cx="8890" cy="8255"/>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-530860</wp:posOffset>
            </wp:positionV>
            <wp:extent cx="8890" cy="8255"/>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-530860</wp:posOffset>
            </wp:positionV>
            <wp:extent cx="8890" cy="8255"/>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-530860</wp:posOffset>
            </wp:positionV>
            <wp:extent cx="8255" cy="8255"/>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-530860</wp:posOffset>
            </wp:positionV>
            <wp:extent cx="8890" cy="8255"/>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-530860</wp:posOffset>
            </wp:positionV>
            <wp:extent cx="8890" cy="8255"/>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-530860</wp:posOffset>
            </wp:positionV>
            <wp:extent cx="8890" cy="8255"/>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-530860</wp:posOffset>
            </wp:positionV>
            <wp:extent cx="8890" cy="8255"/>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-530860</wp:posOffset>
            </wp:positionV>
            <wp:extent cx="8255" cy="8255"/>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-530860</wp:posOffset>
            </wp:positionV>
            <wp:extent cx="8890" cy="8255"/>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-530860</wp:posOffset>
            </wp:positionV>
            <wp:extent cx="8890" cy="8255"/>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-530860</wp:posOffset>
            </wp:positionV>
            <wp:extent cx="8890" cy="8255"/>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-530860</wp:posOffset>
            </wp:positionV>
            <wp:extent cx="8890" cy="8255"/>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-530860</wp:posOffset>
            </wp:positionV>
            <wp:extent cx="8255" cy="8255"/>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-530860</wp:posOffset>
            </wp:positionV>
            <wp:extent cx="8890" cy="8255"/>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-530860</wp:posOffset>
            </wp:positionV>
            <wp:extent cx="8890" cy="8255"/>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-530860</wp:posOffset>
            </wp:positionV>
            <wp:extent cx="8890" cy="8255"/>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-530860</wp:posOffset>
            </wp:positionV>
            <wp:extent cx="8890" cy="8255"/>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-530860</wp:posOffset>
            </wp:positionV>
            <wp:extent cx="8890" cy="8255"/>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-530860</wp:posOffset>
            </wp:positionV>
            <wp:extent cx="8890" cy="8255"/>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-530860</wp:posOffset>
            </wp:positionV>
            <wp:extent cx="8255" cy="8255"/>
            <wp:wrapNone/>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-530860</wp:posOffset>
            </wp:positionV>
            <wp:extent cx="8890" cy="8255"/>
            <wp:wrapNone/>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-530860</wp:posOffset>
            </wp:positionV>
            <wp:extent cx="8890" cy="8255"/>
            <wp:wrapNone/>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-530860</wp:posOffset>
            </wp:positionV>
            <wp:extent cx="8890" cy="8255"/>
            <wp:wrapNone/>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-530860</wp:posOffset>
            </wp:positionV>
            <wp:extent cx="8890" cy="8255"/>
            <wp:wrapNone/>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-530860</wp:posOffset>
            </wp:positionV>
            <wp:extent cx="8255" cy="8255"/>
            <wp:wrapNone/>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-530860</wp:posOffset>
            </wp:positionV>
            <wp:extent cx="8890" cy="8255"/>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-530860</wp:posOffset>
            </wp:positionV>
            <wp:extent cx="8890" cy="8255"/>
            <wp:wrapNone/>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-530860</wp:posOffset>
            </wp:positionV>
            <wp:extent cx="8890" cy="8255"/>
            <wp:wrapNone/>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-530860</wp:posOffset>
            </wp:positionV>
            <wp:extent cx="8890" cy="8255"/>
            <wp:wrapNone/>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7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-530860</wp:posOffset>
            </wp:positionV>
            <wp:extent cx="8255" cy="8255"/>
            <wp:wrapNone/>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7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-530860</wp:posOffset>
            </wp:positionV>
            <wp:extent cx="8890" cy="8255"/>
            <wp:wrapNone/>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7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-530860</wp:posOffset>
            </wp:positionV>
            <wp:extent cx="8255" cy="8255"/>
            <wp:wrapNone/>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7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-530860</wp:posOffset>
            </wp:positionV>
            <wp:extent cx="8255" cy="8255"/>
            <wp:wrapNone/>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7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-530860</wp:posOffset>
            </wp:positionV>
            <wp:extent cx="8890" cy="8255"/>
            <wp:wrapNone/>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7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-530860</wp:posOffset>
            </wp:positionV>
            <wp:extent cx="8890" cy="8255"/>
            <wp:wrapNone/>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7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-530860</wp:posOffset>
            </wp:positionV>
            <wp:extent cx="8255" cy="8255"/>
            <wp:wrapNone/>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7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-530860</wp:posOffset>
            </wp:positionV>
            <wp:extent cx="8255" cy="8255"/>
            <wp:wrapNone/>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7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-530860</wp:posOffset>
            </wp:positionV>
            <wp:extent cx="8255" cy="8255"/>
            <wp:wrapNone/>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7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-530860</wp:posOffset>
            </wp:positionV>
            <wp:extent cx="8890" cy="8255"/>
            <wp:wrapNone/>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7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-530860</wp:posOffset>
            </wp:positionV>
            <wp:extent cx="8890" cy="8255"/>
            <wp:wrapNone/>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8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-530860</wp:posOffset>
            </wp:positionV>
            <wp:extent cx="8255" cy="8255"/>
            <wp:wrapNone/>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8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-530860</wp:posOffset>
            </wp:positionV>
            <wp:extent cx="8255" cy="8255"/>
            <wp:wrapNone/>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8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-530860</wp:posOffset>
            </wp:positionV>
            <wp:extent cx="8255" cy="8255"/>
            <wp:wrapNone/>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8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-530860</wp:posOffset>
            </wp:positionV>
            <wp:extent cx="8890" cy="8255"/>
            <wp:wrapNone/>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8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-530860</wp:posOffset>
            </wp:positionV>
            <wp:extent cx="8890" cy="8255"/>
            <wp:wrapNone/>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8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-530860</wp:posOffset>
            </wp:positionV>
            <wp:extent cx="8255" cy="8255"/>
            <wp:wrapNone/>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8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-530860</wp:posOffset>
            </wp:positionV>
            <wp:extent cx="8255" cy="8255"/>
            <wp:wrapNone/>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8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-530860</wp:posOffset>
            </wp:positionV>
            <wp:extent cx="8255" cy="8255"/>
            <wp:wrapNone/>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8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-530860</wp:posOffset>
            </wp:positionV>
            <wp:extent cx="8890" cy="8255"/>
            <wp:wrapNone/>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8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-530860</wp:posOffset>
            </wp:positionV>
            <wp:extent cx="8890" cy="8255"/>
            <wp:wrapNone/>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8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-530860</wp:posOffset>
            </wp:positionV>
            <wp:extent cx="8255" cy="8255"/>
            <wp:wrapNone/>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8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-530860</wp:posOffset>
            </wp:positionV>
            <wp:extent cx="8255" cy="8255"/>
            <wp:wrapNone/>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8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-530860</wp:posOffset>
            </wp:positionV>
            <wp:extent cx="8255" cy="8255"/>
            <wp:wrapNone/>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8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-530860</wp:posOffset>
            </wp:positionV>
            <wp:extent cx="8890" cy="8255"/>
            <wp:wrapNone/>
            <wp:docPr id="1807"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8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-530860</wp:posOffset>
            </wp:positionV>
            <wp:extent cx="8890" cy="8255"/>
            <wp:wrapNone/>
            <wp:docPr id="1808" name="Picture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8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-530860</wp:posOffset>
            </wp:positionV>
            <wp:extent cx="8255" cy="8255"/>
            <wp:wrapNone/>
            <wp:docPr id="1809" name="Picture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8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-530860</wp:posOffset>
            </wp:positionV>
            <wp:extent cx="8255" cy="8255"/>
            <wp:wrapNone/>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8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-530860</wp:posOffset>
            </wp:positionV>
            <wp:extent cx="8255" cy="8255"/>
            <wp:wrapNone/>
            <wp:docPr id="1811" name="Picture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8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-530860</wp:posOffset>
            </wp:positionV>
            <wp:extent cx="8890" cy="8255"/>
            <wp:wrapNone/>
            <wp:docPr id="1812" name="Picture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18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-530860</wp:posOffset>
            </wp:positionV>
            <wp:extent cx="8890" cy="8255"/>
            <wp:wrapNone/>
            <wp:docPr id="1813"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18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-530860</wp:posOffset>
            </wp:positionV>
            <wp:extent cx="8255" cy="8255"/>
            <wp:wrapNone/>
            <wp:docPr id="1814" name="Picture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18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-530860</wp:posOffset>
            </wp:positionV>
            <wp:extent cx="8255" cy="8255"/>
            <wp:wrapNone/>
            <wp:docPr id="1815"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18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-530860</wp:posOffset>
            </wp:positionV>
            <wp:extent cx="8255" cy="8255"/>
            <wp:wrapNone/>
            <wp:docPr id="1816"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18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-530860</wp:posOffset>
            </wp:positionV>
            <wp:extent cx="8890" cy="8255"/>
            <wp:wrapNone/>
            <wp:docPr id="1817" name="Picture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18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-530860</wp:posOffset>
            </wp:positionV>
            <wp:extent cx="8890" cy="8255"/>
            <wp:wrapNone/>
            <wp:docPr id="1818" name="Picture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18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-530860</wp:posOffset>
            </wp:positionV>
            <wp:extent cx="8255" cy="8255"/>
            <wp:wrapNone/>
            <wp:docPr id="1819" name="Picture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18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-530860</wp:posOffset>
            </wp:positionV>
            <wp:extent cx="8255" cy="8255"/>
            <wp:wrapNone/>
            <wp:docPr id="1820" name="Pictu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pic:cNvPicPr>
                      <a:picLocks noChangeAspect="1" noChangeArrowheads="1"/>
                    </pic:cNvPicPr>
                  </pic:nvPicPr>
                  <pic:blipFill>
                    <a:blip r:embed="rId18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-530860</wp:posOffset>
            </wp:positionV>
            <wp:extent cx="8890" cy="8255"/>
            <wp:wrapNone/>
            <wp:docPr id="1821" name="Picture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18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-530860</wp:posOffset>
            </wp:positionV>
            <wp:extent cx="8890" cy="8255"/>
            <wp:wrapNone/>
            <wp:docPr id="1822" name="Picture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8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-530860</wp:posOffset>
            </wp:positionV>
            <wp:extent cx="8255" cy="8255"/>
            <wp:wrapNone/>
            <wp:docPr id="1823" name="Picture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18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-530860</wp:posOffset>
            </wp:positionV>
            <wp:extent cx="8255" cy="8255"/>
            <wp:wrapNone/>
            <wp:docPr id="1824"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18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-530860</wp:posOffset>
            </wp:positionV>
            <wp:extent cx="8255" cy="8255"/>
            <wp:wrapNone/>
            <wp:docPr id="1825"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18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-530860</wp:posOffset>
            </wp:positionV>
            <wp:extent cx="8890" cy="8255"/>
            <wp:wrapNone/>
            <wp:docPr id="1826" name="Picture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18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-530860</wp:posOffset>
            </wp:positionV>
            <wp:extent cx="8890" cy="8255"/>
            <wp:wrapNone/>
            <wp:docPr id="1827"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18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-530860</wp:posOffset>
            </wp:positionV>
            <wp:extent cx="8255" cy="8255"/>
            <wp:wrapNone/>
            <wp:docPr id="1828" name="Picture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18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-530860</wp:posOffset>
            </wp:positionV>
            <wp:extent cx="8255" cy="8255"/>
            <wp:wrapNone/>
            <wp:docPr id="1829" name="Picture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18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-530860</wp:posOffset>
            </wp:positionV>
            <wp:extent cx="8255" cy="8255"/>
            <wp:wrapNone/>
            <wp:docPr id="1830" name="Picture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18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-530860</wp:posOffset>
            </wp:positionV>
            <wp:extent cx="8890" cy="8255"/>
            <wp:wrapNone/>
            <wp:docPr id="1831" name="Picture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18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-530860</wp:posOffset>
            </wp:positionV>
            <wp:extent cx="8890" cy="8255"/>
            <wp:wrapNone/>
            <wp:docPr id="1832" name="Picture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18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-530860</wp:posOffset>
            </wp:positionV>
            <wp:extent cx="8255" cy="8255"/>
            <wp:wrapNone/>
            <wp:docPr id="1833" name="Picture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18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-530860</wp:posOffset>
            </wp:positionV>
            <wp:extent cx="8255" cy="8255"/>
            <wp:wrapNone/>
            <wp:docPr id="1834" name="Picture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pic:cNvPicPr>
                      <a:picLocks noChangeAspect="1" noChangeArrowheads="1"/>
                    </pic:cNvPicPr>
                  </pic:nvPicPr>
                  <pic:blipFill>
                    <a:blip r:embed="rId18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-530860</wp:posOffset>
            </wp:positionV>
            <wp:extent cx="8255" cy="8255"/>
            <wp:wrapNone/>
            <wp:docPr id="1835" name="Picture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18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-530860</wp:posOffset>
            </wp:positionV>
            <wp:extent cx="8890" cy="8255"/>
            <wp:wrapNone/>
            <wp:docPr id="1836" name="Picture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18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-530860</wp:posOffset>
            </wp:positionV>
            <wp:extent cx="8890" cy="8255"/>
            <wp:wrapNone/>
            <wp:docPr id="1837" name="Picture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18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-530860</wp:posOffset>
            </wp:positionV>
            <wp:extent cx="8255" cy="8255"/>
            <wp:wrapNone/>
            <wp:docPr id="1838" name="Picture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pic:cNvPicPr>
                      <a:picLocks noChangeAspect="1" noChangeArrowheads="1"/>
                    </pic:cNvPicPr>
                  </pic:nvPicPr>
                  <pic:blipFill>
                    <a:blip r:embed="rId18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-530860</wp:posOffset>
            </wp:positionV>
            <wp:extent cx="8255" cy="8255"/>
            <wp:wrapNone/>
            <wp:docPr id="1839" name="Picture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pic:cNvPicPr>
                      <a:picLocks noChangeAspect="1" noChangeArrowheads="1"/>
                    </pic:cNvPicPr>
                  </pic:nvPicPr>
                  <pic:blipFill>
                    <a:blip r:embed="rId18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-530860</wp:posOffset>
            </wp:positionV>
            <wp:extent cx="8255" cy="8255"/>
            <wp:wrapNone/>
            <wp:docPr id="1840" name="Picture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pic:cNvPicPr>
                      <a:picLocks noChangeAspect="1" noChangeArrowheads="1"/>
                    </pic:cNvPicPr>
                  </pic:nvPicPr>
                  <pic:blipFill>
                    <a:blip r:embed="rId18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-530860</wp:posOffset>
            </wp:positionV>
            <wp:extent cx="8890" cy="8255"/>
            <wp:wrapNone/>
            <wp:docPr id="1841" name="Picture 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pic:cNvPicPr>
                      <a:picLocks noChangeAspect="1" noChangeArrowheads="1"/>
                    </pic:cNvPicPr>
                  </pic:nvPicPr>
                  <pic:blipFill>
                    <a:blip r:embed="rId18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-530860</wp:posOffset>
            </wp:positionV>
            <wp:extent cx="8890" cy="8255"/>
            <wp:wrapNone/>
            <wp:docPr id="1842" name="Picture 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pic:cNvPicPr>
                      <a:picLocks noChangeAspect="1" noChangeArrowheads="1"/>
                    </pic:cNvPicPr>
                  </pic:nvPicPr>
                  <pic:blipFill>
                    <a:blip r:embed="rId18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-530860</wp:posOffset>
            </wp:positionV>
            <wp:extent cx="8255" cy="8255"/>
            <wp:wrapNone/>
            <wp:docPr id="1843" name="Picture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pic:cNvPicPr>
                      <a:picLocks noChangeAspect="1" noChangeArrowheads="1"/>
                    </pic:cNvPicPr>
                  </pic:nvPicPr>
                  <pic:blipFill>
                    <a:blip r:embed="rId18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-530860</wp:posOffset>
            </wp:positionV>
            <wp:extent cx="8255" cy="8255"/>
            <wp:wrapNone/>
            <wp:docPr id="1844" name="Picture 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pic:cNvPicPr>
                      <a:picLocks noChangeAspect="1" noChangeArrowheads="1"/>
                    </pic:cNvPicPr>
                  </pic:nvPicPr>
                  <pic:blipFill>
                    <a:blip r:embed="rId18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-530860</wp:posOffset>
            </wp:positionV>
            <wp:extent cx="8255" cy="8255"/>
            <wp:wrapNone/>
            <wp:docPr id="1845" name="Picture 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pic:cNvPicPr>
                      <a:picLocks noChangeAspect="1" noChangeArrowheads="1"/>
                    </pic:cNvPicPr>
                  </pic:nvPicPr>
                  <pic:blipFill>
                    <a:blip r:embed="rId18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-530860</wp:posOffset>
            </wp:positionV>
            <wp:extent cx="8890" cy="8255"/>
            <wp:wrapNone/>
            <wp:docPr id="1846" name="Picture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pic:cNvPicPr>
                      <a:picLocks noChangeAspect="1" noChangeArrowheads="1"/>
                    </pic:cNvPicPr>
                  </pic:nvPicPr>
                  <pic:blipFill>
                    <a:blip r:embed="rId18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-530860</wp:posOffset>
            </wp:positionV>
            <wp:extent cx="8890" cy="8255"/>
            <wp:wrapNone/>
            <wp:docPr id="1847" name="Picture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pic:cNvPicPr>
                      <a:picLocks noChangeAspect="1" noChangeArrowheads="1"/>
                    </pic:cNvPicPr>
                  </pic:nvPicPr>
                  <pic:blipFill>
                    <a:blip r:embed="rId18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-530860</wp:posOffset>
            </wp:positionV>
            <wp:extent cx="8255" cy="8255"/>
            <wp:wrapNone/>
            <wp:docPr id="1848" name="Picture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pic:cNvPicPr>
                      <a:picLocks noChangeAspect="1" noChangeArrowheads="1"/>
                    </pic:cNvPicPr>
                  </pic:nvPicPr>
                  <pic:blipFill>
                    <a:blip r:embed="rId18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-530860</wp:posOffset>
            </wp:positionV>
            <wp:extent cx="8255" cy="8255"/>
            <wp:wrapNone/>
            <wp:docPr id="1849" name="Picture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pic:cNvPicPr>
                      <a:picLocks noChangeAspect="1" noChangeArrowheads="1"/>
                    </pic:cNvPicPr>
                  </pic:nvPicPr>
                  <pic:blipFill>
                    <a:blip r:embed="rId18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-530860</wp:posOffset>
            </wp:positionV>
            <wp:extent cx="8255" cy="8255"/>
            <wp:wrapNone/>
            <wp:docPr id="1850" name="Picture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pic:cNvPicPr>
                      <a:picLocks noChangeAspect="1" noChangeArrowheads="1"/>
                    </pic:cNvPicPr>
                  </pic:nvPicPr>
                  <pic:blipFill>
                    <a:blip r:embed="rId18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-530860</wp:posOffset>
            </wp:positionV>
            <wp:extent cx="8890" cy="8255"/>
            <wp:wrapNone/>
            <wp:docPr id="1851" name="Picture 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pic:cNvPicPr>
                      <a:picLocks noChangeAspect="1" noChangeArrowheads="1"/>
                    </pic:cNvPicPr>
                  </pic:nvPicPr>
                  <pic:blipFill>
                    <a:blip r:embed="rId18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-530860</wp:posOffset>
            </wp:positionV>
            <wp:extent cx="8890" cy="8255"/>
            <wp:wrapNone/>
            <wp:docPr id="1852" name="Picture 1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pic:cNvPicPr>
                      <a:picLocks noChangeAspect="1" noChangeArrowheads="1"/>
                    </pic:cNvPicPr>
                  </pic:nvPicPr>
                  <pic:blipFill>
                    <a:blip r:embed="rId18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-530860</wp:posOffset>
            </wp:positionV>
            <wp:extent cx="8255" cy="8255"/>
            <wp:wrapNone/>
            <wp:docPr id="1853" name="Picture 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pic:cNvPicPr>
                      <a:picLocks noChangeAspect="1" noChangeArrowheads="1"/>
                    </pic:cNvPicPr>
                  </pic:nvPicPr>
                  <pic:blipFill>
                    <a:blip r:embed="rId18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-530860</wp:posOffset>
            </wp:positionV>
            <wp:extent cx="8255" cy="8255"/>
            <wp:wrapNone/>
            <wp:docPr id="1854" name="Picture 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
                    <pic:cNvPicPr>
                      <a:picLocks noChangeAspect="1" noChangeArrowheads="1"/>
                    </pic:cNvPicPr>
                  </pic:nvPicPr>
                  <pic:blipFill>
                    <a:blip r:embed="rId18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-530860</wp:posOffset>
            </wp:positionV>
            <wp:extent cx="8255" cy="8255"/>
            <wp:wrapNone/>
            <wp:docPr id="1855" name="Picture 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pic:cNvPicPr>
                      <a:picLocks noChangeAspect="1" noChangeArrowheads="1"/>
                    </pic:cNvPicPr>
                  </pic:nvPicPr>
                  <pic:blipFill>
                    <a:blip r:embed="rId18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-530860</wp:posOffset>
            </wp:positionV>
            <wp:extent cx="8890" cy="8255"/>
            <wp:wrapNone/>
            <wp:docPr id="1856" name="Picture 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
                    <pic:cNvPicPr>
                      <a:picLocks noChangeAspect="1" noChangeArrowheads="1"/>
                    </pic:cNvPicPr>
                  </pic:nvPicPr>
                  <pic:blipFill>
                    <a:blip r:embed="rId18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-530860</wp:posOffset>
            </wp:positionV>
            <wp:extent cx="8890" cy="8255"/>
            <wp:wrapNone/>
            <wp:docPr id="1857" name="Picture 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pic:cNvPicPr>
                      <a:picLocks noChangeAspect="1" noChangeArrowheads="1"/>
                    </pic:cNvPicPr>
                  </pic:nvPicPr>
                  <pic:blipFill>
                    <a:blip r:embed="rId18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-530860</wp:posOffset>
            </wp:positionV>
            <wp:extent cx="8255" cy="8255"/>
            <wp:wrapNone/>
            <wp:docPr id="1858" name="Picture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
                    <pic:cNvPicPr>
                      <a:picLocks noChangeAspect="1" noChangeArrowheads="1"/>
                    </pic:cNvPicPr>
                  </pic:nvPicPr>
                  <pic:blipFill>
                    <a:blip r:embed="rId18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-530860</wp:posOffset>
            </wp:positionV>
            <wp:extent cx="8255" cy="8255"/>
            <wp:wrapNone/>
            <wp:docPr id="1859" name="Picture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pic:cNvPicPr>
                      <a:picLocks noChangeAspect="1" noChangeArrowheads="1"/>
                    </pic:cNvPicPr>
                  </pic:nvPicPr>
                  <pic:blipFill>
                    <a:blip r:embed="rId18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-530860</wp:posOffset>
            </wp:positionV>
            <wp:extent cx="8890" cy="8255"/>
            <wp:wrapNone/>
            <wp:docPr id="1860" name="Picture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pic:cNvPicPr>
                      <a:picLocks noChangeAspect="1" noChangeArrowheads="1"/>
                    </pic:cNvPicPr>
                  </pic:nvPicPr>
                  <pic:blipFill>
                    <a:blip r:embed="rId18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-530860</wp:posOffset>
            </wp:positionV>
            <wp:extent cx="8890" cy="8255"/>
            <wp:wrapNone/>
            <wp:docPr id="1861" name="Picture 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
                    <pic:cNvPicPr>
                      <a:picLocks noChangeAspect="1" noChangeArrowheads="1"/>
                    </pic:cNvPicPr>
                  </pic:nvPicPr>
                  <pic:blipFill>
                    <a:blip r:embed="rId18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-530860</wp:posOffset>
            </wp:positionV>
            <wp:extent cx="8255" cy="8255"/>
            <wp:wrapNone/>
            <wp:docPr id="1862" name="Picture 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
                    <pic:cNvPicPr>
                      <a:picLocks noChangeAspect="1" noChangeArrowheads="1"/>
                    </pic:cNvPicPr>
                  </pic:nvPicPr>
                  <pic:blipFill>
                    <a:blip r:embed="rId18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-530860</wp:posOffset>
            </wp:positionV>
            <wp:extent cx="8255" cy="8255"/>
            <wp:wrapNone/>
            <wp:docPr id="1863" name="Picture 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
                    <pic:cNvPicPr>
                      <a:picLocks noChangeAspect="1" noChangeArrowheads="1"/>
                    </pic:cNvPicPr>
                  </pic:nvPicPr>
                  <pic:blipFill>
                    <a:blip r:embed="rId18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-530860</wp:posOffset>
            </wp:positionV>
            <wp:extent cx="8255" cy="8255"/>
            <wp:wrapNone/>
            <wp:docPr id="1864" name="Picture 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
                    <pic:cNvPicPr>
                      <a:picLocks noChangeAspect="1" noChangeArrowheads="1"/>
                    </pic:cNvPicPr>
                  </pic:nvPicPr>
                  <pic:blipFill>
                    <a:blip r:embed="rId18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-530860</wp:posOffset>
            </wp:positionV>
            <wp:extent cx="8890" cy="8255"/>
            <wp:wrapNone/>
            <wp:docPr id="1865" name="Picture 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
                    <pic:cNvPicPr>
                      <a:picLocks noChangeAspect="1" noChangeArrowheads="1"/>
                    </pic:cNvPicPr>
                  </pic:nvPicPr>
                  <pic:blipFill>
                    <a:blip r:embed="rId18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-530860</wp:posOffset>
            </wp:positionV>
            <wp:extent cx="8890" cy="8255"/>
            <wp:wrapNone/>
            <wp:docPr id="1866" name="Picture 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6"/>
                    <pic:cNvPicPr>
                      <a:picLocks noChangeAspect="1" noChangeArrowheads="1"/>
                    </pic:cNvPicPr>
                  </pic:nvPicPr>
                  <pic:blipFill>
                    <a:blip r:embed="rId18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-530860</wp:posOffset>
            </wp:positionV>
            <wp:extent cx="8255" cy="8255"/>
            <wp:wrapNone/>
            <wp:docPr id="1867" name="Picture 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7"/>
                    <pic:cNvPicPr>
                      <a:picLocks noChangeAspect="1" noChangeArrowheads="1"/>
                    </pic:cNvPicPr>
                  </pic:nvPicPr>
                  <pic:blipFill>
                    <a:blip r:embed="rId18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-530860</wp:posOffset>
            </wp:positionV>
            <wp:extent cx="8255" cy="8255"/>
            <wp:wrapNone/>
            <wp:docPr id="1868" name="Picture 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8"/>
                    <pic:cNvPicPr>
                      <a:picLocks noChangeAspect="1" noChangeArrowheads="1"/>
                    </pic:cNvPicPr>
                  </pic:nvPicPr>
                  <pic:blipFill>
                    <a:blip r:embed="rId18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-530860</wp:posOffset>
            </wp:positionV>
            <wp:extent cx="8255" cy="8255"/>
            <wp:wrapNone/>
            <wp:docPr id="1869" name="Picture 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pic:cNvPicPr>
                      <a:picLocks noChangeAspect="1" noChangeArrowheads="1"/>
                    </pic:cNvPicPr>
                  </pic:nvPicPr>
                  <pic:blipFill>
                    <a:blip r:embed="rId18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-530860</wp:posOffset>
            </wp:positionV>
            <wp:extent cx="8890" cy="8255"/>
            <wp:wrapNone/>
            <wp:docPr id="1870" name="Picture 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
                    <pic:cNvPicPr>
                      <a:picLocks noChangeAspect="1" noChangeArrowheads="1"/>
                    </pic:cNvPicPr>
                  </pic:nvPicPr>
                  <pic:blipFill>
                    <a:blip r:embed="rId18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-530860</wp:posOffset>
            </wp:positionV>
            <wp:extent cx="8890" cy="8255"/>
            <wp:wrapNone/>
            <wp:docPr id="1871" name="Picture 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1"/>
                    <pic:cNvPicPr>
                      <a:picLocks noChangeAspect="1" noChangeArrowheads="1"/>
                    </pic:cNvPicPr>
                  </pic:nvPicPr>
                  <pic:blipFill>
                    <a:blip r:embed="rId18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-530860</wp:posOffset>
            </wp:positionV>
            <wp:extent cx="8255" cy="8255"/>
            <wp:wrapNone/>
            <wp:docPr id="1872" name="Picture 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2"/>
                    <pic:cNvPicPr>
                      <a:picLocks noChangeAspect="1" noChangeArrowheads="1"/>
                    </pic:cNvPicPr>
                  </pic:nvPicPr>
                  <pic:blipFill>
                    <a:blip r:embed="rId18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-530860</wp:posOffset>
            </wp:positionV>
            <wp:extent cx="8255" cy="8255"/>
            <wp:wrapNone/>
            <wp:docPr id="1873" name="Picture 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3"/>
                    <pic:cNvPicPr>
                      <a:picLocks noChangeAspect="1" noChangeArrowheads="1"/>
                    </pic:cNvPicPr>
                  </pic:nvPicPr>
                  <pic:blipFill>
                    <a:blip r:embed="rId18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-530860</wp:posOffset>
            </wp:positionV>
            <wp:extent cx="8255" cy="8255"/>
            <wp:wrapNone/>
            <wp:docPr id="1874" name="Picture 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4"/>
                    <pic:cNvPicPr>
                      <a:picLocks noChangeAspect="1" noChangeArrowheads="1"/>
                    </pic:cNvPicPr>
                  </pic:nvPicPr>
                  <pic:blipFill>
                    <a:blip r:embed="rId18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-530860</wp:posOffset>
            </wp:positionV>
            <wp:extent cx="8890" cy="8255"/>
            <wp:wrapNone/>
            <wp:docPr id="1875" name="Picture 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5"/>
                    <pic:cNvPicPr>
                      <a:picLocks noChangeAspect="1" noChangeArrowheads="1"/>
                    </pic:cNvPicPr>
                  </pic:nvPicPr>
                  <pic:blipFill>
                    <a:blip r:embed="rId18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-530860</wp:posOffset>
            </wp:positionV>
            <wp:extent cx="8890" cy="8255"/>
            <wp:wrapNone/>
            <wp:docPr id="1876" name="Picture 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6"/>
                    <pic:cNvPicPr>
                      <a:picLocks noChangeAspect="1" noChangeArrowheads="1"/>
                    </pic:cNvPicPr>
                  </pic:nvPicPr>
                  <pic:blipFill>
                    <a:blip r:embed="rId18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-530860</wp:posOffset>
            </wp:positionV>
            <wp:extent cx="8255" cy="8255"/>
            <wp:wrapNone/>
            <wp:docPr id="1877" name="Picture 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7"/>
                    <pic:cNvPicPr>
                      <a:picLocks noChangeAspect="1" noChangeArrowheads="1"/>
                    </pic:cNvPicPr>
                  </pic:nvPicPr>
                  <pic:blipFill>
                    <a:blip r:embed="rId18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-530860</wp:posOffset>
            </wp:positionV>
            <wp:extent cx="8255" cy="8255"/>
            <wp:wrapNone/>
            <wp:docPr id="1878" name="Picture 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8"/>
                    <pic:cNvPicPr>
                      <a:picLocks noChangeAspect="1" noChangeArrowheads="1"/>
                    </pic:cNvPicPr>
                  </pic:nvPicPr>
                  <pic:blipFill>
                    <a:blip r:embed="rId18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-530860</wp:posOffset>
            </wp:positionV>
            <wp:extent cx="8255" cy="8255"/>
            <wp:wrapNone/>
            <wp:docPr id="1879" name="Picture 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
                    <pic:cNvPicPr>
                      <a:picLocks noChangeAspect="1" noChangeArrowheads="1"/>
                    </pic:cNvPicPr>
                  </pic:nvPicPr>
                  <pic:blipFill>
                    <a:blip r:embed="rId18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-530860</wp:posOffset>
            </wp:positionV>
            <wp:extent cx="8890" cy="8255"/>
            <wp:wrapNone/>
            <wp:docPr id="1880" name="Picture 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0"/>
                    <pic:cNvPicPr>
                      <a:picLocks noChangeAspect="1" noChangeArrowheads="1"/>
                    </pic:cNvPicPr>
                  </pic:nvPicPr>
                  <pic:blipFill>
                    <a:blip r:embed="rId18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-530860</wp:posOffset>
            </wp:positionV>
            <wp:extent cx="8890" cy="8255"/>
            <wp:wrapNone/>
            <wp:docPr id="1881" name="Picture 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1"/>
                    <pic:cNvPicPr>
                      <a:picLocks noChangeAspect="1" noChangeArrowheads="1"/>
                    </pic:cNvPicPr>
                  </pic:nvPicPr>
                  <pic:blipFill>
                    <a:blip r:embed="rId18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-530860</wp:posOffset>
            </wp:positionV>
            <wp:extent cx="8255" cy="8255"/>
            <wp:wrapNone/>
            <wp:docPr id="1882" name="Picture 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2"/>
                    <pic:cNvPicPr>
                      <a:picLocks noChangeAspect="1" noChangeArrowheads="1"/>
                    </pic:cNvPicPr>
                  </pic:nvPicPr>
                  <pic:blipFill>
                    <a:blip r:embed="rId18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-530860</wp:posOffset>
            </wp:positionV>
            <wp:extent cx="8255" cy="8255"/>
            <wp:wrapNone/>
            <wp:docPr id="1883" name="Picture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
                    <pic:cNvPicPr>
                      <a:picLocks noChangeAspect="1" noChangeArrowheads="1"/>
                    </pic:cNvPicPr>
                  </pic:nvPicPr>
                  <pic:blipFill>
                    <a:blip r:embed="rId18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-530860</wp:posOffset>
            </wp:positionV>
            <wp:extent cx="8255" cy="8255"/>
            <wp:wrapNone/>
            <wp:docPr id="1884" name="Picture 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4"/>
                    <pic:cNvPicPr>
                      <a:picLocks noChangeAspect="1" noChangeArrowheads="1"/>
                    </pic:cNvPicPr>
                  </pic:nvPicPr>
                  <pic:blipFill>
                    <a:blip r:embed="rId18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-530860</wp:posOffset>
            </wp:positionV>
            <wp:extent cx="8890" cy="8255"/>
            <wp:wrapNone/>
            <wp:docPr id="1885" name="Picture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5"/>
                    <pic:cNvPicPr>
                      <a:picLocks noChangeAspect="1" noChangeArrowheads="1"/>
                    </pic:cNvPicPr>
                  </pic:nvPicPr>
                  <pic:blipFill>
                    <a:blip r:embed="rId18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-530860</wp:posOffset>
            </wp:positionV>
            <wp:extent cx="8890" cy="8255"/>
            <wp:wrapNone/>
            <wp:docPr id="1886" name="Picture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6"/>
                    <pic:cNvPicPr>
                      <a:picLocks noChangeAspect="1" noChangeArrowheads="1"/>
                    </pic:cNvPicPr>
                  </pic:nvPicPr>
                  <pic:blipFill>
                    <a:blip r:embed="rId18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-530860</wp:posOffset>
            </wp:positionV>
            <wp:extent cx="8255" cy="8255"/>
            <wp:wrapNone/>
            <wp:docPr id="1887" name="Picture 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
                    <pic:cNvPicPr>
                      <a:picLocks noChangeAspect="1" noChangeArrowheads="1"/>
                    </pic:cNvPicPr>
                  </pic:nvPicPr>
                  <pic:blipFill>
                    <a:blip r:embed="rId18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-530860</wp:posOffset>
            </wp:positionV>
            <wp:extent cx="8255" cy="8255"/>
            <wp:wrapNone/>
            <wp:docPr id="1888" name="Picture 1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8"/>
                    <pic:cNvPicPr>
                      <a:picLocks noChangeAspect="1" noChangeArrowheads="1"/>
                    </pic:cNvPicPr>
                  </pic:nvPicPr>
                  <pic:blipFill>
                    <a:blip r:embed="rId18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-530860</wp:posOffset>
            </wp:positionV>
            <wp:extent cx="8255" cy="8255"/>
            <wp:wrapNone/>
            <wp:docPr id="1889" name="Picture 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
                    <pic:cNvPicPr>
                      <a:picLocks noChangeAspect="1" noChangeArrowheads="1"/>
                    </pic:cNvPicPr>
                  </pic:nvPicPr>
                  <pic:blipFill>
                    <a:blip r:embed="rId18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-530860</wp:posOffset>
            </wp:positionV>
            <wp:extent cx="8890" cy="8255"/>
            <wp:wrapNone/>
            <wp:docPr id="1890" name="Picture 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0"/>
                    <pic:cNvPicPr>
                      <a:picLocks noChangeAspect="1" noChangeArrowheads="1"/>
                    </pic:cNvPicPr>
                  </pic:nvPicPr>
                  <pic:blipFill>
                    <a:blip r:embed="rId18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-530860</wp:posOffset>
            </wp:positionV>
            <wp:extent cx="8890" cy="8255"/>
            <wp:wrapNone/>
            <wp:docPr id="1891" name="Picture 1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
                    <pic:cNvPicPr>
                      <a:picLocks noChangeAspect="1" noChangeArrowheads="1"/>
                    </pic:cNvPicPr>
                  </pic:nvPicPr>
                  <pic:blipFill>
                    <a:blip r:embed="rId18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-530860</wp:posOffset>
            </wp:positionV>
            <wp:extent cx="8255" cy="8255"/>
            <wp:wrapNone/>
            <wp:docPr id="1892" name="Picture 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
                    <pic:cNvPicPr>
                      <a:picLocks noChangeAspect="1" noChangeArrowheads="1"/>
                    </pic:cNvPicPr>
                  </pic:nvPicPr>
                  <pic:blipFill>
                    <a:blip r:embed="rId18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-530860</wp:posOffset>
            </wp:positionV>
            <wp:extent cx="8255" cy="8255"/>
            <wp:wrapNone/>
            <wp:docPr id="1893" name="Picture 1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
                    <pic:cNvPicPr>
                      <a:picLocks noChangeAspect="1" noChangeArrowheads="1"/>
                    </pic:cNvPicPr>
                  </pic:nvPicPr>
                  <pic:blipFill>
                    <a:blip r:embed="rId19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-530860</wp:posOffset>
            </wp:positionV>
            <wp:extent cx="8255" cy="8255"/>
            <wp:wrapNone/>
            <wp:docPr id="1894" name="Picture 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
                    <pic:cNvPicPr>
                      <a:picLocks noChangeAspect="1" noChangeArrowheads="1"/>
                    </pic:cNvPicPr>
                  </pic:nvPicPr>
                  <pic:blipFill>
                    <a:blip r:embed="rId19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-530860</wp:posOffset>
            </wp:positionV>
            <wp:extent cx="8890" cy="8255"/>
            <wp:wrapNone/>
            <wp:docPr id="1895" name="Picture 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
                    <pic:cNvPicPr>
                      <a:picLocks noChangeAspect="1" noChangeArrowheads="1"/>
                    </pic:cNvPicPr>
                  </pic:nvPicPr>
                  <pic:blipFill>
                    <a:blip r:embed="rId19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-530860</wp:posOffset>
            </wp:positionV>
            <wp:extent cx="8890" cy="8255"/>
            <wp:wrapNone/>
            <wp:docPr id="1896" name="Picture 1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
                    <pic:cNvPicPr>
                      <a:picLocks noChangeAspect="1" noChangeArrowheads="1"/>
                    </pic:cNvPicPr>
                  </pic:nvPicPr>
                  <pic:blipFill>
                    <a:blip r:embed="rId19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-530860</wp:posOffset>
            </wp:positionV>
            <wp:extent cx="8255" cy="8255"/>
            <wp:wrapNone/>
            <wp:docPr id="1897" name="Picture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
                    <pic:cNvPicPr>
                      <a:picLocks noChangeAspect="1" noChangeArrowheads="1"/>
                    </pic:cNvPicPr>
                  </pic:nvPicPr>
                  <pic:blipFill>
                    <a:blip r:embed="rId19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-530860</wp:posOffset>
            </wp:positionV>
            <wp:extent cx="8255" cy="8255"/>
            <wp:wrapNone/>
            <wp:docPr id="1898" name="Picture 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
                    <pic:cNvPicPr>
                      <a:picLocks noChangeAspect="1" noChangeArrowheads="1"/>
                    </pic:cNvPicPr>
                  </pic:nvPicPr>
                  <pic:blipFill>
                    <a:blip r:embed="rId19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-530860</wp:posOffset>
            </wp:positionV>
            <wp:extent cx="8255" cy="8255"/>
            <wp:wrapNone/>
            <wp:docPr id="1899" name="Picture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
                    <pic:cNvPicPr>
                      <a:picLocks noChangeAspect="1" noChangeArrowheads="1"/>
                    </pic:cNvPicPr>
                  </pic:nvPicPr>
                  <pic:blipFill>
                    <a:blip r:embed="rId19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-530860</wp:posOffset>
            </wp:positionV>
            <wp:extent cx="8890" cy="8255"/>
            <wp:wrapNone/>
            <wp:docPr id="1900" name="Picture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
                    <pic:cNvPicPr>
                      <a:picLocks noChangeAspect="1" noChangeArrowheads="1"/>
                    </pic:cNvPicPr>
                  </pic:nvPicPr>
                  <pic:blipFill>
                    <a:blip r:embed="rId19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-530860</wp:posOffset>
            </wp:positionV>
            <wp:extent cx="8255" cy="8255"/>
            <wp:wrapNone/>
            <wp:docPr id="1901" name="Picture 1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
                    <pic:cNvPicPr>
                      <a:picLocks noChangeAspect="1" noChangeArrowheads="1"/>
                    </pic:cNvPicPr>
                  </pic:nvPicPr>
                  <pic:blipFill>
                    <a:blip r:embed="rId19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-530860</wp:posOffset>
            </wp:positionV>
            <wp:extent cx="8255" cy="8255"/>
            <wp:wrapNone/>
            <wp:docPr id="1902" name="Picture 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
                    <pic:cNvPicPr>
                      <a:picLocks noChangeAspect="1" noChangeArrowheads="1"/>
                    </pic:cNvPicPr>
                  </pic:nvPicPr>
                  <pic:blipFill>
                    <a:blip r:embed="rId19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-530860</wp:posOffset>
            </wp:positionV>
            <wp:extent cx="8255" cy="8255"/>
            <wp:wrapNone/>
            <wp:docPr id="1903" name="Picture 1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
                    <pic:cNvPicPr>
                      <a:picLocks noChangeAspect="1" noChangeArrowheads="1"/>
                    </pic:cNvPicPr>
                  </pic:nvPicPr>
                  <pic:blipFill>
                    <a:blip r:embed="rId19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-530860</wp:posOffset>
            </wp:positionV>
            <wp:extent cx="8890" cy="8255"/>
            <wp:wrapNone/>
            <wp:docPr id="1904" name="Picture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
                    <pic:cNvPicPr>
                      <a:picLocks noChangeAspect="1" noChangeArrowheads="1"/>
                    </pic:cNvPicPr>
                  </pic:nvPicPr>
                  <pic:blipFill>
                    <a:blip r:embed="rId19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-530860</wp:posOffset>
            </wp:positionV>
            <wp:extent cx="8890" cy="8255"/>
            <wp:wrapNone/>
            <wp:docPr id="1905" name="Picture 1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
                    <pic:cNvPicPr>
                      <a:picLocks noChangeAspect="1" noChangeArrowheads="1"/>
                    </pic:cNvPicPr>
                  </pic:nvPicPr>
                  <pic:blipFill>
                    <a:blip r:embed="rId19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-530860</wp:posOffset>
            </wp:positionV>
            <wp:extent cx="8255" cy="8255"/>
            <wp:wrapNone/>
            <wp:docPr id="1906" name="Picture 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
                    <pic:cNvPicPr>
                      <a:picLocks noChangeAspect="1" noChangeArrowheads="1"/>
                    </pic:cNvPicPr>
                  </pic:nvPicPr>
                  <pic:blipFill>
                    <a:blip r:embed="rId19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-530860</wp:posOffset>
            </wp:positionV>
            <wp:extent cx="8255" cy="8255"/>
            <wp:wrapNone/>
            <wp:docPr id="1907" name="Picture 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
                    <pic:cNvPicPr>
                      <a:picLocks noChangeAspect="1" noChangeArrowheads="1"/>
                    </pic:cNvPicPr>
                  </pic:nvPicPr>
                  <pic:blipFill>
                    <a:blip r:embed="rId19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-530860</wp:posOffset>
            </wp:positionV>
            <wp:extent cx="8255" cy="8255"/>
            <wp:wrapNone/>
            <wp:docPr id="1908" name="Picture 1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8"/>
                    <pic:cNvPicPr>
                      <a:picLocks noChangeAspect="1" noChangeArrowheads="1"/>
                    </pic:cNvPicPr>
                  </pic:nvPicPr>
                  <pic:blipFill>
                    <a:blip r:embed="rId19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-530860</wp:posOffset>
            </wp:positionV>
            <wp:extent cx="8890" cy="8255"/>
            <wp:wrapNone/>
            <wp:docPr id="1909" name="Picture 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9"/>
                    <pic:cNvPicPr>
                      <a:picLocks noChangeAspect="1" noChangeArrowheads="1"/>
                    </pic:cNvPicPr>
                  </pic:nvPicPr>
                  <pic:blipFill>
                    <a:blip r:embed="rId19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-530860</wp:posOffset>
            </wp:positionV>
            <wp:extent cx="8890" cy="8255"/>
            <wp:wrapNone/>
            <wp:docPr id="1910" name="Picture 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0"/>
                    <pic:cNvPicPr>
                      <a:picLocks noChangeAspect="1" noChangeArrowheads="1"/>
                    </pic:cNvPicPr>
                  </pic:nvPicPr>
                  <pic:blipFill>
                    <a:blip r:embed="rId19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-530860</wp:posOffset>
            </wp:positionV>
            <wp:extent cx="8255" cy="8255"/>
            <wp:wrapNone/>
            <wp:docPr id="1911" name="Picture 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1"/>
                    <pic:cNvPicPr>
                      <a:picLocks noChangeAspect="1" noChangeArrowheads="1"/>
                    </pic:cNvPicPr>
                  </pic:nvPicPr>
                  <pic:blipFill>
                    <a:blip r:embed="rId19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-530860</wp:posOffset>
            </wp:positionV>
            <wp:extent cx="8255" cy="8255"/>
            <wp:wrapNone/>
            <wp:docPr id="1912" name="Picture 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2"/>
                    <pic:cNvPicPr>
                      <a:picLocks noChangeAspect="1" noChangeArrowheads="1"/>
                    </pic:cNvPicPr>
                  </pic:nvPicPr>
                  <pic:blipFill>
                    <a:blip r:embed="rId19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-530860</wp:posOffset>
            </wp:positionV>
            <wp:extent cx="8255" cy="8255"/>
            <wp:wrapNone/>
            <wp:docPr id="1913" name="Picture 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3"/>
                    <pic:cNvPicPr>
                      <a:picLocks noChangeAspect="1" noChangeArrowheads="1"/>
                    </pic:cNvPicPr>
                  </pic:nvPicPr>
                  <pic:blipFill>
                    <a:blip r:embed="rId19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-530860</wp:posOffset>
            </wp:positionV>
            <wp:extent cx="8890" cy="8255"/>
            <wp:wrapNone/>
            <wp:docPr id="1914" name="Picture 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4"/>
                    <pic:cNvPicPr>
                      <a:picLocks noChangeAspect="1" noChangeArrowheads="1"/>
                    </pic:cNvPicPr>
                  </pic:nvPicPr>
                  <pic:blipFill>
                    <a:blip r:embed="rId19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-530860</wp:posOffset>
            </wp:positionV>
            <wp:extent cx="8890" cy="8255"/>
            <wp:wrapNone/>
            <wp:docPr id="1915" name="Picture 1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5"/>
                    <pic:cNvPicPr>
                      <a:picLocks noChangeAspect="1" noChangeArrowheads="1"/>
                    </pic:cNvPicPr>
                  </pic:nvPicPr>
                  <pic:blipFill>
                    <a:blip r:embed="rId19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-530860</wp:posOffset>
            </wp:positionV>
            <wp:extent cx="8255" cy="8255"/>
            <wp:wrapNone/>
            <wp:docPr id="1916" name="Picture 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6"/>
                    <pic:cNvPicPr>
                      <a:picLocks noChangeAspect="1" noChangeArrowheads="1"/>
                    </pic:cNvPicPr>
                  </pic:nvPicPr>
                  <pic:blipFill>
                    <a:blip r:embed="rId19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-530860</wp:posOffset>
            </wp:positionV>
            <wp:extent cx="8255" cy="8255"/>
            <wp:wrapNone/>
            <wp:docPr id="1917" name="Picture 1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7"/>
                    <pic:cNvPicPr>
                      <a:picLocks noChangeAspect="1" noChangeArrowheads="1"/>
                    </pic:cNvPicPr>
                  </pic:nvPicPr>
                  <pic:blipFill>
                    <a:blip r:embed="rId19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-530860</wp:posOffset>
            </wp:positionV>
            <wp:extent cx="8255" cy="8255"/>
            <wp:wrapNone/>
            <wp:docPr id="1918" name="Picture 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8"/>
                    <pic:cNvPicPr>
                      <a:picLocks noChangeAspect="1" noChangeArrowheads="1"/>
                    </pic:cNvPicPr>
                  </pic:nvPicPr>
                  <pic:blipFill>
                    <a:blip r:embed="rId19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-530860</wp:posOffset>
            </wp:positionV>
            <wp:extent cx="8890" cy="8255"/>
            <wp:wrapNone/>
            <wp:docPr id="1919" name="Picture 1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9"/>
                    <pic:cNvPicPr>
                      <a:picLocks noChangeAspect="1" noChangeArrowheads="1"/>
                    </pic:cNvPicPr>
                  </pic:nvPicPr>
                  <pic:blipFill>
                    <a:blip r:embed="rId19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-530860</wp:posOffset>
            </wp:positionV>
            <wp:extent cx="8890" cy="8255"/>
            <wp:wrapNone/>
            <wp:docPr id="1920" name="Picture 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0"/>
                    <pic:cNvPicPr>
                      <a:picLocks noChangeAspect="1" noChangeArrowheads="1"/>
                    </pic:cNvPicPr>
                  </pic:nvPicPr>
                  <pic:blipFill>
                    <a:blip r:embed="rId19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-530860</wp:posOffset>
            </wp:positionV>
            <wp:extent cx="8255" cy="8255"/>
            <wp:wrapNone/>
            <wp:docPr id="1921" name="Picture 1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1"/>
                    <pic:cNvPicPr>
                      <a:picLocks noChangeAspect="1" noChangeArrowheads="1"/>
                    </pic:cNvPicPr>
                  </pic:nvPicPr>
                  <pic:blipFill>
                    <a:blip r:embed="rId19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-530860</wp:posOffset>
            </wp:positionV>
            <wp:extent cx="8255" cy="8255"/>
            <wp:wrapNone/>
            <wp:docPr id="1922" name="Picture 1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2"/>
                    <pic:cNvPicPr>
                      <a:picLocks noChangeAspect="1" noChangeArrowheads="1"/>
                    </pic:cNvPicPr>
                  </pic:nvPicPr>
                  <pic:blipFill>
                    <a:blip r:embed="rId19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-530860</wp:posOffset>
            </wp:positionV>
            <wp:extent cx="8255" cy="8255"/>
            <wp:wrapNone/>
            <wp:docPr id="1923" name="Picture 1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3"/>
                    <pic:cNvPicPr>
                      <a:picLocks noChangeAspect="1" noChangeArrowheads="1"/>
                    </pic:cNvPicPr>
                  </pic:nvPicPr>
                  <pic:blipFill>
                    <a:blip r:embed="rId19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-530860</wp:posOffset>
            </wp:positionV>
            <wp:extent cx="8890" cy="8255"/>
            <wp:wrapNone/>
            <wp:docPr id="1924" name="Picture 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4"/>
                    <pic:cNvPicPr>
                      <a:picLocks noChangeAspect="1" noChangeArrowheads="1"/>
                    </pic:cNvPicPr>
                  </pic:nvPicPr>
                  <pic:blipFill>
                    <a:blip r:embed="rId19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-530860</wp:posOffset>
            </wp:positionV>
            <wp:extent cx="8890" cy="8255"/>
            <wp:wrapNone/>
            <wp:docPr id="1925" name="Picture 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5"/>
                    <pic:cNvPicPr>
                      <a:picLocks noChangeAspect="1" noChangeArrowheads="1"/>
                    </pic:cNvPicPr>
                  </pic:nvPicPr>
                  <pic:blipFill>
                    <a:blip r:embed="rId19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-530860</wp:posOffset>
            </wp:positionV>
            <wp:extent cx="8255" cy="8255"/>
            <wp:wrapNone/>
            <wp:docPr id="1926" name="Picture 1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6"/>
                    <pic:cNvPicPr>
                      <a:picLocks noChangeAspect="1" noChangeArrowheads="1"/>
                    </pic:cNvPicPr>
                  </pic:nvPicPr>
                  <pic:blipFill>
                    <a:blip r:embed="rId19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-530860</wp:posOffset>
            </wp:positionV>
            <wp:extent cx="8255" cy="8255"/>
            <wp:wrapNone/>
            <wp:docPr id="1927" name="Picture 1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7"/>
                    <pic:cNvPicPr>
                      <a:picLocks noChangeAspect="1" noChangeArrowheads="1"/>
                    </pic:cNvPicPr>
                  </pic:nvPicPr>
                  <pic:blipFill>
                    <a:blip r:embed="rId19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-530860</wp:posOffset>
            </wp:positionV>
            <wp:extent cx="8255" cy="8255"/>
            <wp:wrapNone/>
            <wp:docPr id="1928" name="Picture 1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8"/>
                    <pic:cNvPicPr>
                      <a:picLocks noChangeAspect="1" noChangeArrowheads="1"/>
                    </pic:cNvPicPr>
                  </pic:nvPicPr>
                  <pic:blipFill>
                    <a:blip r:embed="rId19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-530860</wp:posOffset>
            </wp:positionV>
            <wp:extent cx="8890" cy="8255"/>
            <wp:wrapNone/>
            <wp:docPr id="1929" name="Picture 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9"/>
                    <pic:cNvPicPr>
                      <a:picLocks noChangeAspect="1" noChangeArrowheads="1"/>
                    </pic:cNvPicPr>
                  </pic:nvPicPr>
                  <pic:blipFill>
                    <a:blip r:embed="rId19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-530860</wp:posOffset>
            </wp:positionV>
            <wp:extent cx="8890" cy="8255"/>
            <wp:wrapNone/>
            <wp:docPr id="1930" name="Picture 1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0"/>
                    <pic:cNvPicPr>
                      <a:picLocks noChangeAspect="1" noChangeArrowheads="1"/>
                    </pic:cNvPicPr>
                  </pic:nvPicPr>
                  <pic:blipFill>
                    <a:blip r:embed="rId19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-530860</wp:posOffset>
            </wp:positionV>
            <wp:extent cx="8255" cy="8255"/>
            <wp:wrapNone/>
            <wp:docPr id="1931" name="Picture 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1"/>
                    <pic:cNvPicPr>
                      <a:picLocks noChangeAspect="1" noChangeArrowheads="1"/>
                    </pic:cNvPicPr>
                  </pic:nvPicPr>
                  <pic:blipFill>
                    <a:blip r:embed="rId19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-530860</wp:posOffset>
            </wp:positionV>
            <wp:extent cx="8255" cy="8255"/>
            <wp:wrapNone/>
            <wp:docPr id="1932" name="Picture 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2"/>
                    <pic:cNvPicPr>
                      <a:picLocks noChangeAspect="1" noChangeArrowheads="1"/>
                    </pic:cNvPicPr>
                  </pic:nvPicPr>
                  <pic:blipFill>
                    <a:blip r:embed="rId19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-530860</wp:posOffset>
            </wp:positionV>
            <wp:extent cx="8255" cy="8255"/>
            <wp:wrapNone/>
            <wp:docPr id="1933" name="Picture 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3"/>
                    <pic:cNvPicPr>
                      <a:picLocks noChangeAspect="1" noChangeArrowheads="1"/>
                    </pic:cNvPicPr>
                  </pic:nvPicPr>
                  <pic:blipFill>
                    <a:blip r:embed="rId19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-530860</wp:posOffset>
            </wp:positionV>
            <wp:extent cx="8890" cy="8255"/>
            <wp:wrapNone/>
            <wp:docPr id="1934" name="Picture 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4"/>
                    <pic:cNvPicPr>
                      <a:picLocks noChangeAspect="1" noChangeArrowheads="1"/>
                    </pic:cNvPicPr>
                  </pic:nvPicPr>
                  <pic:blipFill>
                    <a:blip r:embed="rId19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-530860</wp:posOffset>
            </wp:positionV>
            <wp:extent cx="8890" cy="8255"/>
            <wp:wrapNone/>
            <wp:docPr id="1935" name="Picture 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5"/>
                    <pic:cNvPicPr>
                      <a:picLocks noChangeAspect="1" noChangeArrowheads="1"/>
                    </pic:cNvPicPr>
                  </pic:nvPicPr>
                  <pic:blipFill>
                    <a:blip r:embed="rId19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-530860</wp:posOffset>
            </wp:positionV>
            <wp:extent cx="8255" cy="8255"/>
            <wp:wrapNone/>
            <wp:docPr id="1936" name="Picture 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6"/>
                    <pic:cNvPicPr>
                      <a:picLocks noChangeAspect="1" noChangeArrowheads="1"/>
                    </pic:cNvPicPr>
                  </pic:nvPicPr>
                  <pic:blipFill>
                    <a:blip r:embed="rId19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-530860</wp:posOffset>
            </wp:positionV>
            <wp:extent cx="8255" cy="8255"/>
            <wp:wrapNone/>
            <wp:docPr id="1937" name="Picture 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7"/>
                    <pic:cNvPicPr>
                      <a:picLocks noChangeAspect="1" noChangeArrowheads="1"/>
                    </pic:cNvPicPr>
                  </pic:nvPicPr>
                  <pic:blipFill>
                    <a:blip r:embed="rId19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-530860</wp:posOffset>
            </wp:positionV>
            <wp:extent cx="8255" cy="8255"/>
            <wp:wrapNone/>
            <wp:docPr id="1938" name="Picture 1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8"/>
                    <pic:cNvPicPr>
                      <a:picLocks noChangeAspect="1" noChangeArrowheads="1"/>
                    </pic:cNvPicPr>
                  </pic:nvPicPr>
                  <pic:blipFill>
                    <a:blip r:embed="rId19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-530860</wp:posOffset>
            </wp:positionV>
            <wp:extent cx="8890" cy="8255"/>
            <wp:wrapNone/>
            <wp:docPr id="1939" name="Picture 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9"/>
                    <pic:cNvPicPr>
                      <a:picLocks noChangeAspect="1" noChangeArrowheads="1"/>
                    </pic:cNvPicPr>
                  </pic:nvPicPr>
                  <pic:blipFill>
                    <a:blip r:embed="rId19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-530860</wp:posOffset>
            </wp:positionV>
            <wp:extent cx="8255" cy="8255"/>
            <wp:wrapNone/>
            <wp:docPr id="1940" name="Picture 1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0"/>
                    <pic:cNvPicPr>
                      <a:picLocks noChangeAspect="1" noChangeArrowheads="1"/>
                    </pic:cNvPicPr>
                  </pic:nvPicPr>
                  <pic:blipFill>
                    <a:blip r:embed="rId19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-530860</wp:posOffset>
            </wp:positionV>
            <wp:extent cx="8255" cy="8255"/>
            <wp:wrapNone/>
            <wp:docPr id="1941" name="Picture 1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1"/>
                    <pic:cNvPicPr>
                      <a:picLocks noChangeAspect="1" noChangeArrowheads="1"/>
                    </pic:cNvPicPr>
                  </pic:nvPicPr>
                  <pic:blipFill>
                    <a:blip r:embed="rId19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-530860</wp:posOffset>
            </wp:positionV>
            <wp:extent cx="8255" cy="8255"/>
            <wp:wrapNone/>
            <wp:docPr id="1942" name="Picture 1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2"/>
                    <pic:cNvPicPr>
                      <a:picLocks noChangeAspect="1" noChangeArrowheads="1"/>
                    </pic:cNvPicPr>
                  </pic:nvPicPr>
                  <pic:blipFill>
                    <a:blip r:embed="rId19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-530860</wp:posOffset>
            </wp:positionV>
            <wp:extent cx="8890" cy="8255"/>
            <wp:wrapNone/>
            <wp:docPr id="1943" name="Picture 1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3"/>
                    <pic:cNvPicPr>
                      <a:picLocks noChangeAspect="1" noChangeArrowheads="1"/>
                    </pic:cNvPicPr>
                  </pic:nvPicPr>
                  <pic:blipFill>
                    <a:blip r:embed="rId19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-530860</wp:posOffset>
            </wp:positionV>
            <wp:extent cx="8890" cy="8255"/>
            <wp:wrapNone/>
            <wp:docPr id="1944" name="Picture 1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4"/>
                    <pic:cNvPicPr>
                      <a:picLocks noChangeAspect="1" noChangeArrowheads="1"/>
                    </pic:cNvPicPr>
                  </pic:nvPicPr>
                  <pic:blipFill>
                    <a:blip r:embed="rId19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-530860</wp:posOffset>
            </wp:positionV>
            <wp:extent cx="8255" cy="8255"/>
            <wp:wrapNone/>
            <wp:docPr id="1945" name="Picture 1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5"/>
                    <pic:cNvPicPr>
                      <a:picLocks noChangeAspect="1" noChangeArrowheads="1"/>
                    </pic:cNvPicPr>
                  </pic:nvPicPr>
                  <pic:blipFill>
                    <a:blip r:embed="rId19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-530860</wp:posOffset>
            </wp:positionV>
            <wp:extent cx="8255" cy="8255"/>
            <wp:wrapNone/>
            <wp:docPr id="1946" name="Picture 1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6"/>
                    <pic:cNvPicPr>
                      <a:picLocks noChangeAspect="1" noChangeArrowheads="1"/>
                    </pic:cNvPicPr>
                  </pic:nvPicPr>
                  <pic:blipFill>
                    <a:blip r:embed="rId19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-530860</wp:posOffset>
            </wp:positionV>
            <wp:extent cx="8255" cy="8255"/>
            <wp:wrapNone/>
            <wp:docPr id="1947" name="Picture 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7"/>
                    <pic:cNvPicPr>
                      <a:picLocks noChangeAspect="1" noChangeArrowheads="1"/>
                    </pic:cNvPicPr>
                  </pic:nvPicPr>
                  <pic:blipFill>
                    <a:blip r:embed="rId19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-530860</wp:posOffset>
            </wp:positionV>
            <wp:extent cx="8890" cy="8255"/>
            <wp:wrapNone/>
            <wp:docPr id="1948" name="Picture 1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8"/>
                    <pic:cNvPicPr>
                      <a:picLocks noChangeAspect="1" noChangeArrowheads="1"/>
                    </pic:cNvPicPr>
                  </pic:nvPicPr>
                  <pic:blipFill>
                    <a:blip r:embed="rId19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-530860</wp:posOffset>
            </wp:positionV>
            <wp:extent cx="8890" cy="8255"/>
            <wp:wrapNone/>
            <wp:docPr id="1949" name="Picture 1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9"/>
                    <pic:cNvPicPr>
                      <a:picLocks noChangeAspect="1" noChangeArrowheads="1"/>
                    </pic:cNvPicPr>
                  </pic:nvPicPr>
                  <pic:blipFill>
                    <a:blip r:embed="rId19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-530860</wp:posOffset>
            </wp:positionV>
            <wp:extent cx="8255" cy="8255"/>
            <wp:wrapNone/>
            <wp:docPr id="1950" name="Picture 1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0"/>
                    <pic:cNvPicPr>
                      <a:picLocks noChangeAspect="1" noChangeArrowheads="1"/>
                    </pic:cNvPicPr>
                  </pic:nvPicPr>
                  <pic:blipFill>
                    <a:blip r:embed="rId19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-530860</wp:posOffset>
            </wp:positionV>
            <wp:extent cx="8255" cy="8255"/>
            <wp:wrapNone/>
            <wp:docPr id="1951" name="Picture 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1"/>
                    <pic:cNvPicPr>
                      <a:picLocks noChangeAspect="1" noChangeArrowheads="1"/>
                    </pic:cNvPicPr>
                  </pic:nvPicPr>
                  <pic:blipFill>
                    <a:blip r:embed="rId19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-530860</wp:posOffset>
            </wp:positionV>
            <wp:extent cx="8255" cy="8255"/>
            <wp:wrapNone/>
            <wp:docPr id="1952" name="Picture 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2"/>
                    <pic:cNvPicPr>
                      <a:picLocks noChangeAspect="1" noChangeArrowheads="1"/>
                    </pic:cNvPicPr>
                  </pic:nvPicPr>
                  <pic:blipFill>
                    <a:blip r:embed="rId19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-530860</wp:posOffset>
            </wp:positionV>
            <wp:extent cx="8890" cy="8255"/>
            <wp:wrapNone/>
            <wp:docPr id="1953" name="Picture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3"/>
                    <pic:cNvPicPr>
                      <a:picLocks noChangeAspect="1" noChangeArrowheads="1"/>
                    </pic:cNvPicPr>
                  </pic:nvPicPr>
                  <pic:blipFill>
                    <a:blip r:embed="rId19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-530860</wp:posOffset>
            </wp:positionV>
            <wp:extent cx="8890" cy="8255"/>
            <wp:wrapNone/>
            <wp:docPr id="1954" name="Picture 1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
                    <pic:cNvPicPr>
                      <a:picLocks noChangeAspect="1" noChangeArrowheads="1"/>
                    </pic:cNvPicPr>
                  </pic:nvPicPr>
                  <pic:blipFill>
                    <a:blip r:embed="rId19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-530860</wp:posOffset>
            </wp:positionV>
            <wp:extent cx="8255" cy="8255"/>
            <wp:wrapNone/>
            <wp:docPr id="1955" name="Pictur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5"/>
                    <pic:cNvPicPr>
                      <a:picLocks noChangeAspect="1" noChangeArrowheads="1"/>
                    </pic:cNvPicPr>
                  </pic:nvPicPr>
                  <pic:blipFill>
                    <a:blip r:embed="rId19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-530860</wp:posOffset>
            </wp:positionV>
            <wp:extent cx="8255" cy="8255"/>
            <wp:wrapNone/>
            <wp:docPr id="1956" name="Picture 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6"/>
                    <pic:cNvPicPr>
                      <a:picLocks noChangeAspect="1" noChangeArrowheads="1"/>
                    </pic:cNvPicPr>
                  </pic:nvPicPr>
                  <pic:blipFill>
                    <a:blip r:embed="rId19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-530860</wp:posOffset>
            </wp:positionV>
            <wp:extent cx="8255" cy="8255"/>
            <wp:wrapNone/>
            <wp:docPr id="1957" name="Picture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7"/>
                    <pic:cNvPicPr>
                      <a:picLocks noChangeAspect="1" noChangeArrowheads="1"/>
                    </pic:cNvPicPr>
                  </pic:nvPicPr>
                  <pic:blipFill>
                    <a:blip r:embed="rId19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-530860</wp:posOffset>
            </wp:positionV>
            <wp:extent cx="8890" cy="8255"/>
            <wp:wrapNone/>
            <wp:docPr id="1958" name="Picture 1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8"/>
                    <pic:cNvPicPr>
                      <a:picLocks noChangeAspect="1" noChangeArrowheads="1"/>
                    </pic:cNvPicPr>
                  </pic:nvPicPr>
                  <pic:blipFill>
                    <a:blip r:embed="rId19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-530860</wp:posOffset>
            </wp:positionV>
            <wp:extent cx="8890" cy="8255"/>
            <wp:wrapNone/>
            <wp:docPr id="1959" name="Picture 1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9"/>
                    <pic:cNvPicPr>
                      <a:picLocks noChangeAspect="1" noChangeArrowheads="1"/>
                    </pic:cNvPicPr>
                  </pic:nvPicPr>
                  <pic:blipFill>
                    <a:blip r:embed="rId19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-530860</wp:posOffset>
            </wp:positionV>
            <wp:extent cx="8255" cy="8255"/>
            <wp:wrapNone/>
            <wp:docPr id="1960" name="Picture 1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0"/>
                    <pic:cNvPicPr>
                      <a:picLocks noChangeAspect="1" noChangeArrowheads="1"/>
                    </pic:cNvPicPr>
                  </pic:nvPicPr>
                  <pic:blipFill>
                    <a:blip r:embed="rId19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-530860</wp:posOffset>
            </wp:positionV>
            <wp:extent cx="8255" cy="8255"/>
            <wp:wrapNone/>
            <wp:docPr id="1961" name="Picture 1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1"/>
                    <pic:cNvPicPr>
                      <a:picLocks noChangeAspect="1" noChangeArrowheads="1"/>
                    </pic:cNvPicPr>
                  </pic:nvPicPr>
                  <pic:blipFill>
                    <a:blip r:embed="rId19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-530860</wp:posOffset>
            </wp:positionV>
            <wp:extent cx="8255" cy="8255"/>
            <wp:wrapNone/>
            <wp:docPr id="1962" name="Picture 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2"/>
                    <pic:cNvPicPr>
                      <a:picLocks noChangeAspect="1" noChangeArrowheads="1"/>
                    </pic:cNvPicPr>
                  </pic:nvPicPr>
                  <pic:blipFill>
                    <a:blip r:embed="rId19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-530860</wp:posOffset>
            </wp:positionV>
            <wp:extent cx="8890" cy="8255"/>
            <wp:wrapNone/>
            <wp:docPr id="1963" name="Picture 1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3"/>
                    <pic:cNvPicPr>
                      <a:picLocks noChangeAspect="1" noChangeArrowheads="1"/>
                    </pic:cNvPicPr>
                  </pic:nvPicPr>
                  <pic:blipFill>
                    <a:blip r:embed="rId19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-530860</wp:posOffset>
            </wp:positionV>
            <wp:extent cx="8890" cy="8255"/>
            <wp:wrapNone/>
            <wp:docPr id="1964" name="Picture 1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4"/>
                    <pic:cNvPicPr>
                      <a:picLocks noChangeAspect="1" noChangeArrowheads="1"/>
                    </pic:cNvPicPr>
                  </pic:nvPicPr>
                  <pic:blipFill>
                    <a:blip r:embed="rId19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-530860</wp:posOffset>
            </wp:positionV>
            <wp:extent cx="8255" cy="8255"/>
            <wp:wrapNone/>
            <wp:docPr id="1965" name="Picture 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5"/>
                    <pic:cNvPicPr>
                      <a:picLocks noChangeAspect="1" noChangeArrowheads="1"/>
                    </pic:cNvPicPr>
                  </pic:nvPicPr>
                  <pic:blipFill>
                    <a:blip r:embed="rId19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-530860</wp:posOffset>
            </wp:positionV>
            <wp:extent cx="8255" cy="8255"/>
            <wp:wrapNone/>
            <wp:docPr id="1966" name="Picture 1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6"/>
                    <pic:cNvPicPr>
                      <a:picLocks noChangeAspect="1" noChangeArrowheads="1"/>
                    </pic:cNvPicPr>
                  </pic:nvPicPr>
                  <pic:blipFill>
                    <a:blip r:embed="rId19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-530860</wp:posOffset>
            </wp:positionV>
            <wp:extent cx="8255" cy="8255"/>
            <wp:wrapNone/>
            <wp:docPr id="1967" name="Picture 1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7"/>
                    <pic:cNvPicPr>
                      <a:picLocks noChangeAspect="1" noChangeArrowheads="1"/>
                    </pic:cNvPicPr>
                  </pic:nvPicPr>
                  <pic:blipFill>
                    <a:blip r:embed="rId19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-530860</wp:posOffset>
            </wp:positionV>
            <wp:extent cx="8890" cy="8255"/>
            <wp:wrapNone/>
            <wp:docPr id="1968" name="Picture 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8"/>
                    <pic:cNvPicPr>
                      <a:picLocks noChangeAspect="1" noChangeArrowheads="1"/>
                    </pic:cNvPicPr>
                  </pic:nvPicPr>
                  <pic:blipFill>
                    <a:blip r:embed="rId19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-530860</wp:posOffset>
            </wp:positionV>
            <wp:extent cx="8890" cy="8255"/>
            <wp:wrapNone/>
            <wp:docPr id="1969" name="Picture 1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9"/>
                    <pic:cNvPicPr>
                      <a:picLocks noChangeAspect="1" noChangeArrowheads="1"/>
                    </pic:cNvPicPr>
                  </pic:nvPicPr>
                  <pic:blipFill>
                    <a:blip r:embed="rId19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-530860</wp:posOffset>
            </wp:positionV>
            <wp:extent cx="8255" cy="8255"/>
            <wp:wrapNone/>
            <wp:docPr id="1970" name="Picture 1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0"/>
                    <pic:cNvPicPr>
                      <a:picLocks noChangeAspect="1" noChangeArrowheads="1"/>
                    </pic:cNvPicPr>
                  </pic:nvPicPr>
                  <pic:blipFill>
                    <a:blip r:embed="rId19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-530860</wp:posOffset>
            </wp:positionV>
            <wp:extent cx="8255" cy="8255"/>
            <wp:wrapNone/>
            <wp:docPr id="1971" name="Picture 1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1"/>
                    <pic:cNvPicPr>
                      <a:picLocks noChangeAspect="1" noChangeArrowheads="1"/>
                    </pic:cNvPicPr>
                  </pic:nvPicPr>
                  <pic:blipFill>
                    <a:blip r:embed="rId19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-530860</wp:posOffset>
            </wp:positionV>
            <wp:extent cx="8255" cy="8255"/>
            <wp:wrapNone/>
            <wp:docPr id="1972" name="Picture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2"/>
                    <pic:cNvPicPr>
                      <a:picLocks noChangeAspect="1" noChangeArrowheads="1"/>
                    </pic:cNvPicPr>
                  </pic:nvPicPr>
                  <pic:blipFill>
                    <a:blip r:embed="rId19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-530860</wp:posOffset>
            </wp:positionV>
            <wp:extent cx="8890" cy="8255"/>
            <wp:wrapNone/>
            <wp:docPr id="1973" name="Picture 1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3"/>
                    <pic:cNvPicPr>
                      <a:picLocks noChangeAspect="1" noChangeArrowheads="1"/>
                    </pic:cNvPicPr>
                  </pic:nvPicPr>
                  <pic:blipFill>
                    <a:blip r:embed="rId19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-530860</wp:posOffset>
            </wp:positionV>
            <wp:extent cx="857250" cy="8255"/>
            <wp:wrapNone/>
            <wp:docPr id="1974" name="Picture 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4"/>
                    <pic:cNvPicPr>
                      <a:picLocks noChangeAspect="1" noChangeArrowheads="1"/>
                    </pic:cNvPicPr>
                  </pic:nvPicPr>
                  <pic:blipFill>
                    <a:blip r:embed="rId1981">
                      <a:extLst>
                        <a:ext uri="{28A0092B-C50C-407E-A947-70E740481C1C}"/>
                      </a:extLst>
                    </a:blip>
                    <a:srcRect/>
                    <a:stretch>
                      <a:fillRect/>
                    </a:stretch>
                  </pic:blipFill>
                  <pic:spPr bwMode="auto">
                    <a:xfrm>
                      <a:off x="0" y="0"/>
                      <a:ext cx="8572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-401955</wp:posOffset>
            </wp:positionV>
            <wp:extent cx="8890" cy="8255"/>
            <wp:wrapNone/>
            <wp:docPr id="1975" name="Picture 1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5"/>
                    <pic:cNvPicPr>
                      <a:picLocks noChangeAspect="1" noChangeArrowheads="1"/>
                    </pic:cNvPicPr>
                  </pic:nvPicPr>
                  <pic:blipFill>
                    <a:blip r:embed="rId19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-401955</wp:posOffset>
            </wp:positionV>
            <wp:extent cx="8890" cy="8255"/>
            <wp:wrapNone/>
            <wp:docPr id="1976" name="Picture 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6"/>
                    <pic:cNvPicPr>
                      <a:picLocks noChangeAspect="1" noChangeArrowheads="1"/>
                    </pic:cNvPicPr>
                  </pic:nvPicPr>
                  <pic:blipFill>
                    <a:blip r:embed="rId19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-401955</wp:posOffset>
            </wp:positionV>
            <wp:extent cx="8255" cy="8255"/>
            <wp:wrapNone/>
            <wp:docPr id="1977" name="Picture 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7"/>
                    <pic:cNvPicPr>
                      <a:picLocks noChangeAspect="1" noChangeArrowheads="1"/>
                    </pic:cNvPicPr>
                  </pic:nvPicPr>
                  <pic:blipFill>
                    <a:blip r:embed="rId19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-401955</wp:posOffset>
            </wp:positionV>
            <wp:extent cx="8255" cy="8255"/>
            <wp:wrapNone/>
            <wp:docPr id="1978" name="Picture 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8"/>
                    <pic:cNvPicPr>
                      <a:picLocks noChangeAspect="1" noChangeArrowheads="1"/>
                    </pic:cNvPicPr>
                  </pic:nvPicPr>
                  <pic:blipFill>
                    <a:blip r:embed="rId19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-401955</wp:posOffset>
            </wp:positionV>
            <wp:extent cx="8890" cy="8255"/>
            <wp:wrapNone/>
            <wp:docPr id="1979" name="Picture 1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
                    <pic:cNvPicPr>
                      <a:picLocks noChangeAspect="1" noChangeArrowheads="1"/>
                    </pic:cNvPicPr>
                  </pic:nvPicPr>
                  <pic:blipFill>
                    <a:blip r:embed="rId19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-401955</wp:posOffset>
            </wp:positionV>
            <wp:extent cx="8255" cy="8255"/>
            <wp:wrapNone/>
            <wp:docPr id="1980" name="Picture 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
                    <pic:cNvPicPr>
                      <a:picLocks noChangeAspect="1" noChangeArrowheads="1"/>
                    </pic:cNvPicPr>
                  </pic:nvPicPr>
                  <pic:blipFill>
                    <a:blip r:embed="rId19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-401955</wp:posOffset>
            </wp:positionV>
            <wp:extent cx="8255" cy="8255"/>
            <wp:wrapNone/>
            <wp:docPr id="1981" name="Picture 1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
                    <pic:cNvPicPr>
                      <a:picLocks noChangeAspect="1" noChangeArrowheads="1"/>
                    </pic:cNvPicPr>
                  </pic:nvPicPr>
                  <pic:blipFill>
                    <a:blip r:embed="rId19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-401955</wp:posOffset>
            </wp:positionV>
            <wp:extent cx="8255" cy="8255"/>
            <wp:wrapNone/>
            <wp:docPr id="1982" name="Picture 1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
                    <pic:cNvPicPr>
                      <a:picLocks noChangeAspect="1" noChangeArrowheads="1"/>
                    </pic:cNvPicPr>
                  </pic:nvPicPr>
                  <pic:blipFill>
                    <a:blip r:embed="rId19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-401955</wp:posOffset>
            </wp:positionV>
            <wp:extent cx="8890" cy="8255"/>
            <wp:wrapNone/>
            <wp:docPr id="1983" name="Picture 1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3"/>
                    <pic:cNvPicPr>
                      <a:picLocks noChangeAspect="1" noChangeArrowheads="1"/>
                    </pic:cNvPicPr>
                  </pic:nvPicPr>
                  <pic:blipFill>
                    <a:blip r:embed="rId19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-401955</wp:posOffset>
            </wp:positionV>
            <wp:extent cx="8255" cy="8255"/>
            <wp:wrapNone/>
            <wp:docPr id="1984" name="Picture 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4"/>
                    <pic:cNvPicPr>
                      <a:picLocks noChangeAspect="1" noChangeArrowheads="1"/>
                    </pic:cNvPicPr>
                  </pic:nvPicPr>
                  <pic:blipFill>
                    <a:blip r:embed="rId19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-401955</wp:posOffset>
            </wp:positionV>
            <wp:extent cx="8255" cy="8255"/>
            <wp:wrapNone/>
            <wp:docPr id="1985" name="Picture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5"/>
                    <pic:cNvPicPr>
                      <a:picLocks noChangeAspect="1" noChangeArrowheads="1"/>
                    </pic:cNvPicPr>
                  </pic:nvPicPr>
                  <pic:blipFill>
                    <a:blip r:embed="rId19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-401955</wp:posOffset>
            </wp:positionV>
            <wp:extent cx="8890" cy="8255"/>
            <wp:wrapNone/>
            <wp:docPr id="1986" name="Picture 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6"/>
                    <pic:cNvPicPr>
                      <a:picLocks noChangeAspect="1" noChangeArrowheads="1"/>
                    </pic:cNvPicPr>
                  </pic:nvPicPr>
                  <pic:blipFill>
                    <a:blip r:embed="rId19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-401955</wp:posOffset>
            </wp:positionV>
            <wp:extent cx="8255" cy="8255"/>
            <wp:wrapNone/>
            <wp:docPr id="1987" name="Picture 1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7"/>
                    <pic:cNvPicPr>
                      <a:picLocks noChangeAspect="1" noChangeArrowheads="1"/>
                    </pic:cNvPicPr>
                  </pic:nvPicPr>
                  <pic:blipFill>
                    <a:blip r:embed="rId19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-401955</wp:posOffset>
            </wp:positionV>
            <wp:extent cx="8255" cy="8255"/>
            <wp:wrapNone/>
            <wp:docPr id="1988" name="Picture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8"/>
                    <pic:cNvPicPr>
                      <a:picLocks noChangeAspect="1" noChangeArrowheads="1"/>
                    </pic:cNvPicPr>
                  </pic:nvPicPr>
                  <pic:blipFill>
                    <a:blip r:embed="rId19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-401955</wp:posOffset>
            </wp:positionV>
            <wp:extent cx="8255" cy="8255"/>
            <wp:wrapNone/>
            <wp:docPr id="1989" name="Picture 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9"/>
                    <pic:cNvPicPr>
                      <a:picLocks noChangeAspect="1" noChangeArrowheads="1"/>
                    </pic:cNvPicPr>
                  </pic:nvPicPr>
                  <pic:blipFill>
                    <a:blip r:embed="rId19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-401955</wp:posOffset>
            </wp:positionV>
            <wp:extent cx="8255" cy="8255"/>
            <wp:wrapNone/>
            <wp:docPr id="1990" name="Picture 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0"/>
                    <pic:cNvPicPr>
                      <a:picLocks noChangeAspect="1" noChangeArrowheads="1"/>
                    </pic:cNvPicPr>
                  </pic:nvPicPr>
                  <pic:blipFill>
                    <a:blip r:embed="rId19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-401955</wp:posOffset>
            </wp:positionV>
            <wp:extent cx="8255" cy="8255"/>
            <wp:wrapNone/>
            <wp:docPr id="1991" name="Picture 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1"/>
                    <pic:cNvPicPr>
                      <a:picLocks noChangeAspect="1" noChangeArrowheads="1"/>
                    </pic:cNvPicPr>
                  </pic:nvPicPr>
                  <pic:blipFill>
                    <a:blip r:embed="rId19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-401955</wp:posOffset>
            </wp:positionV>
            <wp:extent cx="8890" cy="8255"/>
            <wp:wrapNone/>
            <wp:docPr id="1992" name="Picture 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2"/>
                    <pic:cNvPicPr>
                      <a:picLocks noChangeAspect="1" noChangeArrowheads="1"/>
                    </pic:cNvPicPr>
                  </pic:nvPicPr>
                  <pic:blipFill>
                    <a:blip r:embed="rId19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-401955</wp:posOffset>
            </wp:positionV>
            <wp:extent cx="8255" cy="8255"/>
            <wp:wrapNone/>
            <wp:docPr id="1993" name="Picture 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3"/>
                    <pic:cNvPicPr>
                      <a:picLocks noChangeAspect="1" noChangeArrowheads="1"/>
                    </pic:cNvPicPr>
                  </pic:nvPicPr>
                  <pic:blipFill>
                    <a:blip r:embed="rId20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-401955</wp:posOffset>
            </wp:positionV>
            <wp:extent cx="8255" cy="8255"/>
            <wp:wrapNone/>
            <wp:docPr id="1994" name="Picture 1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4"/>
                    <pic:cNvPicPr>
                      <a:picLocks noChangeAspect="1" noChangeArrowheads="1"/>
                    </pic:cNvPicPr>
                  </pic:nvPicPr>
                  <pic:blipFill>
                    <a:blip r:embed="rId20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-401955</wp:posOffset>
            </wp:positionV>
            <wp:extent cx="8890" cy="8255"/>
            <wp:wrapNone/>
            <wp:docPr id="1995" name="Picture 1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5"/>
                    <pic:cNvPicPr>
                      <a:picLocks noChangeAspect="1" noChangeArrowheads="1"/>
                    </pic:cNvPicPr>
                  </pic:nvPicPr>
                  <pic:blipFill>
                    <a:blip r:embed="rId20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-401955</wp:posOffset>
            </wp:positionV>
            <wp:extent cx="8255" cy="8255"/>
            <wp:wrapNone/>
            <wp:docPr id="1996" name="Picture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6"/>
                    <pic:cNvPicPr>
                      <a:picLocks noChangeAspect="1" noChangeArrowheads="1"/>
                    </pic:cNvPicPr>
                  </pic:nvPicPr>
                  <pic:blipFill>
                    <a:blip r:embed="rId20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-401955</wp:posOffset>
            </wp:positionV>
            <wp:extent cx="8255" cy="8255"/>
            <wp:wrapNone/>
            <wp:docPr id="1997" name="Picture 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7"/>
                    <pic:cNvPicPr>
                      <a:picLocks noChangeAspect="1" noChangeArrowheads="1"/>
                    </pic:cNvPicPr>
                  </pic:nvPicPr>
                  <pic:blipFill>
                    <a:blip r:embed="rId20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-401955</wp:posOffset>
            </wp:positionV>
            <wp:extent cx="8255" cy="8255"/>
            <wp:wrapNone/>
            <wp:docPr id="1998" name="Picture 1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8"/>
                    <pic:cNvPicPr>
                      <a:picLocks noChangeAspect="1" noChangeArrowheads="1"/>
                    </pic:cNvPicPr>
                  </pic:nvPicPr>
                  <pic:blipFill>
                    <a:blip r:embed="rId20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-401955</wp:posOffset>
            </wp:positionV>
            <wp:extent cx="8255" cy="8255"/>
            <wp:wrapNone/>
            <wp:docPr id="1999" name="Picture 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9"/>
                    <pic:cNvPicPr>
                      <a:picLocks noChangeAspect="1" noChangeArrowheads="1"/>
                    </pic:cNvPicPr>
                  </pic:nvPicPr>
                  <pic:blipFill>
                    <a:blip r:embed="rId20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-401955</wp:posOffset>
            </wp:positionV>
            <wp:extent cx="8255" cy="8255"/>
            <wp:wrapNone/>
            <wp:docPr id="2000" name="Picture 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0"/>
                    <pic:cNvPicPr>
                      <a:picLocks noChangeAspect="1" noChangeArrowheads="1"/>
                    </pic:cNvPicPr>
                  </pic:nvPicPr>
                  <pic:blipFill>
                    <a:blip r:embed="rId20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-401955</wp:posOffset>
            </wp:positionV>
            <wp:extent cx="8255" cy="8255"/>
            <wp:wrapNone/>
            <wp:docPr id="2001" name="Picture 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1"/>
                    <pic:cNvPicPr>
                      <a:picLocks noChangeAspect="1" noChangeArrowheads="1"/>
                    </pic:cNvPicPr>
                  </pic:nvPicPr>
                  <pic:blipFill>
                    <a:blip r:embed="rId20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-401955</wp:posOffset>
            </wp:positionV>
            <wp:extent cx="8255" cy="8255"/>
            <wp:wrapNone/>
            <wp:docPr id="2002" name="Picture 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2"/>
                    <pic:cNvPicPr>
                      <a:picLocks noChangeAspect="1" noChangeArrowheads="1"/>
                    </pic:cNvPicPr>
                  </pic:nvPicPr>
                  <pic:blipFill>
                    <a:blip r:embed="rId20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-401955</wp:posOffset>
            </wp:positionV>
            <wp:extent cx="8255" cy="8255"/>
            <wp:wrapNone/>
            <wp:docPr id="2003" name="Picture 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3"/>
                    <pic:cNvPicPr>
                      <a:picLocks noChangeAspect="1" noChangeArrowheads="1"/>
                    </pic:cNvPicPr>
                  </pic:nvPicPr>
                  <pic:blipFill>
                    <a:blip r:embed="rId20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-401955</wp:posOffset>
            </wp:positionV>
            <wp:extent cx="8255" cy="8255"/>
            <wp:wrapNone/>
            <wp:docPr id="2004" name="Picture 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4"/>
                    <pic:cNvPicPr>
                      <a:picLocks noChangeAspect="1" noChangeArrowheads="1"/>
                    </pic:cNvPicPr>
                  </pic:nvPicPr>
                  <pic:blipFill>
                    <a:blip r:embed="rId20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-401955</wp:posOffset>
            </wp:positionV>
            <wp:extent cx="8255" cy="8255"/>
            <wp:wrapNone/>
            <wp:docPr id="2005" name="Picture 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5"/>
                    <pic:cNvPicPr>
                      <a:picLocks noChangeAspect="1" noChangeArrowheads="1"/>
                    </pic:cNvPicPr>
                  </pic:nvPicPr>
                  <pic:blipFill>
                    <a:blip r:embed="rId20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-401955</wp:posOffset>
            </wp:positionV>
            <wp:extent cx="8890" cy="8255"/>
            <wp:wrapNone/>
            <wp:docPr id="2006" name="Picture 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6"/>
                    <pic:cNvPicPr>
                      <a:picLocks noChangeAspect="1" noChangeArrowheads="1"/>
                    </pic:cNvPicPr>
                  </pic:nvPicPr>
                  <pic:blipFill>
                    <a:blip r:embed="rId20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-401955</wp:posOffset>
            </wp:positionV>
            <wp:extent cx="8255" cy="8255"/>
            <wp:wrapNone/>
            <wp:docPr id="2007" name="Picture 2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7"/>
                    <pic:cNvPicPr>
                      <a:picLocks noChangeAspect="1" noChangeArrowheads="1"/>
                    </pic:cNvPicPr>
                  </pic:nvPicPr>
                  <pic:blipFill>
                    <a:blip r:embed="rId20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-401955</wp:posOffset>
            </wp:positionV>
            <wp:extent cx="8255" cy="8255"/>
            <wp:wrapNone/>
            <wp:docPr id="2008" name="Picture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8"/>
                    <pic:cNvPicPr>
                      <a:picLocks noChangeAspect="1" noChangeArrowheads="1"/>
                    </pic:cNvPicPr>
                  </pic:nvPicPr>
                  <pic:blipFill>
                    <a:blip r:embed="rId20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-401955</wp:posOffset>
            </wp:positionV>
            <wp:extent cx="8890" cy="8255"/>
            <wp:wrapNone/>
            <wp:docPr id="2009" name="Picture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9"/>
                    <pic:cNvPicPr>
                      <a:picLocks noChangeAspect="1" noChangeArrowheads="1"/>
                    </pic:cNvPicPr>
                  </pic:nvPicPr>
                  <pic:blipFill>
                    <a:blip r:embed="rId20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-401955</wp:posOffset>
            </wp:positionV>
            <wp:extent cx="8890" cy="8255"/>
            <wp:wrapNone/>
            <wp:docPr id="2010" name="Picture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0"/>
                    <pic:cNvPicPr>
                      <a:picLocks noChangeAspect="1" noChangeArrowheads="1"/>
                    </pic:cNvPicPr>
                  </pic:nvPicPr>
                  <pic:blipFill>
                    <a:blip r:embed="rId20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-401955</wp:posOffset>
            </wp:positionV>
            <wp:extent cx="8890" cy="8255"/>
            <wp:wrapNone/>
            <wp:docPr id="2011" name="Picture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1"/>
                    <pic:cNvPicPr>
                      <a:picLocks noChangeAspect="1" noChangeArrowheads="1"/>
                    </pic:cNvPicPr>
                  </pic:nvPicPr>
                  <pic:blipFill>
                    <a:blip r:embed="rId20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-401955</wp:posOffset>
            </wp:positionV>
            <wp:extent cx="8890" cy="8255"/>
            <wp:wrapNone/>
            <wp:docPr id="2012" name="Picture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2"/>
                    <pic:cNvPicPr>
                      <a:picLocks noChangeAspect="1" noChangeArrowheads="1"/>
                    </pic:cNvPicPr>
                  </pic:nvPicPr>
                  <pic:blipFill>
                    <a:blip r:embed="rId20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-401955</wp:posOffset>
            </wp:positionV>
            <wp:extent cx="8890" cy="8255"/>
            <wp:wrapNone/>
            <wp:docPr id="2013" name="Picture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3"/>
                    <pic:cNvPicPr>
                      <a:picLocks noChangeAspect="1" noChangeArrowheads="1"/>
                    </pic:cNvPicPr>
                  </pic:nvPicPr>
                  <pic:blipFill>
                    <a:blip r:embed="rId20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-401955</wp:posOffset>
            </wp:positionV>
            <wp:extent cx="8255" cy="8255"/>
            <wp:wrapNone/>
            <wp:docPr id="2014" name="Picture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4"/>
                    <pic:cNvPicPr>
                      <a:picLocks noChangeAspect="1" noChangeArrowheads="1"/>
                    </pic:cNvPicPr>
                  </pic:nvPicPr>
                  <pic:blipFill>
                    <a:blip r:embed="rId20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-401955</wp:posOffset>
            </wp:positionV>
            <wp:extent cx="8255" cy="8255"/>
            <wp:wrapNone/>
            <wp:docPr id="2015" name="Picture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5"/>
                    <pic:cNvPicPr>
                      <a:picLocks noChangeAspect="1" noChangeArrowheads="1"/>
                    </pic:cNvPicPr>
                  </pic:nvPicPr>
                  <pic:blipFill>
                    <a:blip r:embed="rId20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-401955</wp:posOffset>
            </wp:positionV>
            <wp:extent cx="8890" cy="8255"/>
            <wp:wrapNone/>
            <wp:docPr id="2016" name="Picture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6"/>
                    <pic:cNvPicPr>
                      <a:picLocks noChangeAspect="1" noChangeArrowheads="1"/>
                    </pic:cNvPicPr>
                  </pic:nvPicPr>
                  <pic:blipFill>
                    <a:blip r:embed="rId20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-401955</wp:posOffset>
            </wp:positionV>
            <wp:extent cx="8890" cy="8255"/>
            <wp:wrapNone/>
            <wp:docPr id="2017" name="Picture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7"/>
                    <pic:cNvPicPr>
                      <a:picLocks noChangeAspect="1" noChangeArrowheads="1"/>
                    </pic:cNvPicPr>
                  </pic:nvPicPr>
                  <pic:blipFill>
                    <a:blip r:embed="rId20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-401955</wp:posOffset>
            </wp:positionV>
            <wp:extent cx="8890" cy="8255"/>
            <wp:wrapNone/>
            <wp:docPr id="2018" name="Picture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8"/>
                    <pic:cNvPicPr>
                      <a:picLocks noChangeAspect="1" noChangeArrowheads="1"/>
                    </pic:cNvPicPr>
                  </pic:nvPicPr>
                  <pic:blipFill>
                    <a:blip r:embed="rId20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-401955</wp:posOffset>
            </wp:positionV>
            <wp:extent cx="8255" cy="8255"/>
            <wp:wrapNone/>
            <wp:docPr id="2019" name="Picture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9"/>
                    <pic:cNvPicPr>
                      <a:picLocks noChangeAspect="1" noChangeArrowheads="1"/>
                    </pic:cNvPicPr>
                  </pic:nvPicPr>
                  <pic:blipFill>
                    <a:blip r:embed="rId20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-401955</wp:posOffset>
            </wp:positionV>
            <wp:extent cx="8255" cy="8255"/>
            <wp:wrapNone/>
            <wp:docPr id="2020" name="Picture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0"/>
                    <pic:cNvPicPr>
                      <a:picLocks noChangeAspect="1" noChangeArrowheads="1"/>
                    </pic:cNvPicPr>
                  </pic:nvPicPr>
                  <pic:blipFill>
                    <a:blip r:embed="rId20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-401955</wp:posOffset>
            </wp:positionV>
            <wp:extent cx="8255" cy="8255"/>
            <wp:wrapNone/>
            <wp:docPr id="2021" name="Picture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1"/>
                    <pic:cNvPicPr>
                      <a:picLocks noChangeAspect="1" noChangeArrowheads="1"/>
                    </pic:cNvPicPr>
                  </pic:nvPicPr>
                  <pic:blipFill>
                    <a:blip r:embed="rId20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-401955</wp:posOffset>
            </wp:positionV>
            <wp:extent cx="8890" cy="8255"/>
            <wp:wrapNone/>
            <wp:docPr id="2022" name="Picture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2"/>
                    <pic:cNvPicPr>
                      <a:picLocks noChangeAspect="1" noChangeArrowheads="1"/>
                    </pic:cNvPicPr>
                  </pic:nvPicPr>
                  <pic:blipFill>
                    <a:blip r:embed="rId20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-401955</wp:posOffset>
            </wp:positionV>
            <wp:extent cx="8890" cy="8255"/>
            <wp:wrapNone/>
            <wp:docPr id="2023" name="Picture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3"/>
                    <pic:cNvPicPr>
                      <a:picLocks noChangeAspect="1" noChangeArrowheads="1"/>
                    </pic:cNvPicPr>
                  </pic:nvPicPr>
                  <pic:blipFill>
                    <a:blip r:embed="rId20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-401955</wp:posOffset>
            </wp:positionV>
            <wp:extent cx="8890" cy="8255"/>
            <wp:wrapNone/>
            <wp:docPr id="2024" name="Picture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4"/>
                    <pic:cNvPicPr>
                      <a:picLocks noChangeAspect="1" noChangeArrowheads="1"/>
                    </pic:cNvPicPr>
                  </pic:nvPicPr>
                  <pic:blipFill>
                    <a:blip r:embed="rId20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-401955</wp:posOffset>
            </wp:positionV>
            <wp:extent cx="8255" cy="8255"/>
            <wp:wrapNone/>
            <wp:docPr id="2025" name="Picture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5"/>
                    <pic:cNvPicPr>
                      <a:picLocks noChangeAspect="1" noChangeArrowheads="1"/>
                    </pic:cNvPicPr>
                  </pic:nvPicPr>
                  <pic:blipFill>
                    <a:blip r:embed="rId20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-401955</wp:posOffset>
            </wp:positionV>
            <wp:extent cx="8255" cy="8255"/>
            <wp:wrapNone/>
            <wp:docPr id="2026" name="Picture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6"/>
                    <pic:cNvPicPr>
                      <a:picLocks noChangeAspect="1" noChangeArrowheads="1"/>
                    </pic:cNvPicPr>
                  </pic:nvPicPr>
                  <pic:blipFill>
                    <a:blip r:embed="rId20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-401955</wp:posOffset>
            </wp:positionV>
            <wp:extent cx="8890" cy="8255"/>
            <wp:wrapNone/>
            <wp:docPr id="2027" name="Picture 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7"/>
                    <pic:cNvPicPr>
                      <a:picLocks noChangeAspect="1" noChangeArrowheads="1"/>
                    </pic:cNvPicPr>
                  </pic:nvPicPr>
                  <pic:blipFill>
                    <a:blip r:embed="rId20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-401955</wp:posOffset>
            </wp:positionV>
            <wp:extent cx="8890" cy="8255"/>
            <wp:wrapNone/>
            <wp:docPr id="2028" name="Picture 2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8"/>
                    <pic:cNvPicPr>
                      <a:picLocks noChangeAspect="1" noChangeArrowheads="1"/>
                    </pic:cNvPicPr>
                  </pic:nvPicPr>
                  <pic:blipFill>
                    <a:blip r:embed="rId20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-401955</wp:posOffset>
            </wp:positionV>
            <wp:extent cx="8890" cy="8255"/>
            <wp:wrapNone/>
            <wp:docPr id="2029" name="Picture 2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9"/>
                    <pic:cNvPicPr>
                      <a:picLocks noChangeAspect="1" noChangeArrowheads="1"/>
                    </pic:cNvPicPr>
                  </pic:nvPicPr>
                  <pic:blipFill>
                    <a:blip r:embed="rId20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-401955</wp:posOffset>
            </wp:positionV>
            <wp:extent cx="8255" cy="8255"/>
            <wp:wrapNone/>
            <wp:docPr id="2030" name="Picture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0"/>
                    <pic:cNvPicPr>
                      <a:picLocks noChangeAspect="1" noChangeArrowheads="1"/>
                    </pic:cNvPicPr>
                  </pic:nvPicPr>
                  <pic:blipFill>
                    <a:blip r:embed="rId20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-401955</wp:posOffset>
            </wp:positionV>
            <wp:extent cx="8255" cy="8255"/>
            <wp:wrapNone/>
            <wp:docPr id="2031" name="Picture 2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1"/>
                    <pic:cNvPicPr>
                      <a:picLocks noChangeAspect="1" noChangeArrowheads="1"/>
                    </pic:cNvPicPr>
                  </pic:nvPicPr>
                  <pic:blipFill>
                    <a:blip r:embed="rId20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-401955</wp:posOffset>
            </wp:positionV>
            <wp:extent cx="8255" cy="8255"/>
            <wp:wrapNone/>
            <wp:docPr id="2032" name="Picture 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2"/>
                    <pic:cNvPicPr>
                      <a:picLocks noChangeAspect="1" noChangeArrowheads="1"/>
                    </pic:cNvPicPr>
                  </pic:nvPicPr>
                  <pic:blipFill>
                    <a:blip r:embed="rId20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-401955</wp:posOffset>
            </wp:positionV>
            <wp:extent cx="8890" cy="8255"/>
            <wp:wrapNone/>
            <wp:docPr id="2033" name="Picture 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3"/>
                    <pic:cNvPicPr>
                      <a:picLocks noChangeAspect="1" noChangeArrowheads="1"/>
                    </pic:cNvPicPr>
                  </pic:nvPicPr>
                  <pic:blipFill>
                    <a:blip r:embed="rId20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-401955</wp:posOffset>
            </wp:positionV>
            <wp:extent cx="8890" cy="8255"/>
            <wp:wrapNone/>
            <wp:docPr id="2034" name="Picture 2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4"/>
                    <pic:cNvPicPr>
                      <a:picLocks noChangeAspect="1" noChangeArrowheads="1"/>
                    </pic:cNvPicPr>
                  </pic:nvPicPr>
                  <pic:blipFill>
                    <a:blip r:embed="rId20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-401955</wp:posOffset>
            </wp:positionV>
            <wp:extent cx="8890" cy="8255"/>
            <wp:wrapNone/>
            <wp:docPr id="2035" name="Picture 2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5"/>
                    <pic:cNvPicPr>
                      <a:picLocks noChangeAspect="1" noChangeArrowheads="1"/>
                    </pic:cNvPicPr>
                  </pic:nvPicPr>
                  <pic:blipFill>
                    <a:blip r:embed="rId20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-401955</wp:posOffset>
            </wp:positionV>
            <wp:extent cx="8255" cy="8255"/>
            <wp:wrapNone/>
            <wp:docPr id="2036" name="Picture 2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6"/>
                    <pic:cNvPicPr>
                      <a:picLocks noChangeAspect="1" noChangeArrowheads="1"/>
                    </pic:cNvPicPr>
                  </pic:nvPicPr>
                  <pic:blipFill>
                    <a:blip r:embed="rId20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-401955</wp:posOffset>
            </wp:positionV>
            <wp:extent cx="8255" cy="8255"/>
            <wp:wrapNone/>
            <wp:docPr id="2037" name="Picture 2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7"/>
                    <pic:cNvPicPr>
                      <a:picLocks noChangeAspect="1" noChangeArrowheads="1"/>
                    </pic:cNvPicPr>
                  </pic:nvPicPr>
                  <pic:blipFill>
                    <a:blip r:embed="rId20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-401955</wp:posOffset>
            </wp:positionV>
            <wp:extent cx="8890" cy="8255"/>
            <wp:wrapNone/>
            <wp:docPr id="2038" name="Picture 2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8"/>
                    <pic:cNvPicPr>
                      <a:picLocks noChangeAspect="1" noChangeArrowheads="1"/>
                    </pic:cNvPicPr>
                  </pic:nvPicPr>
                  <pic:blipFill>
                    <a:blip r:embed="rId20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-401955</wp:posOffset>
            </wp:positionV>
            <wp:extent cx="8890" cy="8255"/>
            <wp:wrapNone/>
            <wp:docPr id="2039" name="Picture 2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9"/>
                    <pic:cNvPicPr>
                      <a:picLocks noChangeAspect="1" noChangeArrowheads="1"/>
                    </pic:cNvPicPr>
                  </pic:nvPicPr>
                  <pic:blipFill>
                    <a:blip r:embed="rId20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-401955</wp:posOffset>
            </wp:positionV>
            <wp:extent cx="8890" cy="8255"/>
            <wp:wrapNone/>
            <wp:docPr id="2040" name="Picture 2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0"/>
                    <pic:cNvPicPr>
                      <a:picLocks noChangeAspect="1" noChangeArrowheads="1"/>
                    </pic:cNvPicPr>
                  </pic:nvPicPr>
                  <pic:blipFill>
                    <a:blip r:embed="rId20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-401955</wp:posOffset>
            </wp:positionV>
            <wp:extent cx="8255" cy="8255"/>
            <wp:wrapNone/>
            <wp:docPr id="2041" name="Picture 2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1"/>
                    <pic:cNvPicPr>
                      <a:picLocks noChangeAspect="1" noChangeArrowheads="1"/>
                    </pic:cNvPicPr>
                  </pic:nvPicPr>
                  <pic:blipFill>
                    <a:blip r:embed="rId20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-401955</wp:posOffset>
            </wp:positionV>
            <wp:extent cx="8255" cy="8255"/>
            <wp:wrapNone/>
            <wp:docPr id="2042" name="Picture 2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2"/>
                    <pic:cNvPicPr>
                      <a:picLocks noChangeAspect="1" noChangeArrowheads="1"/>
                    </pic:cNvPicPr>
                  </pic:nvPicPr>
                  <pic:blipFill>
                    <a:blip r:embed="rId20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-401955</wp:posOffset>
            </wp:positionV>
            <wp:extent cx="8255" cy="8255"/>
            <wp:wrapNone/>
            <wp:docPr id="2043" name="Picture 2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3"/>
                    <pic:cNvPicPr>
                      <a:picLocks noChangeAspect="1" noChangeArrowheads="1"/>
                    </pic:cNvPicPr>
                  </pic:nvPicPr>
                  <pic:blipFill>
                    <a:blip r:embed="rId20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-401955</wp:posOffset>
            </wp:positionV>
            <wp:extent cx="8890" cy="8255"/>
            <wp:wrapNone/>
            <wp:docPr id="2044" name="Picture 2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4"/>
                    <pic:cNvPicPr>
                      <a:picLocks noChangeAspect="1" noChangeArrowheads="1"/>
                    </pic:cNvPicPr>
                  </pic:nvPicPr>
                  <pic:blipFill>
                    <a:blip r:embed="rId20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-401955</wp:posOffset>
            </wp:positionV>
            <wp:extent cx="8890" cy="8255"/>
            <wp:wrapNone/>
            <wp:docPr id="2045" name="Picture 2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5"/>
                    <pic:cNvPicPr>
                      <a:picLocks noChangeAspect="1" noChangeArrowheads="1"/>
                    </pic:cNvPicPr>
                  </pic:nvPicPr>
                  <pic:blipFill>
                    <a:blip r:embed="rId20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-401955</wp:posOffset>
            </wp:positionV>
            <wp:extent cx="8890" cy="8255"/>
            <wp:wrapNone/>
            <wp:docPr id="2046" name="Picture 2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6"/>
                    <pic:cNvPicPr>
                      <a:picLocks noChangeAspect="1" noChangeArrowheads="1"/>
                    </pic:cNvPicPr>
                  </pic:nvPicPr>
                  <pic:blipFill>
                    <a:blip r:embed="rId20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-401955</wp:posOffset>
            </wp:positionV>
            <wp:extent cx="8255" cy="8255"/>
            <wp:wrapNone/>
            <wp:docPr id="2047" name="Picture 2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7"/>
                    <pic:cNvPicPr>
                      <a:picLocks noChangeAspect="1" noChangeArrowheads="1"/>
                    </pic:cNvPicPr>
                  </pic:nvPicPr>
                  <pic:blipFill>
                    <a:blip r:embed="rId20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-401955</wp:posOffset>
            </wp:positionV>
            <wp:extent cx="8255" cy="8255"/>
            <wp:wrapNone/>
            <wp:docPr id="2048" name="Picture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8"/>
                    <pic:cNvPicPr>
                      <a:picLocks noChangeAspect="1" noChangeArrowheads="1"/>
                    </pic:cNvPicPr>
                  </pic:nvPicPr>
                  <pic:blipFill>
                    <a:blip r:embed="rId20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-401955</wp:posOffset>
            </wp:positionV>
            <wp:extent cx="8890" cy="8255"/>
            <wp:wrapNone/>
            <wp:docPr id="2049" name="Picture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9"/>
                    <pic:cNvPicPr>
                      <a:picLocks noChangeAspect="1" noChangeArrowheads="1"/>
                    </pic:cNvPicPr>
                  </pic:nvPicPr>
                  <pic:blipFill>
                    <a:blip r:embed="rId20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-401955</wp:posOffset>
            </wp:positionV>
            <wp:extent cx="8890" cy="8255"/>
            <wp:wrapNone/>
            <wp:docPr id="2050" name="Picture 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0"/>
                    <pic:cNvPicPr>
                      <a:picLocks noChangeAspect="1" noChangeArrowheads="1"/>
                    </pic:cNvPicPr>
                  </pic:nvPicPr>
                  <pic:blipFill>
                    <a:blip r:embed="rId20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-401955</wp:posOffset>
            </wp:positionV>
            <wp:extent cx="8890" cy="8255"/>
            <wp:wrapNone/>
            <wp:docPr id="2051" name="Picture 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1"/>
                    <pic:cNvPicPr>
                      <a:picLocks noChangeAspect="1" noChangeArrowheads="1"/>
                    </pic:cNvPicPr>
                  </pic:nvPicPr>
                  <pic:blipFill>
                    <a:blip r:embed="rId20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-401955</wp:posOffset>
            </wp:positionV>
            <wp:extent cx="8890" cy="8255"/>
            <wp:wrapNone/>
            <wp:docPr id="2052" name="Picture 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2"/>
                    <pic:cNvPicPr>
                      <a:picLocks noChangeAspect="1" noChangeArrowheads="1"/>
                    </pic:cNvPicPr>
                  </pic:nvPicPr>
                  <pic:blipFill>
                    <a:blip r:embed="rId20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-401955</wp:posOffset>
            </wp:positionV>
            <wp:extent cx="8255" cy="8255"/>
            <wp:wrapNone/>
            <wp:docPr id="2053" name="Picture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3"/>
                    <pic:cNvPicPr>
                      <a:picLocks noChangeAspect="1" noChangeArrowheads="1"/>
                    </pic:cNvPicPr>
                  </pic:nvPicPr>
                  <pic:blipFill>
                    <a:blip r:embed="rId20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-401955</wp:posOffset>
            </wp:positionV>
            <wp:extent cx="8255" cy="8255"/>
            <wp:wrapNone/>
            <wp:docPr id="2054" name="Picture 2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4"/>
                    <pic:cNvPicPr>
                      <a:picLocks noChangeAspect="1" noChangeArrowheads="1"/>
                    </pic:cNvPicPr>
                  </pic:nvPicPr>
                  <pic:blipFill>
                    <a:blip r:embed="rId20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-401955</wp:posOffset>
            </wp:positionV>
            <wp:extent cx="8890" cy="8255"/>
            <wp:wrapNone/>
            <wp:docPr id="2055" name="Picture 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5"/>
                    <pic:cNvPicPr>
                      <a:picLocks noChangeAspect="1" noChangeArrowheads="1"/>
                    </pic:cNvPicPr>
                  </pic:nvPicPr>
                  <pic:blipFill>
                    <a:blip r:embed="rId20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-401955</wp:posOffset>
            </wp:positionV>
            <wp:extent cx="8890" cy="8255"/>
            <wp:wrapNone/>
            <wp:docPr id="2056" name="Picture 2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6"/>
                    <pic:cNvPicPr>
                      <a:picLocks noChangeAspect="1" noChangeArrowheads="1"/>
                    </pic:cNvPicPr>
                  </pic:nvPicPr>
                  <pic:blipFill>
                    <a:blip r:embed="rId20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-401955</wp:posOffset>
            </wp:positionV>
            <wp:extent cx="8890" cy="8255"/>
            <wp:wrapNone/>
            <wp:docPr id="2057" name="Picture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7"/>
                    <pic:cNvPicPr>
                      <a:picLocks noChangeAspect="1" noChangeArrowheads="1"/>
                    </pic:cNvPicPr>
                  </pic:nvPicPr>
                  <pic:blipFill>
                    <a:blip r:embed="rId20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-401955</wp:posOffset>
            </wp:positionV>
            <wp:extent cx="8890" cy="8255"/>
            <wp:wrapNone/>
            <wp:docPr id="2058" name="Picture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8"/>
                    <pic:cNvPicPr>
                      <a:picLocks noChangeAspect="1" noChangeArrowheads="1"/>
                    </pic:cNvPicPr>
                  </pic:nvPicPr>
                  <pic:blipFill>
                    <a:blip r:embed="rId20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-401955</wp:posOffset>
            </wp:positionV>
            <wp:extent cx="8890" cy="8255"/>
            <wp:wrapNone/>
            <wp:docPr id="2059" name="Picture 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9"/>
                    <pic:cNvPicPr>
                      <a:picLocks noChangeAspect="1" noChangeArrowheads="1"/>
                    </pic:cNvPicPr>
                  </pic:nvPicPr>
                  <pic:blipFill>
                    <a:blip r:embed="rId20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-401955</wp:posOffset>
            </wp:positionV>
            <wp:extent cx="8890" cy="8255"/>
            <wp:wrapNone/>
            <wp:docPr id="2060" name="Picture 2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0"/>
                    <pic:cNvPicPr>
                      <a:picLocks noChangeAspect="1" noChangeArrowheads="1"/>
                    </pic:cNvPicPr>
                  </pic:nvPicPr>
                  <pic:blipFill>
                    <a:blip r:embed="rId20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-401955</wp:posOffset>
            </wp:positionV>
            <wp:extent cx="8890" cy="8255"/>
            <wp:wrapNone/>
            <wp:docPr id="2061" name="Picture 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1"/>
                    <pic:cNvPicPr>
                      <a:picLocks noChangeAspect="1" noChangeArrowheads="1"/>
                    </pic:cNvPicPr>
                  </pic:nvPicPr>
                  <pic:blipFill>
                    <a:blip r:embed="rId20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-401955</wp:posOffset>
            </wp:positionV>
            <wp:extent cx="8255" cy="8255"/>
            <wp:wrapNone/>
            <wp:docPr id="2062" name="Picture 2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2"/>
                    <pic:cNvPicPr>
                      <a:picLocks noChangeAspect="1" noChangeArrowheads="1"/>
                    </pic:cNvPicPr>
                  </pic:nvPicPr>
                  <pic:blipFill>
                    <a:blip r:embed="rId20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-401955</wp:posOffset>
            </wp:positionV>
            <wp:extent cx="8890" cy="8255"/>
            <wp:wrapNone/>
            <wp:docPr id="2063" name="Picture 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3"/>
                    <pic:cNvPicPr>
                      <a:picLocks noChangeAspect="1" noChangeArrowheads="1"/>
                    </pic:cNvPicPr>
                  </pic:nvPicPr>
                  <pic:blipFill>
                    <a:blip r:embed="rId20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-401955</wp:posOffset>
            </wp:positionV>
            <wp:extent cx="8890" cy="8255"/>
            <wp:wrapNone/>
            <wp:docPr id="2064" name="Picture 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4"/>
                    <pic:cNvPicPr>
                      <a:picLocks noChangeAspect="1" noChangeArrowheads="1"/>
                    </pic:cNvPicPr>
                  </pic:nvPicPr>
                  <pic:blipFill>
                    <a:blip r:embed="rId20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-401955</wp:posOffset>
            </wp:positionV>
            <wp:extent cx="8890" cy="8255"/>
            <wp:wrapNone/>
            <wp:docPr id="2065" name="Picture 2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5"/>
                    <pic:cNvPicPr>
                      <a:picLocks noChangeAspect="1" noChangeArrowheads="1"/>
                    </pic:cNvPicPr>
                  </pic:nvPicPr>
                  <pic:blipFill>
                    <a:blip r:embed="rId20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-401955</wp:posOffset>
            </wp:positionV>
            <wp:extent cx="8890" cy="8255"/>
            <wp:wrapNone/>
            <wp:docPr id="2066" name="Picture 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6"/>
                    <pic:cNvPicPr>
                      <a:picLocks noChangeAspect="1" noChangeArrowheads="1"/>
                    </pic:cNvPicPr>
                  </pic:nvPicPr>
                  <pic:blipFill>
                    <a:blip r:embed="rId20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-401955</wp:posOffset>
            </wp:positionV>
            <wp:extent cx="8255" cy="8255"/>
            <wp:wrapNone/>
            <wp:docPr id="2067" name="Picture 2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7"/>
                    <pic:cNvPicPr>
                      <a:picLocks noChangeAspect="1" noChangeArrowheads="1"/>
                    </pic:cNvPicPr>
                  </pic:nvPicPr>
                  <pic:blipFill>
                    <a:blip r:embed="rId20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-401955</wp:posOffset>
            </wp:positionV>
            <wp:extent cx="8890" cy="8255"/>
            <wp:wrapNone/>
            <wp:docPr id="2068" name="Picture 2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8"/>
                    <pic:cNvPicPr>
                      <a:picLocks noChangeAspect="1" noChangeArrowheads="1"/>
                    </pic:cNvPicPr>
                  </pic:nvPicPr>
                  <pic:blipFill>
                    <a:blip r:embed="rId20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-401955</wp:posOffset>
            </wp:positionV>
            <wp:extent cx="8890" cy="8255"/>
            <wp:wrapNone/>
            <wp:docPr id="2069" name="Picture 2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9"/>
                    <pic:cNvPicPr>
                      <a:picLocks noChangeAspect="1" noChangeArrowheads="1"/>
                    </pic:cNvPicPr>
                  </pic:nvPicPr>
                  <pic:blipFill>
                    <a:blip r:embed="rId20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-401955</wp:posOffset>
            </wp:positionV>
            <wp:extent cx="8890" cy="8255"/>
            <wp:wrapNone/>
            <wp:docPr id="2070" name="Picture 2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0"/>
                    <pic:cNvPicPr>
                      <a:picLocks noChangeAspect="1" noChangeArrowheads="1"/>
                    </pic:cNvPicPr>
                  </pic:nvPicPr>
                  <pic:blipFill>
                    <a:blip r:embed="rId20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-401955</wp:posOffset>
            </wp:positionV>
            <wp:extent cx="8890" cy="8255"/>
            <wp:wrapNone/>
            <wp:docPr id="2071" name="Picture 2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1"/>
                    <pic:cNvPicPr>
                      <a:picLocks noChangeAspect="1" noChangeArrowheads="1"/>
                    </pic:cNvPicPr>
                  </pic:nvPicPr>
                  <pic:blipFill>
                    <a:blip r:embed="rId20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-401955</wp:posOffset>
            </wp:positionV>
            <wp:extent cx="8255" cy="8255"/>
            <wp:wrapNone/>
            <wp:docPr id="2072" name="Picture 2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2"/>
                    <pic:cNvPicPr>
                      <a:picLocks noChangeAspect="1" noChangeArrowheads="1"/>
                    </pic:cNvPicPr>
                  </pic:nvPicPr>
                  <pic:blipFill>
                    <a:blip r:embed="rId20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-401955</wp:posOffset>
            </wp:positionV>
            <wp:extent cx="8890" cy="8255"/>
            <wp:wrapNone/>
            <wp:docPr id="2073" name="Picture 2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3"/>
                    <pic:cNvPicPr>
                      <a:picLocks noChangeAspect="1" noChangeArrowheads="1"/>
                    </pic:cNvPicPr>
                  </pic:nvPicPr>
                  <pic:blipFill>
                    <a:blip r:embed="rId20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-401955</wp:posOffset>
            </wp:positionV>
            <wp:extent cx="8890" cy="8255"/>
            <wp:wrapNone/>
            <wp:docPr id="2074" name="Picture 2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4"/>
                    <pic:cNvPicPr>
                      <a:picLocks noChangeAspect="1" noChangeArrowheads="1"/>
                    </pic:cNvPicPr>
                  </pic:nvPicPr>
                  <pic:blipFill>
                    <a:blip r:embed="rId20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-401955</wp:posOffset>
            </wp:positionV>
            <wp:extent cx="8890" cy="8255"/>
            <wp:wrapNone/>
            <wp:docPr id="2075" name="Picture 2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5"/>
                    <pic:cNvPicPr>
                      <a:picLocks noChangeAspect="1" noChangeArrowheads="1"/>
                    </pic:cNvPicPr>
                  </pic:nvPicPr>
                  <pic:blipFill>
                    <a:blip r:embed="rId20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-401955</wp:posOffset>
            </wp:positionV>
            <wp:extent cx="8890" cy="8255"/>
            <wp:wrapNone/>
            <wp:docPr id="2076" name="Picture 2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6"/>
                    <pic:cNvPicPr>
                      <a:picLocks noChangeAspect="1" noChangeArrowheads="1"/>
                    </pic:cNvPicPr>
                  </pic:nvPicPr>
                  <pic:blipFill>
                    <a:blip r:embed="rId20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-401955</wp:posOffset>
            </wp:positionV>
            <wp:extent cx="8890" cy="8255"/>
            <wp:wrapNone/>
            <wp:docPr id="2077" name="Picture 2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7"/>
                    <pic:cNvPicPr>
                      <a:picLocks noChangeAspect="1" noChangeArrowheads="1"/>
                    </pic:cNvPicPr>
                  </pic:nvPicPr>
                  <pic:blipFill>
                    <a:blip r:embed="rId20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-401955</wp:posOffset>
            </wp:positionV>
            <wp:extent cx="8890" cy="8255"/>
            <wp:wrapNone/>
            <wp:docPr id="2078" name="Picture 2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8"/>
                    <pic:cNvPicPr>
                      <a:picLocks noChangeAspect="1" noChangeArrowheads="1"/>
                    </pic:cNvPicPr>
                  </pic:nvPicPr>
                  <pic:blipFill>
                    <a:blip r:embed="rId20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-401955</wp:posOffset>
            </wp:positionV>
            <wp:extent cx="8255" cy="8255"/>
            <wp:wrapNone/>
            <wp:docPr id="2079" name="Picture 2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9"/>
                    <pic:cNvPicPr>
                      <a:picLocks noChangeAspect="1" noChangeArrowheads="1"/>
                    </pic:cNvPicPr>
                  </pic:nvPicPr>
                  <pic:blipFill>
                    <a:blip r:embed="rId20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-401955</wp:posOffset>
            </wp:positionV>
            <wp:extent cx="8890" cy="8255"/>
            <wp:wrapNone/>
            <wp:docPr id="2080" name="Picture 2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0"/>
                    <pic:cNvPicPr>
                      <a:picLocks noChangeAspect="1" noChangeArrowheads="1"/>
                    </pic:cNvPicPr>
                  </pic:nvPicPr>
                  <pic:blipFill>
                    <a:blip r:embed="rId20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-401955</wp:posOffset>
            </wp:positionV>
            <wp:extent cx="8890" cy="8255"/>
            <wp:wrapNone/>
            <wp:docPr id="2081" name="Picture 2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1"/>
                    <pic:cNvPicPr>
                      <a:picLocks noChangeAspect="1" noChangeArrowheads="1"/>
                    </pic:cNvPicPr>
                  </pic:nvPicPr>
                  <pic:blipFill>
                    <a:blip r:embed="rId20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-401955</wp:posOffset>
            </wp:positionV>
            <wp:extent cx="8890" cy="8255"/>
            <wp:wrapNone/>
            <wp:docPr id="2082" name="Picture 2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2"/>
                    <pic:cNvPicPr>
                      <a:picLocks noChangeAspect="1" noChangeArrowheads="1"/>
                    </pic:cNvPicPr>
                  </pic:nvPicPr>
                  <pic:blipFill>
                    <a:blip r:embed="rId20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-401955</wp:posOffset>
            </wp:positionV>
            <wp:extent cx="8890" cy="8255"/>
            <wp:wrapNone/>
            <wp:docPr id="2083" name="Picture 2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3"/>
                    <pic:cNvPicPr>
                      <a:picLocks noChangeAspect="1" noChangeArrowheads="1"/>
                    </pic:cNvPicPr>
                  </pic:nvPicPr>
                  <pic:blipFill>
                    <a:blip r:embed="rId20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-401955</wp:posOffset>
            </wp:positionV>
            <wp:extent cx="8255" cy="8255"/>
            <wp:wrapNone/>
            <wp:docPr id="2084" name="Picture 2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4"/>
                    <pic:cNvPicPr>
                      <a:picLocks noChangeAspect="1" noChangeArrowheads="1"/>
                    </pic:cNvPicPr>
                  </pic:nvPicPr>
                  <pic:blipFill>
                    <a:blip r:embed="rId20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-401955</wp:posOffset>
            </wp:positionV>
            <wp:extent cx="8890" cy="8255"/>
            <wp:wrapNone/>
            <wp:docPr id="2085" name="Picture 2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5"/>
                    <pic:cNvPicPr>
                      <a:picLocks noChangeAspect="1" noChangeArrowheads="1"/>
                    </pic:cNvPicPr>
                  </pic:nvPicPr>
                  <pic:blipFill>
                    <a:blip r:embed="rId20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-401955</wp:posOffset>
            </wp:positionV>
            <wp:extent cx="8890" cy="8255"/>
            <wp:wrapNone/>
            <wp:docPr id="2086" name="Picture 2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6"/>
                    <pic:cNvPicPr>
                      <a:picLocks noChangeAspect="1" noChangeArrowheads="1"/>
                    </pic:cNvPicPr>
                  </pic:nvPicPr>
                  <pic:blipFill>
                    <a:blip r:embed="rId20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-401955</wp:posOffset>
            </wp:positionV>
            <wp:extent cx="8890" cy="8255"/>
            <wp:wrapNone/>
            <wp:docPr id="2087" name="Picture 2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7"/>
                    <pic:cNvPicPr>
                      <a:picLocks noChangeAspect="1" noChangeArrowheads="1"/>
                    </pic:cNvPicPr>
                  </pic:nvPicPr>
                  <pic:blipFill>
                    <a:blip r:embed="rId20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-401955</wp:posOffset>
            </wp:positionV>
            <wp:extent cx="8890" cy="8255"/>
            <wp:wrapNone/>
            <wp:docPr id="2088" name="Picture 2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8"/>
                    <pic:cNvPicPr>
                      <a:picLocks noChangeAspect="1" noChangeArrowheads="1"/>
                    </pic:cNvPicPr>
                  </pic:nvPicPr>
                  <pic:blipFill>
                    <a:blip r:embed="rId20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-401955</wp:posOffset>
            </wp:positionV>
            <wp:extent cx="8255" cy="8255"/>
            <wp:wrapNone/>
            <wp:docPr id="2089" name="Picture 2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9"/>
                    <pic:cNvPicPr>
                      <a:picLocks noChangeAspect="1" noChangeArrowheads="1"/>
                    </pic:cNvPicPr>
                  </pic:nvPicPr>
                  <pic:blipFill>
                    <a:blip r:embed="rId20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-401955</wp:posOffset>
            </wp:positionV>
            <wp:extent cx="8890" cy="8255"/>
            <wp:wrapNone/>
            <wp:docPr id="2090" name="Picture 2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0"/>
                    <pic:cNvPicPr>
                      <a:picLocks noChangeAspect="1" noChangeArrowheads="1"/>
                    </pic:cNvPicPr>
                  </pic:nvPicPr>
                  <pic:blipFill>
                    <a:blip r:embed="rId20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-401955</wp:posOffset>
            </wp:positionV>
            <wp:extent cx="8890" cy="8255"/>
            <wp:wrapNone/>
            <wp:docPr id="2091" name="Picture 2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1"/>
                    <pic:cNvPicPr>
                      <a:picLocks noChangeAspect="1" noChangeArrowheads="1"/>
                    </pic:cNvPicPr>
                  </pic:nvPicPr>
                  <pic:blipFill>
                    <a:blip r:embed="rId20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-401955</wp:posOffset>
            </wp:positionV>
            <wp:extent cx="8890" cy="8255"/>
            <wp:wrapNone/>
            <wp:docPr id="2092" name="Picture 2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2"/>
                    <pic:cNvPicPr>
                      <a:picLocks noChangeAspect="1" noChangeArrowheads="1"/>
                    </pic:cNvPicPr>
                  </pic:nvPicPr>
                  <pic:blipFill>
                    <a:blip r:embed="rId20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-401955</wp:posOffset>
            </wp:positionV>
            <wp:extent cx="8890" cy="8255"/>
            <wp:wrapNone/>
            <wp:docPr id="2093" name="Picture 2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3"/>
                    <pic:cNvPicPr>
                      <a:picLocks noChangeAspect="1" noChangeArrowheads="1"/>
                    </pic:cNvPicPr>
                  </pic:nvPicPr>
                  <pic:blipFill>
                    <a:blip r:embed="rId21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-401955</wp:posOffset>
            </wp:positionV>
            <wp:extent cx="8255" cy="8255"/>
            <wp:wrapNone/>
            <wp:docPr id="2094" name="Picture 2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4"/>
                    <pic:cNvPicPr>
                      <a:picLocks noChangeAspect="1" noChangeArrowheads="1"/>
                    </pic:cNvPicPr>
                  </pic:nvPicPr>
                  <pic:blipFill>
                    <a:blip r:embed="rId21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-401955</wp:posOffset>
            </wp:positionV>
            <wp:extent cx="8890" cy="8255"/>
            <wp:wrapNone/>
            <wp:docPr id="2095" name="Picture 2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5"/>
                    <pic:cNvPicPr>
                      <a:picLocks noChangeAspect="1" noChangeArrowheads="1"/>
                    </pic:cNvPicPr>
                  </pic:nvPicPr>
                  <pic:blipFill>
                    <a:blip r:embed="rId21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-401955</wp:posOffset>
            </wp:positionV>
            <wp:extent cx="8255" cy="8255"/>
            <wp:wrapNone/>
            <wp:docPr id="2096" name="Picture 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6"/>
                    <pic:cNvPicPr>
                      <a:picLocks noChangeAspect="1" noChangeArrowheads="1"/>
                    </pic:cNvPicPr>
                  </pic:nvPicPr>
                  <pic:blipFill>
                    <a:blip r:embed="rId21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-401955</wp:posOffset>
            </wp:positionV>
            <wp:extent cx="8890" cy="8255"/>
            <wp:wrapNone/>
            <wp:docPr id="2097" name="Picture 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7"/>
                    <pic:cNvPicPr>
                      <a:picLocks noChangeAspect="1" noChangeArrowheads="1"/>
                    </pic:cNvPicPr>
                  </pic:nvPicPr>
                  <pic:blipFill>
                    <a:blip r:embed="rId21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-401955</wp:posOffset>
            </wp:positionV>
            <wp:extent cx="8890" cy="8255"/>
            <wp:wrapNone/>
            <wp:docPr id="2098" name="Picture 2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8"/>
                    <pic:cNvPicPr>
                      <a:picLocks noChangeAspect="1" noChangeArrowheads="1"/>
                    </pic:cNvPicPr>
                  </pic:nvPicPr>
                  <pic:blipFill>
                    <a:blip r:embed="rId21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-401955</wp:posOffset>
            </wp:positionV>
            <wp:extent cx="8890" cy="8255"/>
            <wp:wrapNone/>
            <wp:docPr id="2099" name="Picture 2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9"/>
                    <pic:cNvPicPr>
                      <a:picLocks noChangeAspect="1" noChangeArrowheads="1"/>
                    </pic:cNvPicPr>
                  </pic:nvPicPr>
                  <pic:blipFill>
                    <a:blip r:embed="rId21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-401955</wp:posOffset>
            </wp:positionV>
            <wp:extent cx="8890" cy="8255"/>
            <wp:wrapNone/>
            <wp:docPr id="2100" name="Picture 2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0"/>
                    <pic:cNvPicPr>
                      <a:picLocks noChangeAspect="1" noChangeArrowheads="1"/>
                    </pic:cNvPicPr>
                  </pic:nvPicPr>
                  <pic:blipFill>
                    <a:blip r:embed="rId21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-401955</wp:posOffset>
            </wp:positionV>
            <wp:extent cx="8255" cy="8255"/>
            <wp:wrapNone/>
            <wp:docPr id="2101" name="Picture 2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1"/>
                    <pic:cNvPicPr>
                      <a:picLocks noChangeAspect="1" noChangeArrowheads="1"/>
                    </pic:cNvPicPr>
                  </pic:nvPicPr>
                  <pic:blipFill>
                    <a:blip r:embed="rId21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-401955</wp:posOffset>
            </wp:positionV>
            <wp:extent cx="8890" cy="8255"/>
            <wp:wrapNone/>
            <wp:docPr id="2102" name="Picture 2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2"/>
                    <pic:cNvPicPr>
                      <a:picLocks noChangeAspect="1" noChangeArrowheads="1"/>
                    </pic:cNvPicPr>
                  </pic:nvPicPr>
                  <pic:blipFill>
                    <a:blip r:embed="rId21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-401955</wp:posOffset>
            </wp:positionV>
            <wp:extent cx="8890" cy="8255"/>
            <wp:wrapNone/>
            <wp:docPr id="2103" name="Picture 2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3"/>
                    <pic:cNvPicPr>
                      <a:picLocks noChangeAspect="1" noChangeArrowheads="1"/>
                    </pic:cNvPicPr>
                  </pic:nvPicPr>
                  <pic:blipFill>
                    <a:blip r:embed="rId21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-401955</wp:posOffset>
            </wp:positionV>
            <wp:extent cx="8890" cy="8255"/>
            <wp:wrapNone/>
            <wp:docPr id="2104" name="Picture 2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4"/>
                    <pic:cNvPicPr>
                      <a:picLocks noChangeAspect="1" noChangeArrowheads="1"/>
                    </pic:cNvPicPr>
                  </pic:nvPicPr>
                  <pic:blipFill>
                    <a:blip r:embed="rId21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-401955</wp:posOffset>
            </wp:positionV>
            <wp:extent cx="8890" cy="8255"/>
            <wp:wrapNone/>
            <wp:docPr id="2105" name="Picture 2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5"/>
                    <pic:cNvPicPr>
                      <a:picLocks noChangeAspect="1" noChangeArrowheads="1"/>
                    </pic:cNvPicPr>
                  </pic:nvPicPr>
                  <pic:blipFill>
                    <a:blip r:embed="rId21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-401955</wp:posOffset>
            </wp:positionV>
            <wp:extent cx="8255" cy="8255"/>
            <wp:wrapNone/>
            <wp:docPr id="2106" name="Picture 2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6"/>
                    <pic:cNvPicPr>
                      <a:picLocks noChangeAspect="1" noChangeArrowheads="1"/>
                    </pic:cNvPicPr>
                  </pic:nvPicPr>
                  <pic:blipFill>
                    <a:blip r:embed="rId2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-401955</wp:posOffset>
            </wp:positionV>
            <wp:extent cx="8890" cy="8255"/>
            <wp:wrapNone/>
            <wp:docPr id="2107" name="Picture 2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7"/>
                    <pic:cNvPicPr>
                      <a:picLocks noChangeAspect="1" noChangeArrowheads="1"/>
                    </pic:cNvPicPr>
                  </pic:nvPicPr>
                  <pic:blipFill>
                    <a:blip r:embed="rId21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-401955</wp:posOffset>
            </wp:positionV>
            <wp:extent cx="8890" cy="8255"/>
            <wp:wrapNone/>
            <wp:docPr id="2108" name="Picture 2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8"/>
                    <pic:cNvPicPr>
                      <a:picLocks noChangeAspect="1" noChangeArrowheads="1"/>
                    </pic:cNvPicPr>
                  </pic:nvPicPr>
                  <pic:blipFill>
                    <a:blip r:embed="rId21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-401955</wp:posOffset>
            </wp:positionV>
            <wp:extent cx="8890" cy="8255"/>
            <wp:wrapNone/>
            <wp:docPr id="2109" name="Picture 2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9"/>
                    <pic:cNvPicPr>
                      <a:picLocks noChangeAspect="1" noChangeArrowheads="1"/>
                    </pic:cNvPicPr>
                  </pic:nvPicPr>
                  <pic:blipFill>
                    <a:blip r:embed="rId21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-401955</wp:posOffset>
            </wp:positionV>
            <wp:extent cx="8890" cy="8255"/>
            <wp:wrapNone/>
            <wp:docPr id="2110" name="Picture 2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0"/>
                    <pic:cNvPicPr>
                      <a:picLocks noChangeAspect="1" noChangeArrowheads="1"/>
                    </pic:cNvPicPr>
                  </pic:nvPicPr>
                  <pic:blipFill>
                    <a:blip r:embed="rId21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-401955</wp:posOffset>
            </wp:positionV>
            <wp:extent cx="8255" cy="8255"/>
            <wp:wrapNone/>
            <wp:docPr id="2111" name="Picture 2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1"/>
                    <pic:cNvPicPr>
                      <a:picLocks noChangeAspect="1" noChangeArrowheads="1"/>
                    </pic:cNvPicPr>
                  </pic:nvPicPr>
                  <pic:blipFill>
                    <a:blip r:embed="rId2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-401955</wp:posOffset>
            </wp:positionV>
            <wp:extent cx="8890" cy="8255"/>
            <wp:wrapNone/>
            <wp:docPr id="2112" name="Picture 2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2"/>
                    <pic:cNvPicPr>
                      <a:picLocks noChangeAspect="1" noChangeArrowheads="1"/>
                    </pic:cNvPicPr>
                  </pic:nvPicPr>
                  <pic:blipFill>
                    <a:blip r:embed="rId21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-401955</wp:posOffset>
            </wp:positionV>
            <wp:extent cx="8890" cy="8255"/>
            <wp:wrapNone/>
            <wp:docPr id="2113" name="Picture 2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3"/>
                    <pic:cNvPicPr>
                      <a:picLocks noChangeAspect="1" noChangeArrowheads="1"/>
                    </pic:cNvPicPr>
                  </pic:nvPicPr>
                  <pic:blipFill>
                    <a:blip r:embed="rId21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-401955</wp:posOffset>
            </wp:positionV>
            <wp:extent cx="8890" cy="8255"/>
            <wp:wrapNone/>
            <wp:docPr id="2114" name="Picture 2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4"/>
                    <pic:cNvPicPr>
                      <a:picLocks noChangeAspect="1" noChangeArrowheads="1"/>
                    </pic:cNvPicPr>
                  </pic:nvPicPr>
                  <pic:blipFill>
                    <a:blip r:embed="rId21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-401955</wp:posOffset>
            </wp:positionV>
            <wp:extent cx="8890" cy="8255"/>
            <wp:wrapNone/>
            <wp:docPr id="2115" name="Picture 2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5"/>
                    <pic:cNvPicPr>
                      <a:picLocks noChangeAspect="1" noChangeArrowheads="1"/>
                    </pic:cNvPicPr>
                  </pic:nvPicPr>
                  <pic:blipFill>
                    <a:blip r:embed="rId21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-401955</wp:posOffset>
            </wp:positionV>
            <wp:extent cx="8255" cy="8255"/>
            <wp:wrapNone/>
            <wp:docPr id="2116" name="Picture 2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6"/>
                    <pic:cNvPicPr>
                      <a:picLocks noChangeAspect="1" noChangeArrowheads="1"/>
                    </pic:cNvPicPr>
                  </pic:nvPicPr>
                  <pic:blipFill>
                    <a:blip r:embed="rId2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-401955</wp:posOffset>
            </wp:positionV>
            <wp:extent cx="8890" cy="8255"/>
            <wp:wrapNone/>
            <wp:docPr id="2117" name="Picture 2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7"/>
                    <pic:cNvPicPr>
                      <a:picLocks noChangeAspect="1" noChangeArrowheads="1"/>
                    </pic:cNvPicPr>
                  </pic:nvPicPr>
                  <pic:blipFill>
                    <a:blip r:embed="rId2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-401955</wp:posOffset>
            </wp:positionV>
            <wp:extent cx="8255" cy="8255"/>
            <wp:wrapNone/>
            <wp:docPr id="2118" name="Picture 2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8"/>
                    <pic:cNvPicPr>
                      <a:picLocks noChangeAspect="1" noChangeArrowheads="1"/>
                    </pic:cNvPicPr>
                  </pic:nvPicPr>
                  <pic:blipFill>
                    <a:blip r:embed="rId21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-401955</wp:posOffset>
            </wp:positionV>
            <wp:extent cx="8890" cy="8255"/>
            <wp:wrapNone/>
            <wp:docPr id="2119" name="Picture 2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9"/>
                    <pic:cNvPicPr>
                      <a:picLocks noChangeAspect="1" noChangeArrowheads="1"/>
                    </pic:cNvPicPr>
                  </pic:nvPicPr>
                  <pic:blipFill>
                    <a:blip r:embed="rId21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-401955</wp:posOffset>
            </wp:positionV>
            <wp:extent cx="8890" cy="8255"/>
            <wp:wrapNone/>
            <wp:docPr id="2120" name="Picture 2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0"/>
                    <pic:cNvPicPr>
                      <a:picLocks noChangeAspect="1" noChangeArrowheads="1"/>
                    </pic:cNvPicPr>
                  </pic:nvPicPr>
                  <pic:blipFill>
                    <a:blip r:embed="rId21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-401955</wp:posOffset>
            </wp:positionV>
            <wp:extent cx="8890" cy="8255"/>
            <wp:wrapNone/>
            <wp:docPr id="2121" name="Picture 2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1"/>
                    <pic:cNvPicPr>
                      <a:picLocks noChangeAspect="1" noChangeArrowheads="1"/>
                    </pic:cNvPicPr>
                  </pic:nvPicPr>
                  <pic:blipFill>
                    <a:blip r:embed="rId21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-401955</wp:posOffset>
            </wp:positionV>
            <wp:extent cx="8890" cy="8255"/>
            <wp:wrapNone/>
            <wp:docPr id="2122" name="Picture 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2"/>
                    <pic:cNvPicPr>
                      <a:picLocks noChangeAspect="1" noChangeArrowheads="1"/>
                    </pic:cNvPicPr>
                  </pic:nvPicPr>
                  <pic:blipFill>
                    <a:blip r:embed="rId2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-401955</wp:posOffset>
            </wp:positionV>
            <wp:extent cx="8255" cy="8255"/>
            <wp:wrapNone/>
            <wp:docPr id="2123" name="Picture 2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3"/>
                    <pic:cNvPicPr>
                      <a:picLocks noChangeAspect="1" noChangeArrowheads="1"/>
                    </pic:cNvPicPr>
                  </pic:nvPicPr>
                  <pic:blipFill>
                    <a:blip r:embed="rId2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-401955</wp:posOffset>
            </wp:positionV>
            <wp:extent cx="8890" cy="8255"/>
            <wp:wrapNone/>
            <wp:docPr id="2124" name="Picture 2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4"/>
                    <pic:cNvPicPr>
                      <a:picLocks noChangeAspect="1" noChangeArrowheads="1"/>
                    </pic:cNvPicPr>
                  </pic:nvPicPr>
                  <pic:blipFill>
                    <a:blip r:embed="rId21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-401955</wp:posOffset>
            </wp:positionV>
            <wp:extent cx="8890" cy="8255"/>
            <wp:wrapNone/>
            <wp:docPr id="2125" name="Picture 2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5"/>
                    <pic:cNvPicPr>
                      <a:picLocks noChangeAspect="1" noChangeArrowheads="1"/>
                    </pic:cNvPicPr>
                  </pic:nvPicPr>
                  <pic:blipFill>
                    <a:blip r:embed="rId21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-401955</wp:posOffset>
            </wp:positionV>
            <wp:extent cx="8890" cy="8255"/>
            <wp:wrapNone/>
            <wp:docPr id="2126" name="Picture 2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6"/>
                    <pic:cNvPicPr>
                      <a:picLocks noChangeAspect="1" noChangeArrowheads="1"/>
                    </pic:cNvPicPr>
                  </pic:nvPicPr>
                  <pic:blipFill>
                    <a:blip r:embed="rId21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-401955</wp:posOffset>
            </wp:positionV>
            <wp:extent cx="8890" cy="8255"/>
            <wp:wrapNone/>
            <wp:docPr id="2127" name="Picture 2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7"/>
                    <pic:cNvPicPr>
                      <a:picLocks noChangeAspect="1" noChangeArrowheads="1"/>
                    </pic:cNvPicPr>
                  </pic:nvPicPr>
                  <pic:blipFill>
                    <a:blip r:embed="rId2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-401955</wp:posOffset>
            </wp:positionV>
            <wp:extent cx="8255" cy="8255"/>
            <wp:wrapNone/>
            <wp:docPr id="2128" name="Picture 2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8"/>
                    <pic:cNvPicPr>
                      <a:picLocks noChangeAspect="1" noChangeArrowheads="1"/>
                    </pic:cNvPicPr>
                  </pic:nvPicPr>
                  <pic:blipFill>
                    <a:blip r:embed="rId2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-401955</wp:posOffset>
            </wp:positionV>
            <wp:extent cx="8890" cy="8255"/>
            <wp:wrapNone/>
            <wp:docPr id="2129" name="Picture 2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9"/>
                    <pic:cNvPicPr>
                      <a:picLocks noChangeAspect="1" noChangeArrowheads="1"/>
                    </pic:cNvPicPr>
                  </pic:nvPicPr>
                  <pic:blipFill>
                    <a:blip r:embed="rId2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-401955</wp:posOffset>
            </wp:positionV>
            <wp:extent cx="8890" cy="8255"/>
            <wp:wrapNone/>
            <wp:docPr id="2130" name="Picture 2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0"/>
                    <pic:cNvPicPr>
                      <a:picLocks noChangeAspect="1" noChangeArrowheads="1"/>
                    </pic:cNvPicPr>
                  </pic:nvPicPr>
                  <pic:blipFill>
                    <a:blip r:embed="rId21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-401955</wp:posOffset>
            </wp:positionV>
            <wp:extent cx="8890" cy="8255"/>
            <wp:wrapNone/>
            <wp:docPr id="2131" name="Picture 2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1"/>
                    <pic:cNvPicPr>
                      <a:picLocks noChangeAspect="1" noChangeArrowheads="1"/>
                    </pic:cNvPicPr>
                  </pic:nvPicPr>
                  <pic:blipFill>
                    <a:blip r:embed="rId21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-401955</wp:posOffset>
            </wp:positionV>
            <wp:extent cx="8890" cy="8255"/>
            <wp:wrapNone/>
            <wp:docPr id="2132" name="Picture 2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2"/>
                    <pic:cNvPicPr>
                      <a:picLocks noChangeAspect="1" noChangeArrowheads="1"/>
                    </pic:cNvPicPr>
                  </pic:nvPicPr>
                  <pic:blipFill>
                    <a:blip r:embed="rId2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-401955</wp:posOffset>
            </wp:positionV>
            <wp:extent cx="8255" cy="8255"/>
            <wp:wrapNone/>
            <wp:docPr id="2133" name="Picture 2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3"/>
                    <pic:cNvPicPr>
                      <a:picLocks noChangeAspect="1" noChangeArrowheads="1"/>
                    </pic:cNvPicPr>
                  </pic:nvPicPr>
                  <pic:blipFill>
                    <a:blip r:embed="rId21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-401955</wp:posOffset>
            </wp:positionV>
            <wp:extent cx="8890" cy="8255"/>
            <wp:wrapNone/>
            <wp:docPr id="2134" name="Picture 2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4"/>
                    <pic:cNvPicPr>
                      <a:picLocks noChangeAspect="1" noChangeArrowheads="1"/>
                    </pic:cNvPicPr>
                  </pic:nvPicPr>
                  <pic:blipFill>
                    <a:blip r:embed="rId21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-401955</wp:posOffset>
            </wp:positionV>
            <wp:extent cx="8890" cy="8255"/>
            <wp:wrapNone/>
            <wp:docPr id="2135" name="Picture 2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5"/>
                    <pic:cNvPicPr>
                      <a:picLocks noChangeAspect="1" noChangeArrowheads="1"/>
                    </pic:cNvPicPr>
                  </pic:nvPicPr>
                  <pic:blipFill>
                    <a:blip r:embed="rId21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-401955</wp:posOffset>
            </wp:positionV>
            <wp:extent cx="8890" cy="8255"/>
            <wp:wrapNone/>
            <wp:docPr id="2136" name="Picture 2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6"/>
                    <pic:cNvPicPr>
                      <a:picLocks noChangeAspect="1" noChangeArrowheads="1"/>
                    </pic:cNvPicPr>
                  </pic:nvPicPr>
                  <pic:blipFill>
                    <a:blip r:embed="rId2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-401955</wp:posOffset>
            </wp:positionV>
            <wp:extent cx="8890" cy="8255"/>
            <wp:wrapNone/>
            <wp:docPr id="2137" name="Picture 2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7"/>
                    <pic:cNvPicPr>
                      <a:picLocks noChangeAspect="1" noChangeArrowheads="1"/>
                    </pic:cNvPicPr>
                  </pic:nvPicPr>
                  <pic:blipFill>
                    <a:blip r:embed="rId2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-401955</wp:posOffset>
            </wp:positionV>
            <wp:extent cx="8890" cy="8255"/>
            <wp:wrapNone/>
            <wp:docPr id="2138" name="Picture 2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8"/>
                    <pic:cNvPicPr>
                      <a:picLocks noChangeAspect="1" noChangeArrowheads="1"/>
                    </pic:cNvPicPr>
                  </pic:nvPicPr>
                  <pic:blipFill>
                    <a:blip r:embed="rId21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-401955</wp:posOffset>
            </wp:positionV>
            <wp:extent cx="8890" cy="8255"/>
            <wp:wrapNone/>
            <wp:docPr id="2139" name="Picture 2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9"/>
                    <pic:cNvPicPr>
                      <a:picLocks noChangeAspect="1" noChangeArrowheads="1"/>
                    </pic:cNvPicPr>
                  </pic:nvPicPr>
                  <pic:blipFill>
                    <a:blip r:embed="rId21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-401955</wp:posOffset>
            </wp:positionV>
            <wp:extent cx="8255" cy="8255"/>
            <wp:wrapNone/>
            <wp:docPr id="2140" name="Picture 2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0"/>
                    <pic:cNvPicPr>
                      <a:picLocks noChangeAspect="1" noChangeArrowheads="1"/>
                    </pic:cNvPicPr>
                  </pic:nvPicPr>
                  <pic:blipFill>
                    <a:blip r:embed="rId21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-401955</wp:posOffset>
            </wp:positionV>
            <wp:extent cx="8890" cy="8255"/>
            <wp:wrapNone/>
            <wp:docPr id="2141" name="Picture 2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1"/>
                    <pic:cNvPicPr>
                      <a:picLocks noChangeAspect="1" noChangeArrowheads="1"/>
                    </pic:cNvPicPr>
                  </pic:nvPicPr>
                  <pic:blipFill>
                    <a:blip r:embed="rId2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-401955</wp:posOffset>
            </wp:positionV>
            <wp:extent cx="8890" cy="8255"/>
            <wp:wrapNone/>
            <wp:docPr id="2142" name="Picture 2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2"/>
                    <pic:cNvPicPr>
                      <a:picLocks noChangeAspect="1" noChangeArrowheads="1"/>
                    </pic:cNvPicPr>
                  </pic:nvPicPr>
                  <pic:blipFill>
                    <a:blip r:embed="rId2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-401955</wp:posOffset>
            </wp:positionV>
            <wp:extent cx="8890" cy="8255"/>
            <wp:wrapNone/>
            <wp:docPr id="2143" name="Picture 2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3"/>
                    <pic:cNvPicPr>
                      <a:picLocks noChangeAspect="1" noChangeArrowheads="1"/>
                    </pic:cNvPicPr>
                  </pic:nvPicPr>
                  <pic:blipFill>
                    <a:blip r:embed="rId21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-401955</wp:posOffset>
            </wp:positionV>
            <wp:extent cx="8890" cy="8255"/>
            <wp:wrapNone/>
            <wp:docPr id="2144" name="Picture 2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4"/>
                    <pic:cNvPicPr>
                      <a:picLocks noChangeAspect="1" noChangeArrowheads="1"/>
                    </pic:cNvPicPr>
                  </pic:nvPicPr>
                  <pic:blipFill>
                    <a:blip r:embed="rId21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-401955</wp:posOffset>
            </wp:positionV>
            <wp:extent cx="8255" cy="8255"/>
            <wp:wrapNone/>
            <wp:docPr id="2145" name="Picture 2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5"/>
                    <pic:cNvPicPr>
                      <a:picLocks noChangeAspect="1" noChangeArrowheads="1"/>
                    </pic:cNvPicPr>
                  </pic:nvPicPr>
                  <pic:blipFill>
                    <a:blip r:embed="rId21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-401955</wp:posOffset>
            </wp:positionV>
            <wp:extent cx="8890" cy="8255"/>
            <wp:wrapNone/>
            <wp:docPr id="2146" name="Picture 2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6"/>
                    <pic:cNvPicPr>
                      <a:picLocks noChangeAspect="1" noChangeArrowheads="1"/>
                    </pic:cNvPicPr>
                  </pic:nvPicPr>
                  <pic:blipFill>
                    <a:blip r:embed="rId2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-401955</wp:posOffset>
            </wp:positionV>
            <wp:extent cx="8890" cy="8255"/>
            <wp:wrapNone/>
            <wp:docPr id="2147" name="Picture 2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7"/>
                    <pic:cNvPicPr>
                      <a:picLocks noChangeAspect="1" noChangeArrowheads="1"/>
                    </pic:cNvPicPr>
                  </pic:nvPicPr>
                  <pic:blipFill>
                    <a:blip r:embed="rId2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-401955</wp:posOffset>
            </wp:positionV>
            <wp:extent cx="8890" cy="8255"/>
            <wp:wrapNone/>
            <wp:docPr id="2148" name="Picture 2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8"/>
                    <pic:cNvPicPr>
                      <a:picLocks noChangeAspect="1" noChangeArrowheads="1"/>
                    </pic:cNvPicPr>
                  </pic:nvPicPr>
                  <pic:blipFill>
                    <a:blip r:embed="rId21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-401955</wp:posOffset>
            </wp:positionV>
            <wp:extent cx="8890" cy="8255"/>
            <wp:wrapNone/>
            <wp:docPr id="2149" name="Picture 2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9"/>
                    <pic:cNvPicPr>
                      <a:picLocks noChangeAspect="1" noChangeArrowheads="1"/>
                    </pic:cNvPicPr>
                  </pic:nvPicPr>
                  <pic:blipFill>
                    <a:blip r:embed="rId21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-401955</wp:posOffset>
            </wp:positionV>
            <wp:extent cx="8255" cy="8255"/>
            <wp:wrapNone/>
            <wp:docPr id="2150" name="Picture 2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0"/>
                    <pic:cNvPicPr>
                      <a:picLocks noChangeAspect="1" noChangeArrowheads="1"/>
                    </pic:cNvPicPr>
                  </pic:nvPicPr>
                  <pic:blipFill>
                    <a:blip r:embed="rId21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-401955</wp:posOffset>
            </wp:positionV>
            <wp:extent cx="8890" cy="8255"/>
            <wp:wrapNone/>
            <wp:docPr id="2151" name="Picture 2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1"/>
                    <pic:cNvPicPr>
                      <a:picLocks noChangeAspect="1" noChangeArrowheads="1"/>
                    </pic:cNvPicPr>
                  </pic:nvPicPr>
                  <pic:blipFill>
                    <a:blip r:embed="rId2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-401955</wp:posOffset>
            </wp:positionV>
            <wp:extent cx="8255" cy="8255"/>
            <wp:wrapNone/>
            <wp:docPr id="2152" name="Picture 2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2"/>
                    <pic:cNvPicPr>
                      <a:picLocks noChangeAspect="1" noChangeArrowheads="1"/>
                    </pic:cNvPicPr>
                  </pic:nvPicPr>
                  <pic:blipFill>
                    <a:blip r:embed="rId21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-401955</wp:posOffset>
            </wp:positionV>
            <wp:extent cx="8255" cy="8255"/>
            <wp:wrapNone/>
            <wp:docPr id="2153" name="Picture 2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3"/>
                    <pic:cNvPicPr>
                      <a:picLocks noChangeAspect="1" noChangeArrowheads="1"/>
                    </pic:cNvPicPr>
                  </pic:nvPicPr>
                  <pic:blipFill>
                    <a:blip r:embed="rId21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-401955</wp:posOffset>
            </wp:positionV>
            <wp:extent cx="8890" cy="8255"/>
            <wp:wrapNone/>
            <wp:docPr id="2154" name="Picture 2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4"/>
                    <pic:cNvPicPr>
                      <a:picLocks noChangeAspect="1" noChangeArrowheads="1"/>
                    </pic:cNvPicPr>
                  </pic:nvPicPr>
                  <pic:blipFill>
                    <a:blip r:embed="rId21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-401955</wp:posOffset>
            </wp:positionV>
            <wp:extent cx="8890" cy="8255"/>
            <wp:wrapNone/>
            <wp:docPr id="2155" name="Picture 2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5"/>
                    <pic:cNvPicPr>
                      <a:picLocks noChangeAspect="1" noChangeArrowheads="1"/>
                    </pic:cNvPicPr>
                  </pic:nvPicPr>
                  <pic:blipFill>
                    <a:blip r:embed="rId21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-401955</wp:posOffset>
            </wp:positionV>
            <wp:extent cx="8255" cy="8255"/>
            <wp:wrapNone/>
            <wp:docPr id="2156" name="Picture 2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6"/>
                    <pic:cNvPicPr>
                      <a:picLocks noChangeAspect="1" noChangeArrowheads="1"/>
                    </pic:cNvPicPr>
                  </pic:nvPicPr>
                  <pic:blipFill>
                    <a:blip r:embed="rId21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-401955</wp:posOffset>
            </wp:positionV>
            <wp:extent cx="8255" cy="8255"/>
            <wp:wrapNone/>
            <wp:docPr id="2157" name="Picture 2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7"/>
                    <pic:cNvPicPr>
                      <a:picLocks noChangeAspect="1" noChangeArrowheads="1"/>
                    </pic:cNvPicPr>
                  </pic:nvPicPr>
                  <pic:blipFill>
                    <a:blip r:embed="rId21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-401955</wp:posOffset>
            </wp:positionV>
            <wp:extent cx="8255" cy="8255"/>
            <wp:wrapNone/>
            <wp:docPr id="2158" name="Picture 2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8"/>
                    <pic:cNvPicPr>
                      <a:picLocks noChangeAspect="1" noChangeArrowheads="1"/>
                    </pic:cNvPicPr>
                  </pic:nvPicPr>
                  <pic:blipFill>
                    <a:blip r:embed="rId21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-401955</wp:posOffset>
            </wp:positionV>
            <wp:extent cx="8890" cy="8255"/>
            <wp:wrapNone/>
            <wp:docPr id="2159" name="Picture 2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9"/>
                    <pic:cNvPicPr>
                      <a:picLocks noChangeAspect="1" noChangeArrowheads="1"/>
                    </pic:cNvPicPr>
                  </pic:nvPicPr>
                  <pic:blipFill>
                    <a:blip r:embed="rId21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-401955</wp:posOffset>
            </wp:positionV>
            <wp:extent cx="8890" cy="8255"/>
            <wp:wrapNone/>
            <wp:docPr id="2160" name="Picture 2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0"/>
                    <pic:cNvPicPr>
                      <a:picLocks noChangeAspect="1" noChangeArrowheads="1"/>
                    </pic:cNvPicPr>
                  </pic:nvPicPr>
                  <pic:blipFill>
                    <a:blip r:embed="rId21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-401955</wp:posOffset>
            </wp:positionV>
            <wp:extent cx="8255" cy="8255"/>
            <wp:wrapNone/>
            <wp:docPr id="2161" name="Picture 2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1"/>
                    <pic:cNvPicPr>
                      <a:picLocks noChangeAspect="1" noChangeArrowheads="1"/>
                    </pic:cNvPicPr>
                  </pic:nvPicPr>
                  <pic:blipFill>
                    <a:blip r:embed="rId21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-401955</wp:posOffset>
            </wp:positionV>
            <wp:extent cx="8255" cy="8255"/>
            <wp:wrapNone/>
            <wp:docPr id="2162" name="Picture 2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2"/>
                    <pic:cNvPicPr>
                      <a:picLocks noChangeAspect="1" noChangeArrowheads="1"/>
                    </pic:cNvPicPr>
                  </pic:nvPicPr>
                  <pic:blipFill>
                    <a:blip r:embed="rId21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-401955</wp:posOffset>
            </wp:positionV>
            <wp:extent cx="8255" cy="8255"/>
            <wp:wrapNone/>
            <wp:docPr id="2163" name="Picture 2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3"/>
                    <pic:cNvPicPr>
                      <a:picLocks noChangeAspect="1" noChangeArrowheads="1"/>
                    </pic:cNvPicPr>
                  </pic:nvPicPr>
                  <pic:blipFill>
                    <a:blip r:embed="rId21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-401955</wp:posOffset>
            </wp:positionV>
            <wp:extent cx="8890" cy="8255"/>
            <wp:wrapNone/>
            <wp:docPr id="2164" name="Picture 2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4"/>
                    <pic:cNvPicPr>
                      <a:picLocks noChangeAspect="1" noChangeArrowheads="1"/>
                    </pic:cNvPicPr>
                  </pic:nvPicPr>
                  <pic:blipFill>
                    <a:blip r:embed="rId2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-401955</wp:posOffset>
            </wp:positionV>
            <wp:extent cx="8890" cy="8255"/>
            <wp:wrapNone/>
            <wp:docPr id="2165" name="Picture 2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5"/>
                    <pic:cNvPicPr>
                      <a:picLocks noChangeAspect="1" noChangeArrowheads="1"/>
                    </pic:cNvPicPr>
                  </pic:nvPicPr>
                  <pic:blipFill>
                    <a:blip r:embed="rId21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-401955</wp:posOffset>
            </wp:positionV>
            <wp:extent cx="8255" cy="8255"/>
            <wp:wrapNone/>
            <wp:docPr id="2166" name="Picture 2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6"/>
                    <pic:cNvPicPr>
                      <a:picLocks noChangeAspect="1" noChangeArrowheads="1"/>
                    </pic:cNvPicPr>
                  </pic:nvPicPr>
                  <pic:blipFill>
                    <a:blip r:embed="rId21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-401955</wp:posOffset>
            </wp:positionV>
            <wp:extent cx="8255" cy="8255"/>
            <wp:wrapNone/>
            <wp:docPr id="2167" name="Picture 2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7"/>
                    <pic:cNvPicPr>
                      <a:picLocks noChangeAspect="1" noChangeArrowheads="1"/>
                    </pic:cNvPicPr>
                  </pic:nvPicPr>
                  <pic:blipFill>
                    <a:blip r:embed="rId21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-401955</wp:posOffset>
            </wp:positionV>
            <wp:extent cx="8255" cy="8255"/>
            <wp:wrapNone/>
            <wp:docPr id="2168" name="Picture 2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8"/>
                    <pic:cNvPicPr>
                      <a:picLocks noChangeAspect="1" noChangeArrowheads="1"/>
                    </pic:cNvPicPr>
                  </pic:nvPicPr>
                  <pic:blipFill>
                    <a:blip r:embed="rId21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-401955</wp:posOffset>
            </wp:positionV>
            <wp:extent cx="8890" cy="8255"/>
            <wp:wrapNone/>
            <wp:docPr id="2169" name="Picture 2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9"/>
                    <pic:cNvPicPr>
                      <a:picLocks noChangeAspect="1" noChangeArrowheads="1"/>
                    </pic:cNvPicPr>
                  </pic:nvPicPr>
                  <pic:blipFill>
                    <a:blip r:embed="rId21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-401955</wp:posOffset>
            </wp:positionV>
            <wp:extent cx="8890" cy="8255"/>
            <wp:wrapNone/>
            <wp:docPr id="2170" name="Picture 2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0"/>
                    <pic:cNvPicPr>
                      <a:picLocks noChangeAspect="1" noChangeArrowheads="1"/>
                    </pic:cNvPicPr>
                  </pic:nvPicPr>
                  <pic:blipFill>
                    <a:blip r:embed="rId21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-401955</wp:posOffset>
            </wp:positionV>
            <wp:extent cx="8255" cy="8255"/>
            <wp:wrapNone/>
            <wp:docPr id="2171" name="Picture 2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1"/>
                    <pic:cNvPicPr>
                      <a:picLocks noChangeAspect="1" noChangeArrowheads="1"/>
                    </pic:cNvPicPr>
                  </pic:nvPicPr>
                  <pic:blipFill>
                    <a:blip r:embed="rId21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-401955</wp:posOffset>
            </wp:positionV>
            <wp:extent cx="8255" cy="8255"/>
            <wp:wrapNone/>
            <wp:docPr id="2172" name="Picture 2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2"/>
                    <pic:cNvPicPr>
                      <a:picLocks noChangeAspect="1" noChangeArrowheads="1"/>
                    </pic:cNvPicPr>
                  </pic:nvPicPr>
                  <pic:blipFill>
                    <a:blip r:embed="rId21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-401955</wp:posOffset>
            </wp:positionV>
            <wp:extent cx="8255" cy="8255"/>
            <wp:wrapNone/>
            <wp:docPr id="2173" name="Picture 2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3"/>
                    <pic:cNvPicPr>
                      <a:picLocks noChangeAspect="1" noChangeArrowheads="1"/>
                    </pic:cNvPicPr>
                  </pic:nvPicPr>
                  <pic:blipFill>
                    <a:blip r:embed="rId21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-401955</wp:posOffset>
            </wp:positionV>
            <wp:extent cx="8890" cy="8255"/>
            <wp:wrapNone/>
            <wp:docPr id="2174" name="Picture 2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4"/>
                    <pic:cNvPicPr>
                      <a:picLocks noChangeAspect="1" noChangeArrowheads="1"/>
                    </pic:cNvPicPr>
                  </pic:nvPicPr>
                  <pic:blipFill>
                    <a:blip r:embed="rId2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-401955</wp:posOffset>
            </wp:positionV>
            <wp:extent cx="8890" cy="8255"/>
            <wp:wrapNone/>
            <wp:docPr id="2175" name="Picture 2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5"/>
                    <pic:cNvPicPr>
                      <a:picLocks noChangeAspect="1" noChangeArrowheads="1"/>
                    </pic:cNvPicPr>
                  </pic:nvPicPr>
                  <pic:blipFill>
                    <a:blip r:embed="rId21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-401955</wp:posOffset>
            </wp:positionV>
            <wp:extent cx="8255" cy="8255"/>
            <wp:wrapNone/>
            <wp:docPr id="2176" name="Picture 2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6"/>
                    <pic:cNvPicPr>
                      <a:picLocks noChangeAspect="1" noChangeArrowheads="1"/>
                    </pic:cNvPicPr>
                  </pic:nvPicPr>
                  <pic:blipFill>
                    <a:blip r:embed="rId21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-401955</wp:posOffset>
            </wp:positionV>
            <wp:extent cx="8255" cy="8255"/>
            <wp:wrapNone/>
            <wp:docPr id="2177" name="Picture 2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7"/>
                    <pic:cNvPicPr>
                      <a:picLocks noChangeAspect="1" noChangeArrowheads="1"/>
                    </pic:cNvPicPr>
                  </pic:nvPicPr>
                  <pic:blipFill>
                    <a:blip r:embed="rId21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-401955</wp:posOffset>
            </wp:positionV>
            <wp:extent cx="8255" cy="8255"/>
            <wp:wrapNone/>
            <wp:docPr id="2178" name="Picture 2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8"/>
                    <pic:cNvPicPr>
                      <a:picLocks noChangeAspect="1" noChangeArrowheads="1"/>
                    </pic:cNvPicPr>
                  </pic:nvPicPr>
                  <pic:blipFill>
                    <a:blip r:embed="rId21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-401955</wp:posOffset>
            </wp:positionV>
            <wp:extent cx="8890" cy="8255"/>
            <wp:wrapNone/>
            <wp:docPr id="2179" name="Picture 2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9"/>
                    <pic:cNvPicPr>
                      <a:picLocks noChangeAspect="1" noChangeArrowheads="1"/>
                    </pic:cNvPicPr>
                  </pic:nvPicPr>
                  <pic:blipFill>
                    <a:blip r:embed="rId21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-401955</wp:posOffset>
            </wp:positionV>
            <wp:extent cx="8890" cy="8255"/>
            <wp:wrapNone/>
            <wp:docPr id="2180" name="Picture 2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0"/>
                    <pic:cNvPicPr>
                      <a:picLocks noChangeAspect="1" noChangeArrowheads="1"/>
                    </pic:cNvPicPr>
                  </pic:nvPicPr>
                  <pic:blipFill>
                    <a:blip r:embed="rId21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-401955</wp:posOffset>
            </wp:positionV>
            <wp:extent cx="8255" cy="8255"/>
            <wp:wrapNone/>
            <wp:docPr id="2181" name="Picture 2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1"/>
                    <pic:cNvPicPr>
                      <a:picLocks noChangeAspect="1" noChangeArrowheads="1"/>
                    </pic:cNvPicPr>
                  </pic:nvPicPr>
                  <pic:blipFill>
                    <a:blip r:embed="rId21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-401955</wp:posOffset>
            </wp:positionV>
            <wp:extent cx="8255" cy="8255"/>
            <wp:wrapNone/>
            <wp:docPr id="2182" name="Picture 2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2"/>
                    <pic:cNvPicPr>
                      <a:picLocks noChangeAspect="1" noChangeArrowheads="1"/>
                    </pic:cNvPicPr>
                  </pic:nvPicPr>
                  <pic:blipFill>
                    <a:blip r:embed="rId21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-401955</wp:posOffset>
            </wp:positionV>
            <wp:extent cx="8255" cy="8255"/>
            <wp:wrapNone/>
            <wp:docPr id="2183" name="Picture 2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3"/>
                    <pic:cNvPicPr>
                      <a:picLocks noChangeAspect="1" noChangeArrowheads="1"/>
                    </pic:cNvPicPr>
                  </pic:nvPicPr>
                  <pic:blipFill>
                    <a:blip r:embed="rId21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-401955</wp:posOffset>
            </wp:positionV>
            <wp:extent cx="8890" cy="8255"/>
            <wp:wrapNone/>
            <wp:docPr id="2184" name="Picture 2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4"/>
                    <pic:cNvPicPr>
                      <a:picLocks noChangeAspect="1" noChangeArrowheads="1"/>
                    </pic:cNvPicPr>
                  </pic:nvPicPr>
                  <pic:blipFill>
                    <a:blip r:embed="rId21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-401955</wp:posOffset>
            </wp:positionV>
            <wp:extent cx="8890" cy="8255"/>
            <wp:wrapNone/>
            <wp:docPr id="2185" name="Picture 2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5"/>
                    <pic:cNvPicPr>
                      <a:picLocks noChangeAspect="1" noChangeArrowheads="1"/>
                    </pic:cNvPicPr>
                  </pic:nvPicPr>
                  <pic:blipFill>
                    <a:blip r:embed="rId21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-401955</wp:posOffset>
            </wp:positionV>
            <wp:extent cx="8255" cy="8255"/>
            <wp:wrapNone/>
            <wp:docPr id="2186" name="Picture 2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6"/>
                    <pic:cNvPicPr>
                      <a:picLocks noChangeAspect="1" noChangeArrowheads="1"/>
                    </pic:cNvPicPr>
                  </pic:nvPicPr>
                  <pic:blipFill>
                    <a:blip r:embed="rId21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-401955</wp:posOffset>
            </wp:positionV>
            <wp:extent cx="8255" cy="8255"/>
            <wp:wrapNone/>
            <wp:docPr id="2187" name="Picture 2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7"/>
                    <pic:cNvPicPr>
                      <a:picLocks noChangeAspect="1" noChangeArrowheads="1"/>
                    </pic:cNvPicPr>
                  </pic:nvPicPr>
                  <pic:blipFill>
                    <a:blip r:embed="rId21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-401955</wp:posOffset>
            </wp:positionV>
            <wp:extent cx="8890" cy="8255"/>
            <wp:wrapNone/>
            <wp:docPr id="2188" name="Picture 2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8"/>
                    <pic:cNvPicPr>
                      <a:picLocks noChangeAspect="1" noChangeArrowheads="1"/>
                    </pic:cNvPicPr>
                  </pic:nvPicPr>
                  <pic:blipFill>
                    <a:blip r:embed="rId21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-401955</wp:posOffset>
            </wp:positionV>
            <wp:extent cx="8890" cy="8255"/>
            <wp:wrapNone/>
            <wp:docPr id="2189" name="Picture 2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9"/>
                    <pic:cNvPicPr>
                      <a:picLocks noChangeAspect="1" noChangeArrowheads="1"/>
                    </pic:cNvPicPr>
                  </pic:nvPicPr>
                  <pic:blipFill>
                    <a:blip r:embed="rId2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-401955</wp:posOffset>
            </wp:positionV>
            <wp:extent cx="8255" cy="8255"/>
            <wp:wrapNone/>
            <wp:docPr id="2190" name="Picture 2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0"/>
                    <pic:cNvPicPr>
                      <a:picLocks noChangeAspect="1" noChangeArrowheads="1"/>
                    </pic:cNvPicPr>
                  </pic:nvPicPr>
                  <pic:blipFill>
                    <a:blip r:embed="rId21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-401955</wp:posOffset>
            </wp:positionV>
            <wp:extent cx="8255" cy="8255"/>
            <wp:wrapNone/>
            <wp:docPr id="2191" name="Picture 2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1"/>
                    <pic:cNvPicPr>
                      <a:picLocks noChangeAspect="1" noChangeArrowheads="1"/>
                    </pic:cNvPicPr>
                  </pic:nvPicPr>
                  <pic:blipFill>
                    <a:blip r:embed="rId21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-401955</wp:posOffset>
            </wp:positionV>
            <wp:extent cx="8255" cy="8255"/>
            <wp:wrapNone/>
            <wp:docPr id="2192" name="Picture 2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2"/>
                    <pic:cNvPicPr>
                      <a:picLocks noChangeAspect="1" noChangeArrowheads="1"/>
                    </pic:cNvPicPr>
                  </pic:nvPicPr>
                  <pic:blipFill>
                    <a:blip r:embed="rId21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-401955</wp:posOffset>
            </wp:positionV>
            <wp:extent cx="8890" cy="8255"/>
            <wp:wrapNone/>
            <wp:docPr id="2193" name="Picture 2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3"/>
                    <pic:cNvPicPr>
                      <a:picLocks noChangeAspect="1" noChangeArrowheads="1"/>
                    </pic:cNvPicPr>
                  </pic:nvPicPr>
                  <pic:blipFill>
                    <a:blip r:embed="rId22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-401955</wp:posOffset>
            </wp:positionV>
            <wp:extent cx="8890" cy="8255"/>
            <wp:wrapNone/>
            <wp:docPr id="2194" name="Picture 2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4"/>
                    <pic:cNvPicPr>
                      <a:picLocks noChangeAspect="1" noChangeArrowheads="1"/>
                    </pic:cNvPicPr>
                  </pic:nvPicPr>
                  <pic:blipFill>
                    <a:blip r:embed="rId22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-401955</wp:posOffset>
            </wp:positionV>
            <wp:extent cx="8255" cy="8255"/>
            <wp:wrapNone/>
            <wp:docPr id="2195" name="Picture 2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5"/>
                    <pic:cNvPicPr>
                      <a:picLocks noChangeAspect="1" noChangeArrowheads="1"/>
                    </pic:cNvPicPr>
                  </pic:nvPicPr>
                  <pic:blipFill>
                    <a:blip r:embed="rId22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-401955</wp:posOffset>
            </wp:positionV>
            <wp:extent cx="8255" cy="8255"/>
            <wp:wrapNone/>
            <wp:docPr id="2196" name="Picture 2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6"/>
                    <pic:cNvPicPr>
                      <a:picLocks noChangeAspect="1" noChangeArrowheads="1"/>
                    </pic:cNvPicPr>
                  </pic:nvPicPr>
                  <pic:blipFill>
                    <a:blip r:embed="rId22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-401955</wp:posOffset>
            </wp:positionV>
            <wp:extent cx="8255" cy="8255"/>
            <wp:wrapNone/>
            <wp:docPr id="2197" name="Picture 2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7"/>
                    <pic:cNvPicPr>
                      <a:picLocks noChangeAspect="1" noChangeArrowheads="1"/>
                    </pic:cNvPicPr>
                  </pic:nvPicPr>
                  <pic:blipFill>
                    <a:blip r:embed="rId22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-401955</wp:posOffset>
            </wp:positionV>
            <wp:extent cx="8890" cy="8255"/>
            <wp:wrapNone/>
            <wp:docPr id="2198" name="Picture 2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8"/>
                    <pic:cNvPicPr>
                      <a:picLocks noChangeAspect="1" noChangeArrowheads="1"/>
                    </pic:cNvPicPr>
                  </pic:nvPicPr>
                  <pic:blipFill>
                    <a:blip r:embed="rId22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-401955</wp:posOffset>
            </wp:positionV>
            <wp:extent cx="8890" cy="8255"/>
            <wp:wrapNone/>
            <wp:docPr id="2199" name="Picture 2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9"/>
                    <pic:cNvPicPr>
                      <a:picLocks noChangeAspect="1" noChangeArrowheads="1"/>
                    </pic:cNvPicPr>
                  </pic:nvPicPr>
                  <pic:blipFill>
                    <a:blip r:embed="rId22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-401955</wp:posOffset>
            </wp:positionV>
            <wp:extent cx="8255" cy="8255"/>
            <wp:wrapNone/>
            <wp:docPr id="2200" name="Picture 2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0"/>
                    <pic:cNvPicPr>
                      <a:picLocks noChangeAspect="1" noChangeArrowheads="1"/>
                    </pic:cNvPicPr>
                  </pic:nvPicPr>
                  <pic:blipFill>
                    <a:blip r:embed="rId22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-401955</wp:posOffset>
            </wp:positionV>
            <wp:extent cx="8255" cy="8255"/>
            <wp:wrapNone/>
            <wp:docPr id="2201" name="Picture 2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1"/>
                    <pic:cNvPicPr>
                      <a:picLocks noChangeAspect="1" noChangeArrowheads="1"/>
                    </pic:cNvPicPr>
                  </pic:nvPicPr>
                  <pic:blipFill>
                    <a:blip r:embed="rId22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-401955</wp:posOffset>
            </wp:positionV>
            <wp:extent cx="8255" cy="8255"/>
            <wp:wrapNone/>
            <wp:docPr id="2202" name="Picture 2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2"/>
                    <pic:cNvPicPr>
                      <a:picLocks noChangeAspect="1" noChangeArrowheads="1"/>
                    </pic:cNvPicPr>
                  </pic:nvPicPr>
                  <pic:blipFill>
                    <a:blip r:embed="rId22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-401955</wp:posOffset>
            </wp:positionV>
            <wp:extent cx="8890" cy="8255"/>
            <wp:wrapNone/>
            <wp:docPr id="2203" name="Picture 2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3"/>
                    <pic:cNvPicPr>
                      <a:picLocks noChangeAspect="1" noChangeArrowheads="1"/>
                    </pic:cNvPicPr>
                  </pic:nvPicPr>
                  <pic:blipFill>
                    <a:blip r:embed="rId22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-401955</wp:posOffset>
            </wp:positionV>
            <wp:extent cx="8890" cy="8255"/>
            <wp:wrapNone/>
            <wp:docPr id="2204" name="Picture 2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4"/>
                    <pic:cNvPicPr>
                      <a:picLocks noChangeAspect="1" noChangeArrowheads="1"/>
                    </pic:cNvPicPr>
                  </pic:nvPicPr>
                  <pic:blipFill>
                    <a:blip r:embed="rId22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-401955</wp:posOffset>
            </wp:positionV>
            <wp:extent cx="8255" cy="8255"/>
            <wp:wrapNone/>
            <wp:docPr id="2205" name="Picture 2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5"/>
                    <pic:cNvPicPr>
                      <a:picLocks noChangeAspect="1" noChangeArrowheads="1"/>
                    </pic:cNvPicPr>
                  </pic:nvPicPr>
                  <pic:blipFill>
                    <a:blip r:embed="rId22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-401955</wp:posOffset>
            </wp:positionV>
            <wp:extent cx="8255" cy="8255"/>
            <wp:wrapNone/>
            <wp:docPr id="2206" name="Picture 2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6"/>
                    <pic:cNvPicPr>
                      <a:picLocks noChangeAspect="1" noChangeArrowheads="1"/>
                    </pic:cNvPicPr>
                  </pic:nvPicPr>
                  <pic:blipFill>
                    <a:blip r:embed="rId22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-401955</wp:posOffset>
            </wp:positionV>
            <wp:extent cx="8255" cy="8255"/>
            <wp:wrapNone/>
            <wp:docPr id="2207" name="Picture 2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7"/>
                    <pic:cNvPicPr>
                      <a:picLocks noChangeAspect="1" noChangeArrowheads="1"/>
                    </pic:cNvPicPr>
                  </pic:nvPicPr>
                  <pic:blipFill>
                    <a:blip r:embed="rId22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-401955</wp:posOffset>
            </wp:positionV>
            <wp:extent cx="8890" cy="8255"/>
            <wp:wrapNone/>
            <wp:docPr id="2208" name="Picture 2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8"/>
                    <pic:cNvPicPr>
                      <a:picLocks noChangeAspect="1" noChangeArrowheads="1"/>
                    </pic:cNvPicPr>
                  </pic:nvPicPr>
                  <pic:blipFill>
                    <a:blip r:embed="rId22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-401955</wp:posOffset>
            </wp:positionV>
            <wp:extent cx="8890" cy="8255"/>
            <wp:wrapNone/>
            <wp:docPr id="2209" name="Picture 2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9"/>
                    <pic:cNvPicPr>
                      <a:picLocks noChangeAspect="1" noChangeArrowheads="1"/>
                    </pic:cNvPicPr>
                  </pic:nvPicPr>
                  <pic:blipFill>
                    <a:blip r:embed="rId22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-401955</wp:posOffset>
            </wp:positionV>
            <wp:extent cx="8255" cy="8255"/>
            <wp:wrapNone/>
            <wp:docPr id="2210" name="Picture 2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0"/>
                    <pic:cNvPicPr>
                      <a:picLocks noChangeAspect="1" noChangeArrowheads="1"/>
                    </pic:cNvPicPr>
                  </pic:nvPicPr>
                  <pic:blipFill>
                    <a:blip r:embed="rId22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-401955</wp:posOffset>
            </wp:positionV>
            <wp:extent cx="8255" cy="8255"/>
            <wp:wrapNone/>
            <wp:docPr id="2211" name="Picture 2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1"/>
                    <pic:cNvPicPr>
                      <a:picLocks noChangeAspect="1" noChangeArrowheads="1"/>
                    </pic:cNvPicPr>
                  </pic:nvPicPr>
                  <pic:blipFill>
                    <a:blip r:embed="rId22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-401955</wp:posOffset>
            </wp:positionV>
            <wp:extent cx="8255" cy="8255"/>
            <wp:wrapNone/>
            <wp:docPr id="2212" name="Picture 2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2"/>
                    <pic:cNvPicPr>
                      <a:picLocks noChangeAspect="1" noChangeArrowheads="1"/>
                    </pic:cNvPicPr>
                  </pic:nvPicPr>
                  <pic:blipFill>
                    <a:blip r:embed="rId22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-401955</wp:posOffset>
            </wp:positionV>
            <wp:extent cx="8890" cy="8255"/>
            <wp:wrapNone/>
            <wp:docPr id="2213" name="Picture 2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3"/>
                    <pic:cNvPicPr>
                      <a:picLocks noChangeAspect="1" noChangeArrowheads="1"/>
                    </pic:cNvPicPr>
                  </pic:nvPicPr>
                  <pic:blipFill>
                    <a:blip r:embed="rId22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-401955</wp:posOffset>
            </wp:positionV>
            <wp:extent cx="8890" cy="8255"/>
            <wp:wrapNone/>
            <wp:docPr id="2214" name="Picture 2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4"/>
                    <pic:cNvPicPr>
                      <a:picLocks noChangeAspect="1" noChangeArrowheads="1"/>
                    </pic:cNvPicPr>
                  </pic:nvPicPr>
                  <pic:blipFill>
                    <a:blip r:embed="rId22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-401955</wp:posOffset>
            </wp:positionV>
            <wp:extent cx="8255" cy="8255"/>
            <wp:wrapNone/>
            <wp:docPr id="2215" name="Picture 2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5"/>
                    <pic:cNvPicPr>
                      <a:picLocks noChangeAspect="1" noChangeArrowheads="1"/>
                    </pic:cNvPicPr>
                  </pic:nvPicPr>
                  <pic:blipFill>
                    <a:blip r:embed="rId2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-401955</wp:posOffset>
            </wp:positionV>
            <wp:extent cx="8255" cy="8255"/>
            <wp:wrapNone/>
            <wp:docPr id="2216" name="Picture 2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6"/>
                    <pic:cNvPicPr>
                      <a:picLocks noChangeAspect="1" noChangeArrowheads="1"/>
                    </pic:cNvPicPr>
                  </pic:nvPicPr>
                  <pic:blipFill>
                    <a:blip r:embed="rId22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-401955</wp:posOffset>
            </wp:positionV>
            <wp:extent cx="8255" cy="8255"/>
            <wp:wrapNone/>
            <wp:docPr id="2217" name="Picture 2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7"/>
                    <pic:cNvPicPr>
                      <a:picLocks noChangeAspect="1" noChangeArrowheads="1"/>
                    </pic:cNvPicPr>
                  </pic:nvPicPr>
                  <pic:blipFill>
                    <a:blip r:embed="rId22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-401955</wp:posOffset>
            </wp:positionV>
            <wp:extent cx="8890" cy="8255"/>
            <wp:wrapNone/>
            <wp:docPr id="2218" name="Picture 2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8"/>
                    <pic:cNvPicPr>
                      <a:picLocks noChangeAspect="1" noChangeArrowheads="1"/>
                    </pic:cNvPicPr>
                  </pic:nvPicPr>
                  <pic:blipFill>
                    <a:blip r:embed="rId22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-401955</wp:posOffset>
            </wp:positionV>
            <wp:extent cx="8890" cy="8255"/>
            <wp:wrapNone/>
            <wp:docPr id="2219" name="Picture 2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9"/>
                    <pic:cNvPicPr>
                      <a:picLocks noChangeAspect="1" noChangeArrowheads="1"/>
                    </pic:cNvPicPr>
                  </pic:nvPicPr>
                  <pic:blipFill>
                    <a:blip r:embed="rId22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-401955</wp:posOffset>
            </wp:positionV>
            <wp:extent cx="8255" cy="8255"/>
            <wp:wrapNone/>
            <wp:docPr id="2220" name="Picture 2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0"/>
                    <pic:cNvPicPr>
                      <a:picLocks noChangeAspect="1" noChangeArrowheads="1"/>
                    </pic:cNvPicPr>
                  </pic:nvPicPr>
                  <pic:blipFill>
                    <a:blip r:embed="rId2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-401955</wp:posOffset>
            </wp:positionV>
            <wp:extent cx="8255" cy="8255"/>
            <wp:wrapNone/>
            <wp:docPr id="2221" name="Picture 2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1"/>
                    <pic:cNvPicPr>
                      <a:picLocks noChangeAspect="1" noChangeArrowheads="1"/>
                    </pic:cNvPicPr>
                  </pic:nvPicPr>
                  <pic:blipFill>
                    <a:blip r:embed="rId22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-401955</wp:posOffset>
            </wp:positionV>
            <wp:extent cx="8255" cy="8255"/>
            <wp:wrapNone/>
            <wp:docPr id="2222" name="Picture 2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2"/>
                    <pic:cNvPicPr>
                      <a:picLocks noChangeAspect="1" noChangeArrowheads="1"/>
                    </pic:cNvPicPr>
                  </pic:nvPicPr>
                  <pic:blipFill>
                    <a:blip r:embed="rId22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-401955</wp:posOffset>
            </wp:positionV>
            <wp:extent cx="8890" cy="8255"/>
            <wp:wrapNone/>
            <wp:docPr id="2223" name="Picture 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3"/>
                    <pic:cNvPicPr>
                      <a:picLocks noChangeAspect="1" noChangeArrowheads="1"/>
                    </pic:cNvPicPr>
                  </pic:nvPicPr>
                  <pic:blipFill>
                    <a:blip r:embed="rId22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-401955</wp:posOffset>
            </wp:positionV>
            <wp:extent cx="8890" cy="8255"/>
            <wp:wrapNone/>
            <wp:docPr id="2224" name="Picture 2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4"/>
                    <pic:cNvPicPr>
                      <a:picLocks noChangeAspect="1" noChangeArrowheads="1"/>
                    </pic:cNvPicPr>
                  </pic:nvPicPr>
                  <pic:blipFill>
                    <a:blip r:embed="rId22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-401955</wp:posOffset>
            </wp:positionV>
            <wp:extent cx="8255" cy="8255"/>
            <wp:wrapNone/>
            <wp:docPr id="2225" name="Picture 2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5"/>
                    <pic:cNvPicPr>
                      <a:picLocks noChangeAspect="1" noChangeArrowheads="1"/>
                    </pic:cNvPicPr>
                  </pic:nvPicPr>
                  <pic:blipFill>
                    <a:blip r:embed="rId2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-401955</wp:posOffset>
            </wp:positionV>
            <wp:extent cx="8255" cy="8255"/>
            <wp:wrapNone/>
            <wp:docPr id="2226" name="Picture 2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6"/>
                    <pic:cNvPicPr>
                      <a:picLocks noChangeAspect="1" noChangeArrowheads="1"/>
                    </pic:cNvPicPr>
                  </pic:nvPicPr>
                  <pic:blipFill>
                    <a:blip r:embed="rId22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-401955</wp:posOffset>
            </wp:positionV>
            <wp:extent cx="8890" cy="8255"/>
            <wp:wrapNone/>
            <wp:docPr id="2227" name="Picture 2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7"/>
                    <pic:cNvPicPr>
                      <a:picLocks noChangeAspect="1" noChangeArrowheads="1"/>
                    </pic:cNvPicPr>
                  </pic:nvPicPr>
                  <pic:blipFill>
                    <a:blip r:embed="rId22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-401955</wp:posOffset>
            </wp:positionV>
            <wp:extent cx="8890" cy="8255"/>
            <wp:wrapNone/>
            <wp:docPr id="2228" name="Picture 2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8"/>
                    <pic:cNvPicPr>
                      <a:picLocks noChangeAspect="1" noChangeArrowheads="1"/>
                    </pic:cNvPicPr>
                  </pic:nvPicPr>
                  <pic:blipFill>
                    <a:blip r:embed="rId22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-401955</wp:posOffset>
            </wp:positionV>
            <wp:extent cx="8255" cy="8255"/>
            <wp:wrapNone/>
            <wp:docPr id="2229" name="Picture 2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9"/>
                    <pic:cNvPicPr>
                      <a:picLocks noChangeAspect="1" noChangeArrowheads="1"/>
                    </pic:cNvPicPr>
                  </pic:nvPicPr>
                  <pic:blipFill>
                    <a:blip r:embed="rId2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-401955</wp:posOffset>
            </wp:positionV>
            <wp:extent cx="8255" cy="8255"/>
            <wp:wrapNone/>
            <wp:docPr id="2230" name="Picture 2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0"/>
                    <pic:cNvPicPr>
                      <a:picLocks noChangeAspect="1" noChangeArrowheads="1"/>
                    </pic:cNvPicPr>
                  </pic:nvPicPr>
                  <pic:blipFill>
                    <a:blip r:embed="rId22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-401955</wp:posOffset>
            </wp:positionV>
            <wp:extent cx="8255" cy="8255"/>
            <wp:wrapNone/>
            <wp:docPr id="2231" name="Picture 2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1"/>
                    <pic:cNvPicPr>
                      <a:picLocks noChangeAspect="1" noChangeArrowheads="1"/>
                    </pic:cNvPicPr>
                  </pic:nvPicPr>
                  <pic:blipFill>
                    <a:blip r:embed="rId22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-401955</wp:posOffset>
            </wp:positionV>
            <wp:extent cx="8890" cy="8255"/>
            <wp:wrapNone/>
            <wp:docPr id="2232" name="Picture 2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2"/>
                    <pic:cNvPicPr>
                      <a:picLocks noChangeAspect="1" noChangeArrowheads="1"/>
                    </pic:cNvPicPr>
                  </pic:nvPicPr>
                  <pic:blipFill>
                    <a:blip r:embed="rId22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-401955</wp:posOffset>
            </wp:positionV>
            <wp:extent cx="8890" cy="8255"/>
            <wp:wrapNone/>
            <wp:docPr id="2233" name="Picture 2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3"/>
                    <pic:cNvPicPr>
                      <a:picLocks noChangeAspect="1" noChangeArrowheads="1"/>
                    </pic:cNvPicPr>
                  </pic:nvPicPr>
                  <pic:blipFill>
                    <a:blip r:embed="rId22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-401955</wp:posOffset>
            </wp:positionV>
            <wp:extent cx="8255" cy="8255"/>
            <wp:wrapNone/>
            <wp:docPr id="2234" name="Picture 2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4"/>
                    <pic:cNvPicPr>
                      <a:picLocks noChangeAspect="1" noChangeArrowheads="1"/>
                    </pic:cNvPicPr>
                  </pic:nvPicPr>
                  <pic:blipFill>
                    <a:blip r:embed="rId2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-401955</wp:posOffset>
            </wp:positionV>
            <wp:extent cx="8255" cy="8255"/>
            <wp:wrapNone/>
            <wp:docPr id="2235" name="Picture 2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5"/>
                    <pic:cNvPicPr>
                      <a:picLocks noChangeAspect="1" noChangeArrowheads="1"/>
                    </pic:cNvPicPr>
                  </pic:nvPicPr>
                  <pic:blipFill>
                    <a:blip r:embed="rId2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-401955</wp:posOffset>
            </wp:positionV>
            <wp:extent cx="8255" cy="8255"/>
            <wp:wrapNone/>
            <wp:docPr id="2236" name="Picture 2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6"/>
                    <pic:cNvPicPr>
                      <a:picLocks noChangeAspect="1" noChangeArrowheads="1"/>
                    </pic:cNvPicPr>
                  </pic:nvPicPr>
                  <pic:blipFill>
                    <a:blip r:embed="rId22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-401955</wp:posOffset>
            </wp:positionV>
            <wp:extent cx="8890" cy="8255"/>
            <wp:wrapNone/>
            <wp:docPr id="2237" name="Picture 2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7"/>
                    <pic:cNvPicPr>
                      <a:picLocks noChangeAspect="1" noChangeArrowheads="1"/>
                    </pic:cNvPicPr>
                  </pic:nvPicPr>
                  <pic:blipFill>
                    <a:blip r:embed="rId22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-401955</wp:posOffset>
            </wp:positionV>
            <wp:extent cx="8890" cy="8255"/>
            <wp:wrapNone/>
            <wp:docPr id="2238" name="Picture 2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8"/>
                    <pic:cNvPicPr>
                      <a:picLocks noChangeAspect="1" noChangeArrowheads="1"/>
                    </pic:cNvPicPr>
                  </pic:nvPicPr>
                  <pic:blipFill>
                    <a:blip r:embed="rId22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-401955</wp:posOffset>
            </wp:positionV>
            <wp:extent cx="8255" cy="8255"/>
            <wp:wrapNone/>
            <wp:docPr id="2239" name="Picture 2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9"/>
                    <pic:cNvPicPr>
                      <a:picLocks noChangeAspect="1" noChangeArrowheads="1"/>
                    </pic:cNvPicPr>
                  </pic:nvPicPr>
                  <pic:blipFill>
                    <a:blip r:embed="rId2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-401955</wp:posOffset>
            </wp:positionV>
            <wp:extent cx="8255" cy="8255"/>
            <wp:wrapNone/>
            <wp:docPr id="2240" name="Picture 2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0"/>
                    <pic:cNvPicPr>
                      <a:picLocks noChangeAspect="1" noChangeArrowheads="1"/>
                    </pic:cNvPicPr>
                  </pic:nvPicPr>
                  <pic:blipFill>
                    <a:blip r:embed="rId22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-401955</wp:posOffset>
            </wp:positionV>
            <wp:extent cx="8255" cy="8255"/>
            <wp:wrapNone/>
            <wp:docPr id="2241" name="Picture 2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1"/>
                    <pic:cNvPicPr>
                      <a:picLocks noChangeAspect="1" noChangeArrowheads="1"/>
                    </pic:cNvPicPr>
                  </pic:nvPicPr>
                  <pic:blipFill>
                    <a:blip r:embed="rId22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-401955</wp:posOffset>
            </wp:positionV>
            <wp:extent cx="8890" cy="8255"/>
            <wp:wrapNone/>
            <wp:docPr id="2242" name="Picture 2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2"/>
                    <pic:cNvPicPr>
                      <a:picLocks noChangeAspect="1" noChangeArrowheads="1"/>
                    </pic:cNvPicPr>
                  </pic:nvPicPr>
                  <pic:blipFill>
                    <a:blip r:embed="rId22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-401955</wp:posOffset>
            </wp:positionV>
            <wp:extent cx="8890" cy="8255"/>
            <wp:wrapNone/>
            <wp:docPr id="2243" name="Picture 2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3"/>
                    <pic:cNvPicPr>
                      <a:picLocks noChangeAspect="1" noChangeArrowheads="1"/>
                    </pic:cNvPicPr>
                  </pic:nvPicPr>
                  <pic:blipFill>
                    <a:blip r:embed="rId22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-401955</wp:posOffset>
            </wp:positionV>
            <wp:extent cx="8255" cy="8255"/>
            <wp:wrapNone/>
            <wp:docPr id="2244" name="Picture 2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4"/>
                    <pic:cNvPicPr>
                      <a:picLocks noChangeAspect="1" noChangeArrowheads="1"/>
                    </pic:cNvPicPr>
                  </pic:nvPicPr>
                  <pic:blipFill>
                    <a:blip r:embed="rId22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-401955</wp:posOffset>
            </wp:positionV>
            <wp:extent cx="8255" cy="8255"/>
            <wp:wrapNone/>
            <wp:docPr id="2245" name="Picture 2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5"/>
                    <pic:cNvPicPr>
                      <a:picLocks noChangeAspect="1" noChangeArrowheads="1"/>
                    </pic:cNvPicPr>
                  </pic:nvPicPr>
                  <pic:blipFill>
                    <a:blip r:embed="rId22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-401955</wp:posOffset>
            </wp:positionV>
            <wp:extent cx="8255" cy="8255"/>
            <wp:wrapNone/>
            <wp:docPr id="2246" name="Picture 2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6"/>
                    <pic:cNvPicPr>
                      <a:picLocks noChangeAspect="1" noChangeArrowheads="1"/>
                    </pic:cNvPicPr>
                  </pic:nvPicPr>
                  <pic:blipFill>
                    <a:blip r:embed="rId22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-401955</wp:posOffset>
            </wp:positionV>
            <wp:extent cx="8890" cy="8255"/>
            <wp:wrapNone/>
            <wp:docPr id="2247" name="Picture 2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7"/>
                    <pic:cNvPicPr>
                      <a:picLocks noChangeAspect="1" noChangeArrowheads="1"/>
                    </pic:cNvPicPr>
                  </pic:nvPicPr>
                  <pic:blipFill>
                    <a:blip r:embed="rId22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-401955</wp:posOffset>
            </wp:positionV>
            <wp:extent cx="8890" cy="8255"/>
            <wp:wrapNone/>
            <wp:docPr id="2248" name="Picture 2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8"/>
                    <pic:cNvPicPr>
                      <a:picLocks noChangeAspect="1" noChangeArrowheads="1"/>
                    </pic:cNvPicPr>
                  </pic:nvPicPr>
                  <pic:blipFill>
                    <a:blip r:embed="rId22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-401955</wp:posOffset>
            </wp:positionV>
            <wp:extent cx="8255" cy="8255"/>
            <wp:wrapNone/>
            <wp:docPr id="2249" name="Picture 2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9"/>
                    <pic:cNvPicPr>
                      <a:picLocks noChangeAspect="1" noChangeArrowheads="1"/>
                    </pic:cNvPicPr>
                  </pic:nvPicPr>
                  <pic:blipFill>
                    <a:blip r:embed="rId2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-401955</wp:posOffset>
            </wp:positionV>
            <wp:extent cx="8255" cy="8255"/>
            <wp:wrapNone/>
            <wp:docPr id="2250" name="Picture 2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0"/>
                    <pic:cNvPicPr>
                      <a:picLocks noChangeAspect="1" noChangeArrowheads="1"/>
                    </pic:cNvPicPr>
                  </pic:nvPicPr>
                  <pic:blipFill>
                    <a:blip r:embed="rId22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-401955</wp:posOffset>
            </wp:positionV>
            <wp:extent cx="8255" cy="8255"/>
            <wp:wrapNone/>
            <wp:docPr id="2251" name="Picture 2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1"/>
                    <pic:cNvPicPr>
                      <a:picLocks noChangeAspect="1" noChangeArrowheads="1"/>
                    </pic:cNvPicPr>
                  </pic:nvPicPr>
                  <pic:blipFill>
                    <a:blip r:embed="rId22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-401955</wp:posOffset>
            </wp:positionV>
            <wp:extent cx="8890" cy="8255"/>
            <wp:wrapNone/>
            <wp:docPr id="2252" name="Picture 2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2"/>
                    <pic:cNvPicPr>
                      <a:picLocks noChangeAspect="1" noChangeArrowheads="1"/>
                    </pic:cNvPicPr>
                  </pic:nvPicPr>
                  <pic:blipFill>
                    <a:blip r:embed="rId22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-401955</wp:posOffset>
            </wp:positionV>
            <wp:extent cx="8890" cy="8255"/>
            <wp:wrapNone/>
            <wp:docPr id="2253" name="Picture 2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3"/>
                    <pic:cNvPicPr>
                      <a:picLocks noChangeAspect="1" noChangeArrowheads="1"/>
                    </pic:cNvPicPr>
                  </pic:nvPicPr>
                  <pic:blipFill>
                    <a:blip r:embed="rId22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-401955</wp:posOffset>
            </wp:positionV>
            <wp:extent cx="8255" cy="8255"/>
            <wp:wrapNone/>
            <wp:docPr id="2254" name="Picture 2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4"/>
                    <pic:cNvPicPr>
                      <a:picLocks noChangeAspect="1" noChangeArrowheads="1"/>
                    </pic:cNvPicPr>
                  </pic:nvPicPr>
                  <pic:blipFill>
                    <a:blip r:embed="rId22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-401955</wp:posOffset>
            </wp:positionV>
            <wp:extent cx="8255" cy="8255"/>
            <wp:wrapNone/>
            <wp:docPr id="2255" name="Picture 2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5"/>
                    <pic:cNvPicPr>
                      <a:picLocks noChangeAspect="1" noChangeArrowheads="1"/>
                    </pic:cNvPicPr>
                  </pic:nvPicPr>
                  <pic:blipFill>
                    <a:blip r:embed="rId22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-401955</wp:posOffset>
            </wp:positionV>
            <wp:extent cx="8255" cy="8255"/>
            <wp:wrapNone/>
            <wp:docPr id="2256" name="Picture 2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6"/>
                    <pic:cNvPicPr>
                      <a:picLocks noChangeAspect="1" noChangeArrowheads="1"/>
                    </pic:cNvPicPr>
                  </pic:nvPicPr>
                  <pic:blipFill>
                    <a:blip r:embed="rId22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-401955</wp:posOffset>
            </wp:positionV>
            <wp:extent cx="8890" cy="8255"/>
            <wp:wrapNone/>
            <wp:docPr id="2257" name="Picture 2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7"/>
                    <pic:cNvPicPr>
                      <a:picLocks noChangeAspect="1" noChangeArrowheads="1"/>
                    </pic:cNvPicPr>
                  </pic:nvPicPr>
                  <pic:blipFill>
                    <a:blip r:embed="rId22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-401955</wp:posOffset>
            </wp:positionV>
            <wp:extent cx="8890" cy="8255"/>
            <wp:wrapNone/>
            <wp:docPr id="2258" name="Picture 2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8"/>
                    <pic:cNvPicPr>
                      <a:picLocks noChangeAspect="1" noChangeArrowheads="1"/>
                    </pic:cNvPicPr>
                  </pic:nvPicPr>
                  <pic:blipFill>
                    <a:blip r:embed="rId22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-401955</wp:posOffset>
            </wp:positionV>
            <wp:extent cx="8255" cy="8255"/>
            <wp:wrapNone/>
            <wp:docPr id="2259" name="Picture 2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9"/>
                    <pic:cNvPicPr>
                      <a:picLocks noChangeAspect="1" noChangeArrowheads="1"/>
                    </pic:cNvPicPr>
                  </pic:nvPicPr>
                  <pic:blipFill>
                    <a:blip r:embed="rId22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-401955</wp:posOffset>
            </wp:positionV>
            <wp:extent cx="8255" cy="8255"/>
            <wp:wrapNone/>
            <wp:docPr id="2260" name="Picture 2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0"/>
                    <pic:cNvPicPr>
                      <a:picLocks noChangeAspect="1" noChangeArrowheads="1"/>
                    </pic:cNvPicPr>
                  </pic:nvPicPr>
                  <pic:blipFill>
                    <a:blip r:embed="rId22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-401955</wp:posOffset>
            </wp:positionV>
            <wp:extent cx="8255" cy="8255"/>
            <wp:wrapNone/>
            <wp:docPr id="2261" name="Picture 2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1"/>
                    <pic:cNvPicPr>
                      <a:picLocks noChangeAspect="1" noChangeArrowheads="1"/>
                    </pic:cNvPicPr>
                  </pic:nvPicPr>
                  <pic:blipFill>
                    <a:blip r:embed="rId22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-401955</wp:posOffset>
            </wp:positionV>
            <wp:extent cx="8890" cy="8255"/>
            <wp:wrapNone/>
            <wp:docPr id="2262" name="Picture 2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2"/>
                    <pic:cNvPicPr>
                      <a:picLocks noChangeAspect="1" noChangeArrowheads="1"/>
                    </pic:cNvPicPr>
                  </pic:nvPicPr>
                  <pic:blipFill>
                    <a:blip r:embed="rId22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-401955</wp:posOffset>
            </wp:positionV>
            <wp:extent cx="8890" cy="8255"/>
            <wp:wrapNone/>
            <wp:docPr id="2263" name="Picture 2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3"/>
                    <pic:cNvPicPr>
                      <a:picLocks noChangeAspect="1" noChangeArrowheads="1"/>
                    </pic:cNvPicPr>
                  </pic:nvPicPr>
                  <pic:blipFill>
                    <a:blip r:embed="rId22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-401955</wp:posOffset>
            </wp:positionV>
            <wp:extent cx="8255" cy="8255"/>
            <wp:wrapNone/>
            <wp:docPr id="2264" name="Picture 2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4"/>
                    <pic:cNvPicPr>
                      <a:picLocks noChangeAspect="1" noChangeArrowheads="1"/>
                    </pic:cNvPicPr>
                  </pic:nvPicPr>
                  <pic:blipFill>
                    <a:blip r:embed="rId22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-401955</wp:posOffset>
            </wp:positionV>
            <wp:extent cx="8255" cy="8255"/>
            <wp:wrapNone/>
            <wp:docPr id="2265" name="Picture 2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5"/>
                    <pic:cNvPicPr>
                      <a:picLocks noChangeAspect="1" noChangeArrowheads="1"/>
                    </pic:cNvPicPr>
                  </pic:nvPicPr>
                  <pic:blipFill>
                    <a:blip r:embed="rId22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-401955</wp:posOffset>
            </wp:positionV>
            <wp:extent cx="8255" cy="8255"/>
            <wp:wrapNone/>
            <wp:docPr id="2266" name="Picture 2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6"/>
                    <pic:cNvPicPr>
                      <a:picLocks noChangeAspect="1" noChangeArrowheads="1"/>
                    </pic:cNvPicPr>
                  </pic:nvPicPr>
                  <pic:blipFill>
                    <a:blip r:embed="rId22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-401955</wp:posOffset>
            </wp:positionV>
            <wp:extent cx="8890" cy="8255"/>
            <wp:wrapNone/>
            <wp:docPr id="2267" name="Picture 2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7"/>
                    <pic:cNvPicPr>
                      <a:picLocks noChangeAspect="1" noChangeArrowheads="1"/>
                    </pic:cNvPicPr>
                  </pic:nvPicPr>
                  <pic:blipFill>
                    <a:blip r:embed="rId22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-401955</wp:posOffset>
            </wp:positionV>
            <wp:extent cx="8255" cy="8255"/>
            <wp:wrapNone/>
            <wp:docPr id="2268" name="Picture 2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8"/>
                    <pic:cNvPicPr>
                      <a:picLocks noChangeAspect="1" noChangeArrowheads="1"/>
                    </pic:cNvPicPr>
                  </pic:nvPicPr>
                  <pic:blipFill>
                    <a:blip r:embed="rId22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-401955</wp:posOffset>
            </wp:positionV>
            <wp:extent cx="8255" cy="8255"/>
            <wp:wrapNone/>
            <wp:docPr id="2269" name="Picture 2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9"/>
                    <pic:cNvPicPr>
                      <a:picLocks noChangeAspect="1" noChangeArrowheads="1"/>
                    </pic:cNvPicPr>
                  </pic:nvPicPr>
                  <pic:blipFill>
                    <a:blip r:embed="rId22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-401955</wp:posOffset>
            </wp:positionV>
            <wp:extent cx="8255" cy="8255"/>
            <wp:wrapNone/>
            <wp:docPr id="2270" name="Picture 2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0"/>
                    <pic:cNvPicPr>
                      <a:picLocks noChangeAspect="1" noChangeArrowheads="1"/>
                    </pic:cNvPicPr>
                  </pic:nvPicPr>
                  <pic:blipFill>
                    <a:blip r:embed="rId22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-401955</wp:posOffset>
            </wp:positionV>
            <wp:extent cx="8890" cy="8255"/>
            <wp:wrapNone/>
            <wp:docPr id="2271" name="Picture 2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1"/>
                    <pic:cNvPicPr>
                      <a:picLocks noChangeAspect="1" noChangeArrowheads="1"/>
                    </pic:cNvPicPr>
                  </pic:nvPicPr>
                  <pic:blipFill>
                    <a:blip r:embed="rId22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-401955</wp:posOffset>
            </wp:positionV>
            <wp:extent cx="8890" cy="8255"/>
            <wp:wrapNone/>
            <wp:docPr id="2272" name="Picture 2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2"/>
                    <pic:cNvPicPr>
                      <a:picLocks noChangeAspect="1" noChangeArrowheads="1"/>
                    </pic:cNvPicPr>
                  </pic:nvPicPr>
                  <pic:blipFill>
                    <a:blip r:embed="rId22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-401955</wp:posOffset>
            </wp:positionV>
            <wp:extent cx="8255" cy="8255"/>
            <wp:wrapNone/>
            <wp:docPr id="2273" name="Picture 2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3"/>
                    <pic:cNvPicPr>
                      <a:picLocks noChangeAspect="1" noChangeArrowheads="1"/>
                    </pic:cNvPicPr>
                  </pic:nvPicPr>
                  <pic:blipFill>
                    <a:blip r:embed="rId22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-401955</wp:posOffset>
            </wp:positionV>
            <wp:extent cx="8255" cy="8255"/>
            <wp:wrapNone/>
            <wp:docPr id="2274" name="Picture 2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4"/>
                    <pic:cNvPicPr>
                      <a:picLocks noChangeAspect="1" noChangeArrowheads="1"/>
                    </pic:cNvPicPr>
                  </pic:nvPicPr>
                  <pic:blipFill>
                    <a:blip r:embed="rId22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-401955</wp:posOffset>
            </wp:positionV>
            <wp:extent cx="8255" cy="8255"/>
            <wp:wrapNone/>
            <wp:docPr id="2275" name="Picture 2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5"/>
                    <pic:cNvPicPr>
                      <a:picLocks noChangeAspect="1" noChangeArrowheads="1"/>
                    </pic:cNvPicPr>
                  </pic:nvPicPr>
                  <pic:blipFill>
                    <a:blip r:embed="rId22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-401955</wp:posOffset>
            </wp:positionV>
            <wp:extent cx="8890" cy="8255"/>
            <wp:wrapNone/>
            <wp:docPr id="2276" name="Picture 2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6"/>
                    <pic:cNvPicPr>
                      <a:picLocks noChangeAspect="1" noChangeArrowheads="1"/>
                    </pic:cNvPicPr>
                  </pic:nvPicPr>
                  <pic:blipFill>
                    <a:blip r:embed="rId22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-401955</wp:posOffset>
            </wp:positionV>
            <wp:extent cx="8890" cy="8255"/>
            <wp:wrapNone/>
            <wp:docPr id="2277" name="Picture 2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7"/>
                    <pic:cNvPicPr>
                      <a:picLocks noChangeAspect="1" noChangeArrowheads="1"/>
                    </pic:cNvPicPr>
                  </pic:nvPicPr>
                  <pic:blipFill>
                    <a:blip r:embed="rId22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-401955</wp:posOffset>
            </wp:positionV>
            <wp:extent cx="8255" cy="8255"/>
            <wp:wrapNone/>
            <wp:docPr id="2278" name="Picture 2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8"/>
                    <pic:cNvPicPr>
                      <a:picLocks noChangeAspect="1" noChangeArrowheads="1"/>
                    </pic:cNvPicPr>
                  </pic:nvPicPr>
                  <pic:blipFill>
                    <a:blip r:embed="rId22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-401955</wp:posOffset>
            </wp:positionV>
            <wp:extent cx="8255" cy="8255"/>
            <wp:wrapNone/>
            <wp:docPr id="2279" name="Picture 2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9"/>
                    <pic:cNvPicPr>
                      <a:picLocks noChangeAspect="1" noChangeArrowheads="1"/>
                    </pic:cNvPicPr>
                  </pic:nvPicPr>
                  <pic:blipFill>
                    <a:blip r:embed="rId22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-401955</wp:posOffset>
            </wp:positionV>
            <wp:extent cx="8255" cy="8255"/>
            <wp:wrapNone/>
            <wp:docPr id="2280" name="Picture 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0"/>
                    <pic:cNvPicPr>
                      <a:picLocks noChangeAspect="1" noChangeArrowheads="1"/>
                    </pic:cNvPicPr>
                  </pic:nvPicPr>
                  <pic:blipFill>
                    <a:blip r:embed="rId22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-401955</wp:posOffset>
            </wp:positionV>
            <wp:extent cx="8890" cy="8255"/>
            <wp:wrapNone/>
            <wp:docPr id="2281" name="Picture 2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1"/>
                    <pic:cNvPicPr>
                      <a:picLocks noChangeAspect="1" noChangeArrowheads="1"/>
                    </pic:cNvPicPr>
                  </pic:nvPicPr>
                  <pic:blipFill>
                    <a:blip r:embed="rId22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-401955</wp:posOffset>
            </wp:positionV>
            <wp:extent cx="8890" cy="8255"/>
            <wp:wrapNone/>
            <wp:docPr id="2282" name="Picture 2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2"/>
                    <pic:cNvPicPr>
                      <a:picLocks noChangeAspect="1" noChangeArrowheads="1"/>
                    </pic:cNvPicPr>
                  </pic:nvPicPr>
                  <pic:blipFill>
                    <a:blip r:embed="rId22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-401955</wp:posOffset>
            </wp:positionV>
            <wp:extent cx="8255" cy="8255"/>
            <wp:wrapNone/>
            <wp:docPr id="2283" name="Picture 2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3"/>
                    <pic:cNvPicPr>
                      <a:picLocks noChangeAspect="1" noChangeArrowheads="1"/>
                    </pic:cNvPicPr>
                  </pic:nvPicPr>
                  <pic:blipFill>
                    <a:blip r:embed="rId22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-401955</wp:posOffset>
            </wp:positionV>
            <wp:extent cx="8255" cy="8255"/>
            <wp:wrapNone/>
            <wp:docPr id="2284" name="Picture 2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4"/>
                    <pic:cNvPicPr>
                      <a:picLocks noChangeAspect="1" noChangeArrowheads="1"/>
                    </pic:cNvPicPr>
                  </pic:nvPicPr>
                  <pic:blipFill>
                    <a:blip r:embed="rId22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-401955</wp:posOffset>
            </wp:positionV>
            <wp:extent cx="8255" cy="8255"/>
            <wp:wrapNone/>
            <wp:docPr id="2285" name="Picture 2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5"/>
                    <pic:cNvPicPr>
                      <a:picLocks noChangeAspect="1" noChangeArrowheads="1"/>
                    </pic:cNvPicPr>
                  </pic:nvPicPr>
                  <pic:blipFill>
                    <a:blip r:embed="rId22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-401955</wp:posOffset>
            </wp:positionV>
            <wp:extent cx="8890" cy="8255"/>
            <wp:wrapNone/>
            <wp:docPr id="2286" name="Picture 2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6"/>
                    <pic:cNvPicPr>
                      <a:picLocks noChangeAspect="1" noChangeArrowheads="1"/>
                    </pic:cNvPicPr>
                  </pic:nvPicPr>
                  <pic:blipFill>
                    <a:blip r:embed="rId22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-401955</wp:posOffset>
            </wp:positionV>
            <wp:extent cx="8890" cy="8255"/>
            <wp:wrapNone/>
            <wp:docPr id="2287" name="Picture 2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7"/>
                    <pic:cNvPicPr>
                      <a:picLocks noChangeAspect="1" noChangeArrowheads="1"/>
                    </pic:cNvPicPr>
                  </pic:nvPicPr>
                  <pic:blipFill>
                    <a:blip r:embed="rId22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-401955</wp:posOffset>
            </wp:positionV>
            <wp:extent cx="8255" cy="8255"/>
            <wp:wrapNone/>
            <wp:docPr id="2288" name="Picture 2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8"/>
                    <pic:cNvPicPr>
                      <a:picLocks noChangeAspect="1" noChangeArrowheads="1"/>
                    </pic:cNvPicPr>
                  </pic:nvPicPr>
                  <pic:blipFill>
                    <a:blip r:embed="rId22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-401955</wp:posOffset>
            </wp:positionV>
            <wp:extent cx="8255" cy="8255"/>
            <wp:wrapNone/>
            <wp:docPr id="2289" name="Picture 2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9"/>
                    <pic:cNvPicPr>
                      <a:picLocks noChangeAspect="1" noChangeArrowheads="1"/>
                    </pic:cNvPicPr>
                  </pic:nvPicPr>
                  <pic:blipFill>
                    <a:blip r:embed="rId22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-401955</wp:posOffset>
            </wp:positionV>
            <wp:extent cx="8255" cy="8255"/>
            <wp:wrapNone/>
            <wp:docPr id="2290" name="Picture 2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0"/>
                    <pic:cNvPicPr>
                      <a:picLocks noChangeAspect="1" noChangeArrowheads="1"/>
                    </pic:cNvPicPr>
                  </pic:nvPicPr>
                  <pic:blipFill>
                    <a:blip r:embed="rId22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-401955</wp:posOffset>
            </wp:positionV>
            <wp:extent cx="8890" cy="8255"/>
            <wp:wrapNone/>
            <wp:docPr id="2291" name="Picture 2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1"/>
                    <pic:cNvPicPr>
                      <a:picLocks noChangeAspect="1" noChangeArrowheads="1"/>
                    </pic:cNvPicPr>
                  </pic:nvPicPr>
                  <pic:blipFill>
                    <a:blip r:embed="rId22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-401955</wp:posOffset>
            </wp:positionV>
            <wp:extent cx="8890" cy="8255"/>
            <wp:wrapNone/>
            <wp:docPr id="2292" name="Picture 2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2"/>
                    <pic:cNvPicPr>
                      <a:picLocks noChangeAspect="1" noChangeArrowheads="1"/>
                    </pic:cNvPicPr>
                  </pic:nvPicPr>
                  <pic:blipFill>
                    <a:blip r:embed="rId22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-401955</wp:posOffset>
            </wp:positionV>
            <wp:extent cx="8255" cy="8255"/>
            <wp:wrapNone/>
            <wp:docPr id="2293" name="Picture 2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3"/>
                    <pic:cNvPicPr>
                      <a:picLocks noChangeAspect="1" noChangeArrowheads="1"/>
                    </pic:cNvPicPr>
                  </pic:nvPicPr>
                  <pic:blipFill>
                    <a:blip r:embed="rId23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-401955</wp:posOffset>
            </wp:positionV>
            <wp:extent cx="8255" cy="8255"/>
            <wp:wrapNone/>
            <wp:docPr id="2294" name="Picture 2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4"/>
                    <pic:cNvPicPr>
                      <a:picLocks noChangeAspect="1" noChangeArrowheads="1"/>
                    </pic:cNvPicPr>
                  </pic:nvPicPr>
                  <pic:blipFill>
                    <a:blip r:embed="rId23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-401955</wp:posOffset>
            </wp:positionV>
            <wp:extent cx="8255" cy="8255"/>
            <wp:wrapNone/>
            <wp:docPr id="2295" name="Picture 2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5"/>
                    <pic:cNvPicPr>
                      <a:picLocks noChangeAspect="1" noChangeArrowheads="1"/>
                    </pic:cNvPicPr>
                  </pic:nvPicPr>
                  <pic:blipFill>
                    <a:blip r:embed="rId23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-401955</wp:posOffset>
            </wp:positionV>
            <wp:extent cx="8890" cy="8255"/>
            <wp:wrapNone/>
            <wp:docPr id="2296" name="Picture 2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6"/>
                    <pic:cNvPicPr>
                      <a:picLocks noChangeAspect="1" noChangeArrowheads="1"/>
                    </pic:cNvPicPr>
                  </pic:nvPicPr>
                  <pic:blipFill>
                    <a:blip r:embed="rId23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-401955</wp:posOffset>
            </wp:positionV>
            <wp:extent cx="8890" cy="8255"/>
            <wp:wrapNone/>
            <wp:docPr id="2297" name="Picture 2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7"/>
                    <pic:cNvPicPr>
                      <a:picLocks noChangeAspect="1" noChangeArrowheads="1"/>
                    </pic:cNvPicPr>
                  </pic:nvPicPr>
                  <pic:blipFill>
                    <a:blip r:embed="rId23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-401955</wp:posOffset>
            </wp:positionV>
            <wp:extent cx="8255" cy="8255"/>
            <wp:wrapNone/>
            <wp:docPr id="2298" name="Picture 2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8"/>
                    <pic:cNvPicPr>
                      <a:picLocks noChangeAspect="1" noChangeArrowheads="1"/>
                    </pic:cNvPicPr>
                  </pic:nvPicPr>
                  <pic:blipFill>
                    <a:blip r:embed="rId23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-401955</wp:posOffset>
            </wp:positionV>
            <wp:extent cx="8255" cy="8255"/>
            <wp:wrapNone/>
            <wp:docPr id="2299" name="Picture 2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9"/>
                    <pic:cNvPicPr>
                      <a:picLocks noChangeAspect="1" noChangeArrowheads="1"/>
                    </pic:cNvPicPr>
                  </pic:nvPicPr>
                  <pic:blipFill>
                    <a:blip r:embed="rId23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-401955</wp:posOffset>
            </wp:positionV>
            <wp:extent cx="8255" cy="8255"/>
            <wp:wrapNone/>
            <wp:docPr id="2300" name="Picture 2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0"/>
                    <pic:cNvPicPr>
                      <a:picLocks noChangeAspect="1" noChangeArrowheads="1"/>
                    </pic:cNvPicPr>
                  </pic:nvPicPr>
                  <pic:blipFill>
                    <a:blip r:embed="rId23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-401955</wp:posOffset>
            </wp:positionV>
            <wp:extent cx="8890" cy="8255"/>
            <wp:wrapNone/>
            <wp:docPr id="2301" name="Picture 2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1"/>
                    <pic:cNvPicPr>
                      <a:picLocks noChangeAspect="1" noChangeArrowheads="1"/>
                    </pic:cNvPicPr>
                  </pic:nvPicPr>
                  <pic:blipFill>
                    <a:blip r:embed="rId23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-401955</wp:posOffset>
            </wp:positionV>
            <wp:extent cx="8890" cy="8255"/>
            <wp:wrapNone/>
            <wp:docPr id="2302" name="Picture 2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2"/>
                    <pic:cNvPicPr>
                      <a:picLocks noChangeAspect="1" noChangeArrowheads="1"/>
                    </pic:cNvPicPr>
                  </pic:nvPicPr>
                  <pic:blipFill>
                    <a:blip r:embed="rId2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-401955</wp:posOffset>
            </wp:positionV>
            <wp:extent cx="8255" cy="8255"/>
            <wp:wrapNone/>
            <wp:docPr id="2303" name="Picture 2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3"/>
                    <pic:cNvPicPr>
                      <a:picLocks noChangeAspect="1" noChangeArrowheads="1"/>
                    </pic:cNvPicPr>
                  </pic:nvPicPr>
                  <pic:blipFill>
                    <a:blip r:embed="rId23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-401955</wp:posOffset>
            </wp:positionV>
            <wp:extent cx="8255" cy="8255"/>
            <wp:wrapNone/>
            <wp:docPr id="2304" name="Picture 2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4"/>
                    <pic:cNvPicPr>
                      <a:picLocks noChangeAspect="1" noChangeArrowheads="1"/>
                    </pic:cNvPicPr>
                  </pic:nvPicPr>
                  <pic:blipFill>
                    <a:blip r:embed="rId23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-401955</wp:posOffset>
            </wp:positionV>
            <wp:extent cx="8255" cy="8255"/>
            <wp:wrapNone/>
            <wp:docPr id="2305" name="Picture 2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5"/>
                    <pic:cNvPicPr>
                      <a:picLocks noChangeAspect="1" noChangeArrowheads="1"/>
                    </pic:cNvPicPr>
                  </pic:nvPicPr>
                  <pic:blipFill>
                    <a:blip r:embed="rId23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-401955</wp:posOffset>
            </wp:positionV>
            <wp:extent cx="8890" cy="8255"/>
            <wp:wrapNone/>
            <wp:docPr id="2306" name="Picture 2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6"/>
                    <pic:cNvPicPr>
                      <a:picLocks noChangeAspect="1" noChangeArrowheads="1"/>
                    </pic:cNvPicPr>
                  </pic:nvPicPr>
                  <pic:blipFill>
                    <a:blip r:embed="rId23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-401955</wp:posOffset>
            </wp:positionV>
            <wp:extent cx="8255" cy="8255"/>
            <wp:wrapNone/>
            <wp:docPr id="2307" name="Picture 2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7"/>
                    <pic:cNvPicPr>
                      <a:picLocks noChangeAspect="1" noChangeArrowheads="1"/>
                    </pic:cNvPicPr>
                  </pic:nvPicPr>
                  <pic:blipFill>
                    <a:blip r:embed="rId23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-401955</wp:posOffset>
            </wp:positionV>
            <wp:extent cx="8255" cy="8255"/>
            <wp:wrapNone/>
            <wp:docPr id="2308" name="Picture 2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8"/>
                    <pic:cNvPicPr>
                      <a:picLocks noChangeAspect="1" noChangeArrowheads="1"/>
                    </pic:cNvPicPr>
                  </pic:nvPicPr>
                  <pic:blipFill>
                    <a:blip r:embed="rId23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-401955</wp:posOffset>
            </wp:positionV>
            <wp:extent cx="8255" cy="8255"/>
            <wp:wrapNone/>
            <wp:docPr id="2309" name="Picture 2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9"/>
                    <pic:cNvPicPr>
                      <a:picLocks noChangeAspect="1" noChangeArrowheads="1"/>
                    </pic:cNvPicPr>
                  </pic:nvPicPr>
                  <pic:blipFill>
                    <a:blip r:embed="rId23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-401955</wp:posOffset>
            </wp:positionV>
            <wp:extent cx="8890" cy="8255"/>
            <wp:wrapNone/>
            <wp:docPr id="2310" name="Picture 2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0"/>
                    <pic:cNvPicPr>
                      <a:picLocks noChangeAspect="1" noChangeArrowheads="1"/>
                    </pic:cNvPicPr>
                  </pic:nvPicPr>
                  <pic:blipFill>
                    <a:blip r:embed="rId23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-401955</wp:posOffset>
            </wp:positionV>
            <wp:extent cx="8890" cy="8255"/>
            <wp:wrapNone/>
            <wp:docPr id="2311" name="Picture 2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1"/>
                    <pic:cNvPicPr>
                      <a:picLocks noChangeAspect="1" noChangeArrowheads="1"/>
                    </pic:cNvPicPr>
                  </pic:nvPicPr>
                  <pic:blipFill>
                    <a:blip r:embed="rId23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-401955</wp:posOffset>
            </wp:positionV>
            <wp:extent cx="8255" cy="8255"/>
            <wp:wrapNone/>
            <wp:docPr id="2312" name="Picture 2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2"/>
                    <pic:cNvPicPr>
                      <a:picLocks noChangeAspect="1" noChangeArrowheads="1"/>
                    </pic:cNvPicPr>
                  </pic:nvPicPr>
                  <pic:blipFill>
                    <a:blip r:embed="rId23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-401955</wp:posOffset>
            </wp:positionV>
            <wp:extent cx="8255" cy="8255"/>
            <wp:wrapNone/>
            <wp:docPr id="2313" name="Picture 2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3"/>
                    <pic:cNvPicPr>
                      <a:picLocks noChangeAspect="1" noChangeArrowheads="1"/>
                    </pic:cNvPicPr>
                  </pic:nvPicPr>
                  <pic:blipFill>
                    <a:blip r:embed="rId23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-401955</wp:posOffset>
            </wp:positionV>
            <wp:extent cx="8255" cy="8255"/>
            <wp:wrapNone/>
            <wp:docPr id="2314" name="Picture 2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4"/>
                    <pic:cNvPicPr>
                      <a:picLocks noChangeAspect="1" noChangeArrowheads="1"/>
                    </pic:cNvPicPr>
                  </pic:nvPicPr>
                  <pic:blipFill>
                    <a:blip r:embed="rId23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-401955</wp:posOffset>
            </wp:positionV>
            <wp:extent cx="8890" cy="8255"/>
            <wp:wrapNone/>
            <wp:docPr id="2315" name="Picture 2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5"/>
                    <pic:cNvPicPr>
                      <a:picLocks noChangeAspect="1" noChangeArrowheads="1"/>
                    </pic:cNvPicPr>
                  </pic:nvPicPr>
                  <pic:blipFill>
                    <a:blip r:embed="rId23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-401955</wp:posOffset>
            </wp:positionV>
            <wp:extent cx="8890" cy="8255"/>
            <wp:wrapNone/>
            <wp:docPr id="2316" name="Picture 2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6"/>
                    <pic:cNvPicPr>
                      <a:picLocks noChangeAspect="1" noChangeArrowheads="1"/>
                    </pic:cNvPicPr>
                  </pic:nvPicPr>
                  <pic:blipFill>
                    <a:blip r:embed="rId23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-401955</wp:posOffset>
            </wp:positionV>
            <wp:extent cx="8255" cy="8255"/>
            <wp:wrapNone/>
            <wp:docPr id="2317" name="Picture 2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7"/>
                    <pic:cNvPicPr>
                      <a:picLocks noChangeAspect="1" noChangeArrowheads="1"/>
                    </pic:cNvPicPr>
                  </pic:nvPicPr>
                  <pic:blipFill>
                    <a:blip r:embed="rId23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-401955</wp:posOffset>
            </wp:positionV>
            <wp:extent cx="8255" cy="8255"/>
            <wp:wrapNone/>
            <wp:docPr id="2318" name="Picture 2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8"/>
                    <pic:cNvPicPr>
                      <a:picLocks noChangeAspect="1" noChangeArrowheads="1"/>
                    </pic:cNvPicPr>
                  </pic:nvPicPr>
                  <pic:blipFill>
                    <a:blip r:embed="rId23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-401955</wp:posOffset>
            </wp:positionV>
            <wp:extent cx="8255" cy="8255"/>
            <wp:wrapNone/>
            <wp:docPr id="2319" name="Picture 2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9"/>
                    <pic:cNvPicPr>
                      <a:picLocks noChangeAspect="1" noChangeArrowheads="1"/>
                    </pic:cNvPicPr>
                  </pic:nvPicPr>
                  <pic:blipFill>
                    <a:blip r:embed="rId23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-401955</wp:posOffset>
            </wp:positionV>
            <wp:extent cx="8890" cy="8255"/>
            <wp:wrapNone/>
            <wp:docPr id="2320" name="Picture 2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0"/>
                    <pic:cNvPicPr>
                      <a:picLocks noChangeAspect="1" noChangeArrowheads="1"/>
                    </pic:cNvPicPr>
                  </pic:nvPicPr>
                  <pic:blipFill>
                    <a:blip r:embed="rId23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-401955</wp:posOffset>
            </wp:positionV>
            <wp:extent cx="8890" cy="8255"/>
            <wp:wrapNone/>
            <wp:docPr id="2321" name="Picture 2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1"/>
                    <pic:cNvPicPr>
                      <a:picLocks noChangeAspect="1" noChangeArrowheads="1"/>
                    </pic:cNvPicPr>
                  </pic:nvPicPr>
                  <pic:blipFill>
                    <a:blip r:embed="rId23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-401955</wp:posOffset>
            </wp:positionV>
            <wp:extent cx="8255" cy="8255"/>
            <wp:wrapNone/>
            <wp:docPr id="2322" name="Picture 2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2"/>
                    <pic:cNvPicPr>
                      <a:picLocks noChangeAspect="1" noChangeArrowheads="1"/>
                    </pic:cNvPicPr>
                  </pic:nvPicPr>
                  <pic:blipFill>
                    <a:blip r:embed="rId23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-401955</wp:posOffset>
            </wp:positionV>
            <wp:extent cx="8255" cy="8255"/>
            <wp:wrapNone/>
            <wp:docPr id="2323" name="Picture 2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3"/>
                    <pic:cNvPicPr>
                      <a:picLocks noChangeAspect="1" noChangeArrowheads="1"/>
                    </pic:cNvPicPr>
                  </pic:nvPicPr>
                  <pic:blipFill>
                    <a:blip r:embed="rId23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-401955</wp:posOffset>
            </wp:positionV>
            <wp:extent cx="8255" cy="8255"/>
            <wp:wrapNone/>
            <wp:docPr id="2324" name="Picture 2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4"/>
                    <pic:cNvPicPr>
                      <a:picLocks noChangeAspect="1" noChangeArrowheads="1"/>
                    </pic:cNvPicPr>
                  </pic:nvPicPr>
                  <pic:blipFill>
                    <a:blip r:embed="rId23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-401955</wp:posOffset>
            </wp:positionV>
            <wp:extent cx="8890" cy="8255"/>
            <wp:wrapNone/>
            <wp:docPr id="2325" name="Picture 2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5"/>
                    <pic:cNvPicPr>
                      <a:picLocks noChangeAspect="1" noChangeArrowheads="1"/>
                    </pic:cNvPicPr>
                  </pic:nvPicPr>
                  <pic:blipFill>
                    <a:blip r:embed="rId23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-401955</wp:posOffset>
            </wp:positionV>
            <wp:extent cx="8890" cy="8255"/>
            <wp:wrapNone/>
            <wp:docPr id="2326" name="Picture 2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6"/>
                    <pic:cNvPicPr>
                      <a:picLocks noChangeAspect="1" noChangeArrowheads="1"/>
                    </pic:cNvPicPr>
                  </pic:nvPicPr>
                  <pic:blipFill>
                    <a:blip r:embed="rId23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-401955</wp:posOffset>
            </wp:positionV>
            <wp:extent cx="8255" cy="8255"/>
            <wp:wrapNone/>
            <wp:docPr id="2327" name="Picture 2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7"/>
                    <pic:cNvPicPr>
                      <a:picLocks noChangeAspect="1" noChangeArrowheads="1"/>
                    </pic:cNvPicPr>
                  </pic:nvPicPr>
                  <pic:blipFill>
                    <a:blip r:embed="rId23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-401955</wp:posOffset>
            </wp:positionV>
            <wp:extent cx="8255" cy="8255"/>
            <wp:wrapNone/>
            <wp:docPr id="2328" name="Picture 2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8"/>
                    <pic:cNvPicPr>
                      <a:picLocks noChangeAspect="1" noChangeArrowheads="1"/>
                    </pic:cNvPicPr>
                  </pic:nvPicPr>
                  <pic:blipFill>
                    <a:blip r:embed="rId23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-401955</wp:posOffset>
            </wp:positionV>
            <wp:extent cx="8255" cy="8255"/>
            <wp:wrapNone/>
            <wp:docPr id="2329" name="Picture 2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9"/>
                    <pic:cNvPicPr>
                      <a:picLocks noChangeAspect="1" noChangeArrowheads="1"/>
                    </pic:cNvPicPr>
                  </pic:nvPicPr>
                  <pic:blipFill>
                    <a:blip r:embed="rId23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-401955</wp:posOffset>
            </wp:positionV>
            <wp:extent cx="8890" cy="8255"/>
            <wp:wrapNone/>
            <wp:docPr id="2330" name="Picture 2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0"/>
                    <pic:cNvPicPr>
                      <a:picLocks noChangeAspect="1" noChangeArrowheads="1"/>
                    </pic:cNvPicPr>
                  </pic:nvPicPr>
                  <pic:blipFill>
                    <a:blip r:embed="rId23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-401955</wp:posOffset>
            </wp:positionV>
            <wp:extent cx="8890" cy="8255"/>
            <wp:wrapNone/>
            <wp:docPr id="2331" name="Picture 2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1"/>
                    <pic:cNvPicPr>
                      <a:picLocks noChangeAspect="1" noChangeArrowheads="1"/>
                    </pic:cNvPicPr>
                  </pic:nvPicPr>
                  <pic:blipFill>
                    <a:blip r:embed="rId23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-401955</wp:posOffset>
            </wp:positionV>
            <wp:extent cx="8255" cy="8255"/>
            <wp:wrapNone/>
            <wp:docPr id="2332" name="Picture 2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2"/>
                    <pic:cNvPicPr>
                      <a:picLocks noChangeAspect="1" noChangeArrowheads="1"/>
                    </pic:cNvPicPr>
                  </pic:nvPicPr>
                  <pic:blipFill>
                    <a:blip r:embed="rId23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-401955</wp:posOffset>
            </wp:positionV>
            <wp:extent cx="8255" cy="8255"/>
            <wp:wrapNone/>
            <wp:docPr id="2333" name="Picture 2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3"/>
                    <pic:cNvPicPr>
                      <a:picLocks noChangeAspect="1" noChangeArrowheads="1"/>
                    </pic:cNvPicPr>
                  </pic:nvPicPr>
                  <pic:blipFill>
                    <a:blip r:embed="rId23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-401955</wp:posOffset>
            </wp:positionV>
            <wp:extent cx="8255" cy="8255"/>
            <wp:wrapNone/>
            <wp:docPr id="2334" name="Picture 2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4"/>
                    <pic:cNvPicPr>
                      <a:picLocks noChangeAspect="1" noChangeArrowheads="1"/>
                    </pic:cNvPicPr>
                  </pic:nvPicPr>
                  <pic:blipFill>
                    <a:blip r:embed="rId23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-401955</wp:posOffset>
            </wp:positionV>
            <wp:extent cx="8890" cy="8255"/>
            <wp:wrapNone/>
            <wp:docPr id="2335" name="Picture 2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5"/>
                    <pic:cNvPicPr>
                      <a:picLocks noChangeAspect="1" noChangeArrowheads="1"/>
                    </pic:cNvPicPr>
                  </pic:nvPicPr>
                  <pic:blipFill>
                    <a:blip r:embed="rId23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-401955</wp:posOffset>
            </wp:positionV>
            <wp:extent cx="8890" cy="8255"/>
            <wp:wrapNone/>
            <wp:docPr id="2336" name="Picture 2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6"/>
                    <pic:cNvPicPr>
                      <a:picLocks noChangeAspect="1" noChangeArrowheads="1"/>
                    </pic:cNvPicPr>
                  </pic:nvPicPr>
                  <pic:blipFill>
                    <a:blip r:embed="rId23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-401955</wp:posOffset>
            </wp:positionV>
            <wp:extent cx="8255" cy="8255"/>
            <wp:wrapNone/>
            <wp:docPr id="2337" name="Picture 2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7"/>
                    <pic:cNvPicPr>
                      <a:picLocks noChangeAspect="1" noChangeArrowheads="1"/>
                    </pic:cNvPicPr>
                  </pic:nvPicPr>
                  <pic:blipFill>
                    <a:blip r:embed="rId23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-401955</wp:posOffset>
            </wp:positionV>
            <wp:extent cx="8255" cy="8255"/>
            <wp:wrapNone/>
            <wp:docPr id="2338" name="Picture 2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8"/>
                    <pic:cNvPicPr>
                      <a:picLocks noChangeAspect="1" noChangeArrowheads="1"/>
                    </pic:cNvPicPr>
                  </pic:nvPicPr>
                  <pic:blipFill>
                    <a:blip r:embed="rId23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-401955</wp:posOffset>
            </wp:positionV>
            <wp:extent cx="8255" cy="8255"/>
            <wp:wrapNone/>
            <wp:docPr id="2339" name="Picture 2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9"/>
                    <pic:cNvPicPr>
                      <a:picLocks noChangeAspect="1" noChangeArrowheads="1"/>
                    </pic:cNvPicPr>
                  </pic:nvPicPr>
                  <pic:blipFill>
                    <a:blip r:embed="rId23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-401955</wp:posOffset>
            </wp:positionV>
            <wp:extent cx="8890" cy="8255"/>
            <wp:wrapNone/>
            <wp:docPr id="2340" name="Picture 2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0"/>
                    <pic:cNvPicPr>
                      <a:picLocks noChangeAspect="1" noChangeArrowheads="1"/>
                    </pic:cNvPicPr>
                  </pic:nvPicPr>
                  <pic:blipFill>
                    <a:blip r:embed="rId23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-401955</wp:posOffset>
            </wp:positionV>
            <wp:extent cx="857250" cy="8255"/>
            <wp:wrapNone/>
            <wp:docPr id="2341" name="Picture 2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1"/>
                    <pic:cNvPicPr>
                      <a:picLocks noChangeAspect="1" noChangeArrowheads="1"/>
                    </pic:cNvPicPr>
                  </pic:nvPicPr>
                  <pic:blipFill>
                    <a:blip r:embed="rId2348">
                      <a:extLst>
                        <a:ext uri="{28A0092B-C50C-407E-A947-70E740481C1C}"/>
                      </a:extLst>
                    </a:blip>
                    <a:srcRect/>
                    <a:stretch>
                      <a:fillRect/>
                    </a:stretch>
                  </pic:blipFill>
                  <pic:spPr bwMode="auto">
                    <a:xfrm>
                      <a:off x="0" y="0"/>
                      <a:ext cx="8572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8890" cy="8255"/>
            <wp:wrapNone/>
            <wp:docPr id="2342" name="Picture 2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2"/>
                    <pic:cNvPicPr>
                      <a:picLocks noChangeAspect="1" noChangeArrowheads="1"/>
                    </pic:cNvPicPr>
                  </pic:nvPicPr>
                  <pic:blipFill>
                    <a:blip r:embed="rId23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-273685</wp:posOffset>
            </wp:positionV>
            <wp:extent cx="8890" cy="8255"/>
            <wp:wrapNone/>
            <wp:docPr id="2343" name="Picture 2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3"/>
                    <pic:cNvPicPr>
                      <a:picLocks noChangeAspect="1" noChangeArrowheads="1"/>
                    </pic:cNvPicPr>
                  </pic:nvPicPr>
                  <pic:blipFill>
                    <a:blip r:embed="rId2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-273685</wp:posOffset>
            </wp:positionV>
            <wp:extent cx="8255" cy="8255"/>
            <wp:wrapNone/>
            <wp:docPr id="2344" name="Picture 2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4"/>
                    <pic:cNvPicPr>
                      <a:picLocks noChangeAspect="1" noChangeArrowheads="1"/>
                    </pic:cNvPicPr>
                  </pic:nvPicPr>
                  <pic:blipFill>
                    <a:blip r:embed="rId23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-273685</wp:posOffset>
            </wp:positionV>
            <wp:extent cx="8255" cy="8255"/>
            <wp:wrapNone/>
            <wp:docPr id="2345" name="Picture 2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5"/>
                    <pic:cNvPicPr>
                      <a:picLocks noChangeAspect="1" noChangeArrowheads="1"/>
                    </pic:cNvPicPr>
                  </pic:nvPicPr>
                  <pic:blipFill>
                    <a:blip r:embed="rId23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-273685</wp:posOffset>
            </wp:positionV>
            <wp:extent cx="8890" cy="8255"/>
            <wp:wrapNone/>
            <wp:docPr id="2346" name="Picture 2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6"/>
                    <pic:cNvPicPr>
                      <a:picLocks noChangeAspect="1" noChangeArrowheads="1"/>
                    </pic:cNvPicPr>
                  </pic:nvPicPr>
                  <pic:blipFill>
                    <a:blip r:embed="rId23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-273685</wp:posOffset>
            </wp:positionV>
            <wp:extent cx="8255" cy="8255"/>
            <wp:wrapNone/>
            <wp:docPr id="2347" name="Picture 2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7"/>
                    <pic:cNvPicPr>
                      <a:picLocks noChangeAspect="1" noChangeArrowheads="1"/>
                    </pic:cNvPicPr>
                  </pic:nvPicPr>
                  <pic:blipFill>
                    <a:blip r:embed="rId23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-273685</wp:posOffset>
            </wp:positionV>
            <wp:extent cx="8255" cy="8255"/>
            <wp:wrapNone/>
            <wp:docPr id="2348" name="Picture 2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8"/>
                    <pic:cNvPicPr>
                      <a:picLocks noChangeAspect="1" noChangeArrowheads="1"/>
                    </pic:cNvPicPr>
                  </pic:nvPicPr>
                  <pic:blipFill>
                    <a:blip r:embed="rId23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-273685</wp:posOffset>
            </wp:positionV>
            <wp:extent cx="8255" cy="8255"/>
            <wp:wrapNone/>
            <wp:docPr id="2349" name="Picture 2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9"/>
                    <pic:cNvPicPr>
                      <a:picLocks noChangeAspect="1" noChangeArrowheads="1"/>
                    </pic:cNvPicPr>
                  </pic:nvPicPr>
                  <pic:blipFill>
                    <a:blip r:embed="rId23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-273685</wp:posOffset>
            </wp:positionV>
            <wp:extent cx="8890" cy="8255"/>
            <wp:wrapNone/>
            <wp:docPr id="2350" name="Picture 2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0"/>
                    <pic:cNvPicPr>
                      <a:picLocks noChangeAspect="1" noChangeArrowheads="1"/>
                    </pic:cNvPicPr>
                  </pic:nvPicPr>
                  <pic:blipFill>
                    <a:blip r:embed="rId23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-273685</wp:posOffset>
            </wp:positionV>
            <wp:extent cx="8255" cy="8255"/>
            <wp:wrapNone/>
            <wp:docPr id="2351" name="Picture 2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1"/>
                    <pic:cNvPicPr>
                      <a:picLocks noChangeAspect="1" noChangeArrowheads="1"/>
                    </pic:cNvPicPr>
                  </pic:nvPicPr>
                  <pic:blipFill>
                    <a:blip r:embed="rId23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-273685</wp:posOffset>
            </wp:positionV>
            <wp:extent cx="8255" cy="8255"/>
            <wp:wrapNone/>
            <wp:docPr id="2352" name="Picture 2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2"/>
                    <pic:cNvPicPr>
                      <a:picLocks noChangeAspect="1" noChangeArrowheads="1"/>
                    </pic:cNvPicPr>
                  </pic:nvPicPr>
                  <pic:blipFill>
                    <a:blip r:embed="rId23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-273685</wp:posOffset>
            </wp:positionV>
            <wp:extent cx="8890" cy="8255"/>
            <wp:wrapNone/>
            <wp:docPr id="2353" name="Picture 2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3"/>
                    <pic:cNvPicPr>
                      <a:picLocks noChangeAspect="1" noChangeArrowheads="1"/>
                    </pic:cNvPicPr>
                  </pic:nvPicPr>
                  <pic:blipFill>
                    <a:blip r:embed="rId2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-273685</wp:posOffset>
            </wp:positionV>
            <wp:extent cx="8255" cy="8255"/>
            <wp:wrapNone/>
            <wp:docPr id="2354" name="Picture 2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4"/>
                    <pic:cNvPicPr>
                      <a:picLocks noChangeAspect="1" noChangeArrowheads="1"/>
                    </pic:cNvPicPr>
                  </pic:nvPicPr>
                  <pic:blipFill>
                    <a:blip r:embed="rId23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-273685</wp:posOffset>
            </wp:positionV>
            <wp:extent cx="8255" cy="8255"/>
            <wp:wrapNone/>
            <wp:docPr id="2355" name="Picture 2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5"/>
                    <pic:cNvPicPr>
                      <a:picLocks noChangeAspect="1" noChangeArrowheads="1"/>
                    </pic:cNvPicPr>
                  </pic:nvPicPr>
                  <pic:blipFill>
                    <a:blip r:embed="rId23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-273685</wp:posOffset>
            </wp:positionV>
            <wp:extent cx="8255" cy="8255"/>
            <wp:wrapNone/>
            <wp:docPr id="2356" name="Picture 2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6"/>
                    <pic:cNvPicPr>
                      <a:picLocks noChangeAspect="1" noChangeArrowheads="1"/>
                    </pic:cNvPicPr>
                  </pic:nvPicPr>
                  <pic:blipFill>
                    <a:blip r:embed="rId23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-273685</wp:posOffset>
            </wp:positionV>
            <wp:extent cx="8255" cy="8255"/>
            <wp:wrapNone/>
            <wp:docPr id="2357" name="Picture 2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7"/>
                    <pic:cNvPicPr>
                      <a:picLocks noChangeAspect="1" noChangeArrowheads="1"/>
                    </pic:cNvPicPr>
                  </pic:nvPicPr>
                  <pic:blipFill>
                    <a:blip r:embed="rId23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-273685</wp:posOffset>
            </wp:positionV>
            <wp:extent cx="8255" cy="8255"/>
            <wp:wrapNone/>
            <wp:docPr id="2358" name="Picture 2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8"/>
                    <pic:cNvPicPr>
                      <a:picLocks noChangeAspect="1" noChangeArrowheads="1"/>
                    </pic:cNvPicPr>
                  </pic:nvPicPr>
                  <pic:blipFill>
                    <a:blip r:embed="rId23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-273685</wp:posOffset>
            </wp:positionV>
            <wp:extent cx="8890" cy="8255"/>
            <wp:wrapNone/>
            <wp:docPr id="2359" name="Picture 2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9"/>
                    <pic:cNvPicPr>
                      <a:picLocks noChangeAspect="1" noChangeArrowheads="1"/>
                    </pic:cNvPicPr>
                  </pic:nvPicPr>
                  <pic:blipFill>
                    <a:blip r:embed="rId23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-273685</wp:posOffset>
            </wp:positionV>
            <wp:extent cx="8255" cy="8255"/>
            <wp:wrapNone/>
            <wp:docPr id="2360" name="Picture 2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0"/>
                    <pic:cNvPicPr>
                      <a:picLocks noChangeAspect="1" noChangeArrowheads="1"/>
                    </pic:cNvPicPr>
                  </pic:nvPicPr>
                  <pic:blipFill>
                    <a:blip r:embed="rId23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-273685</wp:posOffset>
            </wp:positionV>
            <wp:extent cx="8255" cy="8255"/>
            <wp:wrapNone/>
            <wp:docPr id="2361" name="Picture 2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1"/>
                    <pic:cNvPicPr>
                      <a:picLocks noChangeAspect="1" noChangeArrowheads="1"/>
                    </pic:cNvPicPr>
                  </pic:nvPicPr>
                  <pic:blipFill>
                    <a:blip r:embed="rId23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-273685</wp:posOffset>
            </wp:positionV>
            <wp:extent cx="8890" cy="8255"/>
            <wp:wrapNone/>
            <wp:docPr id="2362" name="Picture 2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2"/>
                    <pic:cNvPicPr>
                      <a:picLocks noChangeAspect="1" noChangeArrowheads="1"/>
                    </pic:cNvPicPr>
                  </pic:nvPicPr>
                  <pic:blipFill>
                    <a:blip r:embed="rId23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-273685</wp:posOffset>
            </wp:positionV>
            <wp:extent cx="8255" cy="8255"/>
            <wp:wrapNone/>
            <wp:docPr id="2363" name="Picture 2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3"/>
                    <pic:cNvPicPr>
                      <a:picLocks noChangeAspect="1" noChangeArrowheads="1"/>
                    </pic:cNvPicPr>
                  </pic:nvPicPr>
                  <pic:blipFill>
                    <a:blip r:embed="rId23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-273685</wp:posOffset>
            </wp:positionV>
            <wp:extent cx="8255" cy="8255"/>
            <wp:wrapNone/>
            <wp:docPr id="2364" name="Picture 2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4"/>
                    <pic:cNvPicPr>
                      <a:picLocks noChangeAspect="1" noChangeArrowheads="1"/>
                    </pic:cNvPicPr>
                  </pic:nvPicPr>
                  <pic:blipFill>
                    <a:blip r:embed="rId23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-273685</wp:posOffset>
            </wp:positionV>
            <wp:extent cx="8255" cy="8255"/>
            <wp:wrapNone/>
            <wp:docPr id="2365" name="Picture 2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5"/>
                    <pic:cNvPicPr>
                      <a:picLocks noChangeAspect="1" noChangeArrowheads="1"/>
                    </pic:cNvPicPr>
                  </pic:nvPicPr>
                  <pic:blipFill>
                    <a:blip r:embed="rId23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-273685</wp:posOffset>
            </wp:positionV>
            <wp:extent cx="8255" cy="8255"/>
            <wp:wrapNone/>
            <wp:docPr id="2366" name="Picture 2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6"/>
                    <pic:cNvPicPr>
                      <a:picLocks noChangeAspect="1" noChangeArrowheads="1"/>
                    </pic:cNvPicPr>
                  </pic:nvPicPr>
                  <pic:blipFill>
                    <a:blip r:embed="rId2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-273685</wp:posOffset>
            </wp:positionV>
            <wp:extent cx="8255" cy="8255"/>
            <wp:wrapNone/>
            <wp:docPr id="2367" name="Picture 2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7"/>
                    <pic:cNvPicPr>
                      <a:picLocks noChangeAspect="1" noChangeArrowheads="1"/>
                    </pic:cNvPicPr>
                  </pic:nvPicPr>
                  <pic:blipFill>
                    <a:blip r:embed="rId23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-273685</wp:posOffset>
            </wp:positionV>
            <wp:extent cx="8255" cy="8255"/>
            <wp:wrapNone/>
            <wp:docPr id="2368" name="Picture 2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8"/>
                    <pic:cNvPicPr>
                      <a:picLocks noChangeAspect="1" noChangeArrowheads="1"/>
                    </pic:cNvPicPr>
                  </pic:nvPicPr>
                  <pic:blipFill>
                    <a:blip r:embed="rId23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-273685</wp:posOffset>
            </wp:positionV>
            <wp:extent cx="8255" cy="8255"/>
            <wp:wrapNone/>
            <wp:docPr id="2369" name="Picture 2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9"/>
                    <pic:cNvPicPr>
                      <a:picLocks noChangeAspect="1" noChangeArrowheads="1"/>
                    </pic:cNvPicPr>
                  </pic:nvPicPr>
                  <pic:blipFill>
                    <a:blip r:embed="rId23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-273685</wp:posOffset>
            </wp:positionV>
            <wp:extent cx="8255" cy="8255"/>
            <wp:wrapNone/>
            <wp:docPr id="2370" name="Picture 2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0"/>
                    <pic:cNvPicPr>
                      <a:picLocks noChangeAspect="1" noChangeArrowheads="1"/>
                    </pic:cNvPicPr>
                  </pic:nvPicPr>
                  <pic:blipFill>
                    <a:blip r:embed="rId23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-273685</wp:posOffset>
            </wp:positionV>
            <wp:extent cx="8255" cy="8255"/>
            <wp:wrapNone/>
            <wp:docPr id="2371" name="Picture 2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1"/>
                    <pic:cNvPicPr>
                      <a:picLocks noChangeAspect="1" noChangeArrowheads="1"/>
                    </pic:cNvPicPr>
                  </pic:nvPicPr>
                  <pic:blipFill>
                    <a:blip r:embed="rId23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-273685</wp:posOffset>
            </wp:positionV>
            <wp:extent cx="8255" cy="8255"/>
            <wp:wrapNone/>
            <wp:docPr id="2372" name="Picture 2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2"/>
                    <pic:cNvPicPr>
                      <a:picLocks noChangeAspect="1" noChangeArrowheads="1"/>
                    </pic:cNvPicPr>
                  </pic:nvPicPr>
                  <pic:blipFill>
                    <a:blip r:embed="rId23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-273685</wp:posOffset>
            </wp:positionV>
            <wp:extent cx="8890" cy="8255"/>
            <wp:wrapNone/>
            <wp:docPr id="2373" name="Picture 2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3"/>
                    <pic:cNvPicPr>
                      <a:picLocks noChangeAspect="1" noChangeArrowheads="1"/>
                    </pic:cNvPicPr>
                  </pic:nvPicPr>
                  <pic:blipFill>
                    <a:blip r:embed="rId23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-273685</wp:posOffset>
            </wp:positionV>
            <wp:extent cx="8255" cy="8255"/>
            <wp:wrapNone/>
            <wp:docPr id="2374" name="Picture 2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4"/>
                    <pic:cNvPicPr>
                      <a:picLocks noChangeAspect="1" noChangeArrowheads="1"/>
                    </pic:cNvPicPr>
                  </pic:nvPicPr>
                  <pic:blipFill>
                    <a:blip r:embed="rId23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-273685</wp:posOffset>
            </wp:positionV>
            <wp:extent cx="8255" cy="8255"/>
            <wp:wrapNone/>
            <wp:docPr id="2375" name="Picture 2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5"/>
                    <pic:cNvPicPr>
                      <a:picLocks noChangeAspect="1" noChangeArrowheads="1"/>
                    </pic:cNvPicPr>
                  </pic:nvPicPr>
                  <pic:blipFill>
                    <a:blip r:embed="rId23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-273685</wp:posOffset>
            </wp:positionV>
            <wp:extent cx="8890" cy="8255"/>
            <wp:wrapNone/>
            <wp:docPr id="2376" name="Picture 2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6"/>
                    <pic:cNvPicPr>
                      <a:picLocks noChangeAspect="1" noChangeArrowheads="1"/>
                    </pic:cNvPicPr>
                  </pic:nvPicPr>
                  <pic:blipFill>
                    <a:blip r:embed="rId23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-273685</wp:posOffset>
            </wp:positionV>
            <wp:extent cx="8890" cy="8255"/>
            <wp:wrapNone/>
            <wp:docPr id="2377" name="Picture 2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7"/>
                    <pic:cNvPicPr>
                      <a:picLocks noChangeAspect="1" noChangeArrowheads="1"/>
                    </pic:cNvPicPr>
                  </pic:nvPicPr>
                  <pic:blipFill>
                    <a:blip r:embed="rId23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-273685</wp:posOffset>
            </wp:positionV>
            <wp:extent cx="8890" cy="8255"/>
            <wp:wrapNone/>
            <wp:docPr id="2378" name="Picture 2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8"/>
                    <pic:cNvPicPr>
                      <a:picLocks noChangeAspect="1" noChangeArrowheads="1"/>
                    </pic:cNvPicPr>
                  </pic:nvPicPr>
                  <pic:blipFill>
                    <a:blip r:embed="rId23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-273685</wp:posOffset>
            </wp:positionV>
            <wp:extent cx="8890" cy="8255"/>
            <wp:wrapNone/>
            <wp:docPr id="2379" name="Picture 2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9"/>
                    <pic:cNvPicPr>
                      <a:picLocks noChangeAspect="1" noChangeArrowheads="1"/>
                    </pic:cNvPicPr>
                  </pic:nvPicPr>
                  <pic:blipFill>
                    <a:blip r:embed="rId23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-273685</wp:posOffset>
            </wp:positionV>
            <wp:extent cx="8890" cy="8255"/>
            <wp:wrapNone/>
            <wp:docPr id="2380" name="Picture 2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0"/>
                    <pic:cNvPicPr>
                      <a:picLocks noChangeAspect="1" noChangeArrowheads="1"/>
                    </pic:cNvPicPr>
                  </pic:nvPicPr>
                  <pic:blipFill>
                    <a:blip r:embed="rId23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-273685</wp:posOffset>
            </wp:positionV>
            <wp:extent cx="8255" cy="8255"/>
            <wp:wrapNone/>
            <wp:docPr id="2381" name="Picture 2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1"/>
                    <pic:cNvPicPr>
                      <a:picLocks noChangeAspect="1" noChangeArrowheads="1"/>
                    </pic:cNvPicPr>
                  </pic:nvPicPr>
                  <pic:blipFill>
                    <a:blip r:embed="rId23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-273685</wp:posOffset>
            </wp:positionV>
            <wp:extent cx="8255" cy="8255"/>
            <wp:wrapNone/>
            <wp:docPr id="2382" name="Picture 2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2"/>
                    <pic:cNvPicPr>
                      <a:picLocks noChangeAspect="1" noChangeArrowheads="1"/>
                    </pic:cNvPicPr>
                  </pic:nvPicPr>
                  <pic:blipFill>
                    <a:blip r:embed="rId23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-273685</wp:posOffset>
            </wp:positionV>
            <wp:extent cx="8890" cy="8255"/>
            <wp:wrapNone/>
            <wp:docPr id="2383" name="Picture 2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3"/>
                    <pic:cNvPicPr>
                      <a:picLocks noChangeAspect="1" noChangeArrowheads="1"/>
                    </pic:cNvPicPr>
                  </pic:nvPicPr>
                  <pic:blipFill>
                    <a:blip r:embed="rId23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-273685</wp:posOffset>
            </wp:positionV>
            <wp:extent cx="8890" cy="8255"/>
            <wp:wrapNone/>
            <wp:docPr id="2384" name="Picture 2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4"/>
                    <pic:cNvPicPr>
                      <a:picLocks noChangeAspect="1" noChangeArrowheads="1"/>
                    </pic:cNvPicPr>
                  </pic:nvPicPr>
                  <pic:blipFill>
                    <a:blip r:embed="rId23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-273685</wp:posOffset>
            </wp:positionV>
            <wp:extent cx="8890" cy="8255"/>
            <wp:wrapNone/>
            <wp:docPr id="2385" name="Picture 2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5"/>
                    <pic:cNvPicPr>
                      <a:picLocks noChangeAspect="1" noChangeArrowheads="1"/>
                    </pic:cNvPicPr>
                  </pic:nvPicPr>
                  <pic:blipFill>
                    <a:blip r:embed="rId23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-273685</wp:posOffset>
            </wp:positionV>
            <wp:extent cx="8255" cy="8255"/>
            <wp:wrapNone/>
            <wp:docPr id="2386" name="Picture 2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6"/>
                    <pic:cNvPicPr>
                      <a:picLocks noChangeAspect="1" noChangeArrowheads="1"/>
                    </pic:cNvPicPr>
                  </pic:nvPicPr>
                  <pic:blipFill>
                    <a:blip r:embed="rId23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-273685</wp:posOffset>
            </wp:positionV>
            <wp:extent cx="8255" cy="8255"/>
            <wp:wrapNone/>
            <wp:docPr id="2387" name="Picture 2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7"/>
                    <pic:cNvPicPr>
                      <a:picLocks noChangeAspect="1" noChangeArrowheads="1"/>
                    </pic:cNvPicPr>
                  </pic:nvPicPr>
                  <pic:blipFill>
                    <a:blip r:embed="rId23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-273685</wp:posOffset>
            </wp:positionV>
            <wp:extent cx="8255" cy="8255"/>
            <wp:wrapNone/>
            <wp:docPr id="2388" name="Picture 2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8"/>
                    <pic:cNvPicPr>
                      <a:picLocks noChangeAspect="1" noChangeArrowheads="1"/>
                    </pic:cNvPicPr>
                  </pic:nvPicPr>
                  <pic:blipFill>
                    <a:blip r:embed="rId2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-273685</wp:posOffset>
            </wp:positionV>
            <wp:extent cx="8890" cy="8255"/>
            <wp:wrapNone/>
            <wp:docPr id="2389" name="Picture 2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9"/>
                    <pic:cNvPicPr>
                      <a:picLocks noChangeAspect="1" noChangeArrowheads="1"/>
                    </pic:cNvPicPr>
                  </pic:nvPicPr>
                  <pic:blipFill>
                    <a:blip r:embed="rId2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-273685</wp:posOffset>
            </wp:positionV>
            <wp:extent cx="8890" cy="8255"/>
            <wp:wrapNone/>
            <wp:docPr id="2390" name="Picture 2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0"/>
                    <pic:cNvPicPr>
                      <a:picLocks noChangeAspect="1" noChangeArrowheads="1"/>
                    </pic:cNvPicPr>
                  </pic:nvPicPr>
                  <pic:blipFill>
                    <a:blip r:embed="rId23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-273685</wp:posOffset>
            </wp:positionV>
            <wp:extent cx="8890" cy="8255"/>
            <wp:wrapNone/>
            <wp:docPr id="2391" name="Picture 2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1"/>
                    <pic:cNvPicPr>
                      <a:picLocks noChangeAspect="1" noChangeArrowheads="1"/>
                    </pic:cNvPicPr>
                  </pic:nvPicPr>
                  <pic:blipFill>
                    <a:blip r:embed="rId23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-273685</wp:posOffset>
            </wp:positionV>
            <wp:extent cx="8255" cy="8255"/>
            <wp:wrapNone/>
            <wp:docPr id="2392" name="Picture 2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2"/>
                    <pic:cNvPicPr>
                      <a:picLocks noChangeAspect="1" noChangeArrowheads="1"/>
                    </pic:cNvPicPr>
                  </pic:nvPicPr>
                  <pic:blipFill>
                    <a:blip r:embed="rId23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-273685</wp:posOffset>
            </wp:positionV>
            <wp:extent cx="8255" cy="8255"/>
            <wp:wrapNone/>
            <wp:docPr id="2393" name="Picture 2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3"/>
                    <pic:cNvPicPr>
                      <a:picLocks noChangeAspect="1" noChangeArrowheads="1"/>
                    </pic:cNvPicPr>
                  </pic:nvPicPr>
                  <pic:blipFill>
                    <a:blip r:embed="rId24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-273685</wp:posOffset>
            </wp:positionV>
            <wp:extent cx="8890" cy="8255"/>
            <wp:wrapNone/>
            <wp:docPr id="2394" name="Picture 2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4"/>
                    <pic:cNvPicPr>
                      <a:picLocks noChangeAspect="1" noChangeArrowheads="1"/>
                    </pic:cNvPicPr>
                  </pic:nvPicPr>
                  <pic:blipFill>
                    <a:blip r:embed="rId2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-273685</wp:posOffset>
            </wp:positionV>
            <wp:extent cx="8890" cy="8255"/>
            <wp:wrapNone/>
            <wp:docPr id="2395" name="Picture 2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5"/>
                    <pic:cNvPicPr>
                      <a:picLocks noChangeAspect="1" noChangeArrowheads="1"/>
                    </pic:cNvPicPr>
                  </pic:nvPicPr>
                  <pic:blipFill>
                    <a:blip r:embed="rId24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-273685</wp:posOffset>
            </wp:positionV>
            <wp:extent cx="8890" cy="8255"/>
            <wp:wrapNone/>
            <wp:docPr id="2396" name="Picture 2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6"/>
                    <pic:cNvPicPr>
                      <a:picLocks noChangeAspect="1" noChangeArrowheads="1"/>
                    </pic:cNvPicPr>
                  </pic:nvPicPr>
                  <pic:blipFill>
                    <a:blip r:embed="rId24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-273685</wp:posOffset>
            </wp:positionV>
            <wp:extent cx="8255" cy="8255"/>
            <wp:wrapNone/>
            <wp:docPr id="2397" name="Picture 2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7"/>
                    <pic:cNvPicPr>
                      <a:picLocks noChangeAspect="1" noChangeArrowheads="1"/>
                    </pic:cNvPicPr>
                  </pic:nvPicPr>
                  <pic:blipFill>
                    <a:blip r:embed="rId24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-273685</wp:posOffset>
            </wp:positionV>
            <wp:extent cx="8255" cy="8255"/>
            <wp:wrapNone/>
            <wp:docPr id="2398" name="Picture 2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8"/>
                    <pic:cNvPicPr>
                      <a:picLocks noChangeAspect="1" noChangeArrowheads="1"/>
                    </pic:cNvPicPr>
                  </pic:nvPicPr>
                  <pic:blipFill>
                    <a:blip r:embed="rId24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-273685</wp:posOffset>
            </wp:positionV>
            <wp:extent cx="8255" cy="8255"/>
            <wp:wrapNone/>
            <wp:docPr id="2399" name="Picture 2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9"/>
                    <pic:cNvPicPr>
                      <a:picLocks noChangeAspect="1" noChangeArrowheads="1"/>
                    </pic:cNvPicPr>
                  </pic:nvPicPr>
                  <pic:blipFill>
                    <a:blip r:embed="rId24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-273685</wp:posOffset>
            </wp:positionV>
            <wp:extent cx="8890" cy="8255"/>
            <wp:wrapNone/>
            <wp:docPr id="2400" name="Picture 2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0"/>
                    <pic:cNvPicPr>
                      <a:picLocks noChangeAspect="1" noChangeArrowheads="1"/>
                    </pic:cNvPicPr>
                  </pic:nvPicPr>
                  <pic:blipFill>
                    <a:blip r:embed="rId2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-273685</wp:posOffset>
            </wp:positionV>
            <wp:extent cx="8890" cy="8255"/>
            <wp:wrapNone/>
            <wp:docPr id="2401" name="Picture 2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1"/>
                    <pic:cNvPicPr>
                      <a:picLocks noChangeAspect="1" noChangeArrowheads="1"/>
                    </pic:cNvPicPr>
                  </pic:nvPicPr>
                  <pic:blipFill>
                    <a:blip r:embed="rId24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-273685</wp:posOffset>
            </wp:positionV>
            <wp:extent cx="8890" cy="8255"/>
            <wp:wrapNone/>
            <wp:docPr id="2402" name="Picture 2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2"/>
                    <pic:cNvPicPr>
                      <a:picLocks noChangeAspect="1" noChangeArrowheads="1"/>
                    </pic:cNvPicPr>
                  </pic:nvPicPr>
                  <pic:blipFill>
                    <a:blip r:embed="rId24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-273685</wp:posOffset>
            </wp:positionV>
            <wp:extent cx="8255" cy="8255"/>
            <wp:wrapNone/>
            <wp:docPr id="2403" name="Picture 2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3"/>
                    <pic:cNvPicPr>
                      <a:picLocks noChangeAspect="1" noChangeArrowheads="1"/>
                    </pic:cNvPicPr>
                  </pic:nvPicPr>
                  <pic:blipFill>
                    <a:blip r:embed="rId24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-273685</wp:posOffset>
            </wp:positionV>
            <wp:extent cx="8255" cy="8255"/>
            <wp:wrapNone/>
            <wp:docPr id="2404" name="Picture 2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4"/>
                    <pic:cNvPicPr>
                      <a:picLocks noChangeAspect="1" noChangeArrowheads="1"/>
                    </pic:cNvPicPr>
                  </pic:nvPicPr>
                  <pic:blipFill>
                    <a:blip r:embed="rId24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-273685</wp:posOffset>
            </wp:positionV>
            <wp:extent cx="8890" cy="8255"/>
            <wp:wrapNone/>
            <wp:docPr id="2405" name="Picture 2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5"/>
                    <pic:cNvPicPr>
                      <a:picLocks noChangeAspect="1" noChangeArrowheads="1"/>
                    </pic:cNvPicPr>
                  </pic:nvPicPr>
                  <pic:blipFill>
                    <a:blip r:embed="rId24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-273685</wp:posOffset>
            </wp:positionV>
            <wp:extent cx="8890" cy="8255"/>
            <wp:wrapNone/>
            <wp:docPr id="2406" name="Picture 2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6"/>
                    <pic:cNvPicPr>
                      <a:picLocks noChangeAspect="1" noChangeArrowheads="1"/>
                    </pic:cNvPicPr>
                  </pic:nvPicPr>
                  <pic:blipFill>
                    <a:blip r:embed="rId24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-273685</wp:posOffset>
            </wp:positionV>
            <wp:extent cx="8890" cy="8255"/>
            <wp:wrapNone/>
            <wp:docPr id="2407" name="Picture 2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7"/>
                    <pic:cNvPicPr>
                      <a:picLocks noChangeAspect="1" noChangeArrowheads="1"/>
                    </pic:cNvPicPr>
                  </pic:nvPicPr>
                  <pic:blipFill>
                    <a:blip r:embed="rId24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-273685</wp:posOffset>
            </wp:positionV>
            <wp:extent cx="8255" cy="8255"/>
            <wp:wrapNone/>
            <wp:docPr id="2408" name="Picture 2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8"/>
                    <pic:cNvPicPr>
                      <a:picLocks noChangeAspect="1" noChangeArrowheads="1"/>
                    </pic:cNvPicPr>
                  </pic:nvPicPr>
                  <pic:blipFill>
                    <a:blip r:embed="rId24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-273685</wp:posOffset>
            </wp:positionV>
            <wp:extent cx="8255" cy="8255"/>
            <wp:wrapNone/>
            <wp:docPr id="2409" name="Picture 2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9"/>
                    <pic:cNvPicPr>
                      <a:picLocks noChangeAspect="1" noChangeArrowheads="1"/>
                    </pic:cNvPicPr>
                  </pic:nvPicPr>
                  <pic:blipFill>
                    <a:blip r:embed="rId24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-273685</wp:posOffset>
            </wp:positionV>
            <wp:extent cx="8255" cy="8255"/>
            <wp:wrapNone/>
            <wp:docPr id="2410" name="Picture 2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0"/>
                    <pic:cNvPicPr>
                      <a:picLocks noChangeAspect="1" noChangeArrowheads="1"/>
                    </pic:cNvPicPr>
                  </pic:nvPicPr>
                  <pic:blipFill>
                    <a:blip r:embed="rId24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-273685</wp:posOffset>
            </wp:positionV>
            <wp:extent cx="8890" cy="8255"/>
            <wp:wrapNone/>
            <wp:docPr id="2411" name="Picture 2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1"/>
                    <pic:cNvPicPr>
                      <a:picLocks noChangeAspect="1" noChangeArrowheads="1"/>
                    </pic:cNvPicPr>
                  </pic:nvPicPr>
                  <pic:blipFill>
                    <a:blip r:embed="rId2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-273685</wp:posOffset>
            </wp:positionV>
            <wp:extent cx="8890" cy="8255"/>
            <wp:wrapNone/>
            <wp:docPr id="2412" name="Picture 2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2"/>
                    <pic:cNvPicPr>
                      <a:picLocks noChangeAspect="1" noChangeArrowheads="1"/>
                    </pic:cNvPicPr>
                  </pic:nvPicPr>
                  <pic:blipFill>
                    <a:blip r:embed="rId24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-273685</wp:posOffset>
            </wp:positionV>
            <wp:extent cx="8890" cy="8255"/>
            <wp:wrapNone/>
            <wp:docPr id="2413" name="Picture 2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3"/>
                    <pic:cNvPicPr>
                      <a:picLocks noChangeAspect="1" noChangeArrowheads="1"/>
                    </pic:cNvPicPr>
                  </pic:nvPicPr>
                  <pic:blipFill>
                    <a:blip r:embed="rId2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-273685</wp:posOffset>
            </wp:positionV>
            <wp:extent cx="8255" cy="8255"/>
            <wp:wrapNone/>
            <wp:docPr id="2414" name="Picture 2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4"/>
                    <pic:cNvPicPr>
                      <a:picLocks noChangeAspect="1" noChangeArrowheads="1"/>
                    </pic:cNvPicPr>
                  </pic:nvPicPr>
                  <pic:blipFill>
                    <a:blip r:embed="rId24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-273685</wp:posOffset>
            </wp:positionV>
            <wp:extent cx="8255" cy="8255"/>
            <wp:wrapNone/>
            <wp:docPr id="2415" name="Picture 2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5"/>
                    <pic:cNvPicPr>
                      <a:picLocks noChangeAspect="1" noChangeArrowheads="1"/>
                    </pic:cNvPicPr>
                  </pic:nvPicPr>
                  <pic:blipFill>
                    <a:blip r:embed="rId24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-273685</wp:posOffset>
            </wp:positionV>
            <wp:extent cx="8890" cy="8255"/>
            <wp:wrapNone/>
            <wp:docPr id="2416" name="Picture 2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6"/>
                    <pic:cNvPicPr>
                      <a:picLocks noChangeAspect="1" noChangeArrowheads="1"/>
                    </pic:cNvPicPr>
                  </pic:nvPicPr>
                  <pic:blipFill>
                    <a:blip r:embed="rId24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-273685</wp:posOffset>
            </wp:positionV>
            <wp:extent cx="8890" cy="8255"/>
            <wp:wrapNone/>
            <wp:docPr id="2417" name="Picture 2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7"/>
                    <pic:cNvPicPr>
                      <a:picLocks noChangeAspect="1" noChangeArrowheads="1"/>
                    </pic:cNvPicPr>
                  </pic:nvPicPr>
                  <pic:blipFill>
                    <a:blip r:embed="rId24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-273685</wp:posOffset>
            </wp:positionV>
            <wp:extent cx="8890" cy="8255"/>
            <wp:wrapNone/>
            <wp:docPr id="2418" name="Picture 2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8"/>
                    <pic:cNvPicPr>
                      <a:picLocks noChangeAspect="1" noChangeArrowheads="1"/>
                    </pic:cNvPicPr>
                  </pic:nvPicPr>
                  <pic:blipFill>
                    <a:blip r:embed="rId2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-273685</wp:posOffset>
            </wp:positionV>
            <wp:extent cx="8890" cy="8255"/>
            <wp:wrapNone/>
            <wp:docPr id="2419" name="Picture 2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9"/>
                    <pic:cNvPicPr>
                      <a:picLocks noChangeAspect="1" noChangeArrowheads="1"/>
                    </pic:cNvPicPr>
                  </pic:nvPicPr>
                  <pic:blipFill>
                    <a:blip r:embed="rId2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-273685</wp:posOffset>
            </wp:positionV>
            <wp:extent cx="8255" cy="8255"/>
            <wp:wrapNone/>
            <wp:docPr id="2420" name="Picture 2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0"/>
                    <pic:cNvPicPr>
                      <a:picLocks noChangeAspect="1" noChangeArrowheads="1"/>
                    </pic:cNvPicPr>
                  </pic:nvPicPr>
                  <pic:blipFill>
                    <a:blip r:embed="rId24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-273685</wp:posOffset>
            </wp:positionV>
            <wp:extent cx="8255" cy="8255"/>
            <wp:wrapNone/>
            <wp:docPr id="2421" name="Picture 2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1"/>
                    <pic:cNvPicPr>
                      <a:picLocks noChangeAspect="1" noChangeArrowheads="1"/>
                    </pic:cNvPicPr>
                  </pic:nvPicPr>
                  <pic:blipFill>
                    <a:blip r:embed="rId24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-273685</wp:posOffset>
            </wp:positionV>
            <wp:extent cx="8890" cy="8255"/>
            <wp:wrapNone/>
            <wp:docPr id="2422" name="Picture 2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2"/>
                    <pic:cNvPicPr>
                      <a:picLocks noChangeAspect="1" noChangeArrowheads="1"/>
                    </pic:cNvPicPr>
                  </pic:nvPicPr>
                  <pic:blipFill>
                    <a:blip r:embed="rId24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-273685</wp:posOffset>
            </wp:positionV>
            <wp:extent cx="8890" cy="8255"/>
            <wp:wrapNone/>
            <wp:docPr id="2423" name="Picture 2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3"/>
                    <pic:cNvPicPr>
                      <a:picLocks noChangeAspect="1" noChangeArrowheads="1"/>
                    </pic:cNvPicPr>
                  </pic:nvPicPr>
                  <pic:blipFill>
                    <a:blip r:embed="rId24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-273685</wp:posOffset>
            </wp:positionV>
            <wp:extent cx="8890" cy="8255"/>
            <wp:wrapNone/>
            <wp:docPr id="2424" name="Picture 2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4"/>
                    <pic:cNvPicPr>
                      <a:picLocks noChangeAspect="1" noChangeArrowheads="1"/>
                    </pic:cNvPicPr>
                  </pic:nvPicPr>
                  <pic:blipFill>
                    <a:blip r:embed="rId2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-273685</wp:posOffset>
            </wp:positionV>
            <wp:extent cx="8890" cy="8255"/>
            <wp:wrapNone/>
            <wp:docPr id="2425" name="Picture 2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5"/>
                    <pic:cNvPicPr>
                      <a:picLocks noChangeAspect="1" noChangeArrowheads="1"/>
                    </pic:cNvPicPr>
                  </pic:nvPicPr>
                  <pic:blipFill>
                    <a:blip r:embed="rId2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-273685</wp:posOffset>
            </wp:positionV>
            <wp:extent cx="8890" cy="8255"/>
            <wp:wrapNone/>
            <wp:docPr id="2426" name="Picture 2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6"/>
                    <pic:cNvPicPr>
                      <a:picLocks noChangeAspect="1" noChangeArrowheads="1"/>
                    </pic:cNvPicPr>
                  </pic:nvPicPr>
                  <pic:blipFill>
                    <a:blip r:embed="rId24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-273685</wp:posOffset>
            </wp:positionV>
            <wp:extent cx="8890" cy="8255"/>
            <wp:wrapNone/>
            <wp:docPr id="2427" name="Picture 2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7"/>
                    <pic:cNvPicPr>
                      <a:picLocks noChangeAspect="1" noChangeArrowheads="1"/>
                    </pic:cNvPicPr>
                  </pic:nvPicPr>
                  <pic:blipFill>
                    <a:blip r:embed="rId24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-273685</wp:posOffset>
            </wp:positionV>
            <wp:extent cx="8890" cy="8255"/>
            <wp:wrapNone/>
            <wp:docPr id="2428" name="Picture 2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8"/>
                    <pic:cNvPicPr>
                      <a:picLocks noChangeAspect="1" noChangeArrowheads="1"/>
                    </pic:cNvPicPr>
                  </pic:nvPicPr>
                  <pic:blipFill>
                    <a:blip r:embed="rId2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-273685</wp:posOffset>
            </wp:positionV>
            <wp:extent cx="8255" cy="8255"/>
            <wp:wrapNone/>
            <wp:docPr id="2429" name="Picture 2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9"/>
                    <pic:cNvPicPr>
                      <a:picLocks noChangeAspect="1" noChangeArrowheads="1"/>
                    </pic:cNvPicPr>
                  </pic:nvPicPr>
                  <pic:blipFill>
                    <a:blip r:embed="rId24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-273685</wp:posOffset>
            </wp:positionV>
            <wp:extent cx="8890" cy="8255"/>
            <wp:wrapNone/>
            <wp:docPr id="2430" name="Picture 2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0"/>
                    <pic:cNvPicPr>
                      <a:picLocks noChangeAspect="1" noChangeArrowheads="1"/>
                    </pic:cNvPicPr>
                  </pic:nvPicPr>
                  <pic:blipFill>
                    <a:blip r:embed="rId2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-273685</wp:posOffset>
            </wp:positionV>
            <wp:extent cx="8890" cy="8255"/>
            <wp:wrapNone/>
            <wp:docPr id="2431" name="Picture 2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1"/>
                    <pic:cNvPicPr>
                      <a:picLocks noChangeAspect="1" noChangeArrowheads="1"/>
                    </pic:cNvPicPr>
                  </pic:nvPicPr>
                  <pic:blipFill>
                    <a:blip r:embed="rId24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-273685</wp:posOffset>
            </wp:positionV>
            <wp:extent cx="8890" cy="8255"/>
            <wp:wrapNone/>
            <wp:docPr id="2432" name="Picture 2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2"/>
                    <pic:cNvPicPr>
                      <a:picLocks noChangeAspect="1" noChangeArrowheads="1"/>
                    </pic:cNvPicPr>
                  </pic:nvPicPr>
                  <pic:blipFill>
                    <a:blip r:embed="rId24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-273685</wp:posOffset>
            </wp:positionV>
            <wp:extent cx="8890" cy="8255"/>
            <wp:wrapNone/>
            <wp:docPr id="2433" name="Picture 2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3"/>
                    <pic:cNvPicPr>
                      <a:picLocks noChangeAspect="1" noChangeArrowheads="1"/>
                    </pic:cNvPicPr>
                  </pic:nvPicPr>
                  <pic:blipFill>
                    <a:blip r:embed="rId24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-273685</wp:posOffset>
            </wp:positionV>
            <wp:extent cx="8255" cy="8255"/>
            <wp:wrapNone/>
            <wp:docPr id="2434" name="Picture 2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4"/>
                    <pic:cNvPicPr>
                      <a:picLocks noChangeAspect="1" noChangeArrowheads="1"/>
                    </pic:cNvPicPr>
                  </pic:nvPicPr>
                  <pic:blipFill>
                    <a:blip r:embed="rId24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-273685</wp:posOffset>
            </wp:positionV>
            <wp:extent cx="8890" cy="8255"/>
            <wp:wrapNone/>
            <wp:docPr id="2435" name="Picture 2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5"/>
                    <pic:cNvPicPr>
                      <a:picLocks noChangeAspect="1" noChangeArrowheads="1"/>
                    </pic:cNvPicPr>
                  </pic:nvPicPr>
                  <pic:blipFill>
                    <a:blip r:embed="rId24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-273685</wp:posOffset>
            </wp:positionV>
            <wp:extent cx="8890" cy="8255"/>
            <wp:wrapNone/>
            <wp:docPr id="2436" name="Picture 2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6"/>
                    <pic:cNvPicPr>
                      <a:picLocks noChangeAspect="1" noChangeArrowheads="1"/>
                    </pic:cNvPicPr>
                  </pic:nvPicPr>
                  <pic:blipFill>
                    <a:blip r:embed="rId24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-273685</wp:posOffset>
            </wp:positionV>
            <wp:extent cx="8890" cy="8255"/>
            <wp:wrapNone/>
            <wp:docPr id="2437" name="Picture 2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7"/>
                    <pic:cNvPicPr>
                      <a:picLocks noChangeAspect="1" noChangeArrowheads="1"/>
                    </pic:cNvPicPr>
                  </pic:nvPicPr>
                  <pic:blipFill>
                    <a:blip r:embed="rId24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-273685</wp:posOffset>
            </wp:positionV>
            <wp:extent cx="8890" cy="8255"/>
            <wp:wrapNone/>
            <wp:docPr id="2438" name="Picture 2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8"/>
                    <pic:cNvPicPr>
                      <a:picLocks noChangeAspect="1" noChangeArrowheads="1"/>
                    </pic:cNvPicPr>
                  </pic:nvPicPr>
                  <pic:blipFill>
                    <a:blip r:embed="rId2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-273685</wp:posOffset>
            </wp:positionV>
            <wp:extent cx="8255" cy="8255"/>
            <wp:wrapNone/>
            <wp:docPr id="2439" name="Picture 2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9"/>
                    <pic:cNvPicPr>
                      <a:picLocks noChangeAspect="1" noChangeArrowheads="1"/>
                    </pic:cNvPicPr>
                  </pic:nvPicPr>
                  <pic:blipFill>
                    <a:blip r:embed="rId24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-273685</wp:posOffset>
            </wp:positionV>
            <wp:extent cx="8890" cy="8255"/>
            <wp:wrapNone/>
            <wp:docPr id="2440" name="Picture 2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0"/>
                    <pic:cNvPicPr>
                      <a:picLocks noChangeAspect="1" noChangeArrowheads="1"/>
                    </pic:cNvPicPr>
                  </pic:nvPicPr>
                  <pic:blipFill>
                    <a:blip r:embed="rId24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-273685</wp:posOffset>
            </wp:positionV>
            <wp:extent cx="8890" cy="8255"/>
            <wp:wrapNone/>
            <wp:docPr id="2441" name="Picture 2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1"/>
                    <pic:cNvPicPr>
                      <a:picLocks noChangeAspect="1" noChangeArrowheads="1"/>
                    </pic:cNvPicPr>
                  </pic:nvPicPr>
                  <pic:blipFill>
                    <a:blip r:embed="rId24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-273685</wp:posOffset>
            </wp:positionV>
            <wp:extent cx="8890" cy="8255"/>
            <wp:wrapNone/>
            <wp:docPr id="2442" name="Picture 2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2"/>
                    <pic:cNvPicPr>
                      <a:picLocks noChangeAspect="1" noChangeArrowheads="1"/>
                    </pic:cNvPicPr>
                  </pic:nvPicPr>
                  <pic:blipFill>
                    <a:blip r:embed="rId2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-273685</wp:posOffset>
            </wp:positionV>
            <wp:extent cx="8890" cy="8255"/>
            <wp:wrapNone/>
            <wp:docPr id="2443" name="Picture 2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3"/>
                    <pic:cNvPicPr>
                      <a:picLocks noChangeAspect="1" noChangeArrowheads="1"/>
                    </pic:cNvPicPr>
                  </pic:nvPicPr>
                  <pic:blipFill>
                    <a:blip r:embed="rId2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-273685</wp:posOffset>
            </wp:positionV>
            <wp:extent cx="8890" cy="8255"/>
            <wp:wrapNone/>
            <wp:docPr id="2444" name="Picture 2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4"/>
                    <pic:cNvPicPr>
                      <a:picLocks noChangeAspect="1" noChangeArrowheads="1"/>
                    </pic:cNvPicPr>
                  </pic:nvPicPr>
                  <pic:blipFill>
                    <a:blip r:embed="rId2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-273685</wp:posOffset>
            </wp:positionV>
            <wp:extent cx="8890" cy="8255"/>
            <wp:wrapNone/>
            <wp:docPr id="2445" name="Picture 2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5"/>
                    <pic:cNvPicPr>
                      <a:picLocks noChangeAspect="1" noChangeArrowheads="1"/>
                    </pic:cNvPicPr>
                  </pic:nvPicPr>
                  <pic:blipFill>
                    <a:blip r:embed="rId24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-273685</wp:posOffset>
            </wp:positionV>
            <wp:extent cx="8255" cy="8255"/>
            <wp:wrapNone/>
            <wp:docPr id="2446" name="Picture 2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6"/>
                    <pic:cNvPicPr>
                      <a:picLocks noChangeAspect="1" noChangeArrowheads="1"/>
                    </pic:cNvPicPr>
                  </pic:nvPicPr>
                  <pic:blipFill>
                    <a:blip r:embed="rId24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-273685</wp:posOffset>
            </wp:positionV>
            <wp:extent cx="8890" cy="8255"/>
            <wp:wrapNone/>
            <wp:docPr id="2447" name="Picture 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7"/>
                    <pic:cNvPicPr>
                      <a:picLocks noChangeAspect="1" noChangeArrowheads="1"/>
                    </pic:cNvPicPr>
                  </pic:nvPicPr>
                  <pic:blipFill>
                    <a:blip r:embed="rId2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-273685</wp:posOffset>
            </wp:positionV>
            <wp:extent cx="8890" cy="8255"/>
            <wp:wrapNone/>
            <wp:docPr id="2448" name="Picture 2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8"/>
                    <pic:cNvPicPr>
                      <a:picLocks noChangeAspect="1" noChangeArrowheads="1"/>
                    </pic:cNvPicPr>
                  </pic:nvPicPr>
                  <pic:blipFill>
                    <a:blip r:embed="rId2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-273685</wp:posOffset>
            </wp:positionV>
            <wp:extent cx="8890" cy="8255"/>
            <wp:wrapNone/>
            <wp:docPr id="2449" name="Picture 2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9"/>
                    <pic:cNvPicPr>
                      <a:picLocks noChangeAspect="1" noChangeArrowheads="1"/>
                    </pic:cNvPicPr>
                  </pic:nvPicPr>
                  <pic:blipFill>
                    <a:blip r:embed="rId2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-273685</wp:posOffset>
            </wp:positionV>
            <wp:extent cx="8890" cy="8255"/>
            <wp:wrapNone/>
            <wp:docPr id="2450" name="Picture 2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0"/>
                    <pic:cNvPicPr>
                      <a:picLocks noChangeAspect="1" noChangeArrowheads="1"/>
                    </pic:cNvPicPr>
                  </pic:nvPicPr>
                  <pic:blipFill>
                    <a:blip r:embed="rId24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-273685</wp:posOffset>
            </wp:positionV>
            <wp:extent cx="8255" cy="8255"/>
            <wp:wrapNone/>
            <wp:docPr id="2451" name="Picture 2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1"/>
                    <pic:cNvPicPr>
                      <a:picLocks noChangeAspect="1" noChangeArrowheads="1"/>
                    </pic:cNvPicPr>
                  </pic:nvPicPr>
                  <pic:blipFill>
                    <a:blip r:embed="rId24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-273685</wp:posOffset>
            </wp:positionV>
            <wp:extent cx="8890" cy="8255"/>
            <wp:wrapNone/>
            <wp:docPr id="2452" name="Picture 2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2"/>
                    <pic:cNvPicPr>
                      <a:picLocks noChangeAspect="1" noChangeArrowheads="1"/>
                    </pic:cNvPicPr>
                  </pic:nvPicPr>
                  <pic:blipFill>
                    <a:blip r:embed="rId2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-273685</wp:posOffset>
            </wp:positionV>
            <wp:extent cx="8890" cy="8255"/>
            <wp:wrapNone/>
            <wp:docPr id="2453" name="Picture 2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3"/>
                    <pic:cNvPicPr>
                      <a:picLocks noChangeAspect="1" noChangeArrowheads="1"/>
                    </pic:cNvPicPr>
                  </pic:nvPicPr>
                  <pic:blipFill>
                    <a:blip r:embed="rId24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-273685</wp:posOffset>
            </wp:positionV>
            <wp:extent cx="8890" cy="8255"/>
            <wp:wrapNone/>
            <wp:docPr id="2454" name="Picture 2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4"/>
                    <pic:cNvPicPr>
                      <a:picLocks noChangeAspect="1" noChangeArrowheads="1"/>
                    </pic:cNvPicPr>
                  </pic:nvPicPr>
                  <pic:blipFill>
                    <a:blip r:embed="rId2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-273685</wp:posOffset>
            </wp:positionV>
            <wp:extent cx="8890" cy="8255"/>
            <wp:wrapNone/>
            <wp:docPr id="2455" name="Picture 2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5"/>
                    <pic:cNvPicPr>
                      <a:picLocks noChangeAspect="1" noChangeArrowheads="1"/>
                    </pic:cNvPicPr>
                  </pic:nvPicPr>
                  <pic:blipFill>
                    <a:blip r:embed="rId24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-273685</wp:posOffset>
            </wp:positionV>
            <wp:extent cx="8255" cy="8255"/>
            <wp:wrapNone/>
            <wp:docPr id="2456" name="Picture 2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6"/>
                    <pic:cNvPicPr>
                      <a:picLocks noChangeAspect="1" noChangeArrowheads="1"/>
                    </pic:cNvPicPr>
                  </pic:nvPicPr>
                  <pic:blipFill>
                    <a:blip r:embed="rId24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-273685</wp:posOffset>
            </wp:positionV>
            <wp:extent cx="8890" cy="8255"/>
            <wp:wrapNone/>
            <wp:docPr id="2457" name="Picture 2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7"/>
                    <pic:cNvPicPr>
                      <a:picLocks noChangeAspect="1" noChangeArrowheads="1"/>
                    </pic:cNvPicPr>
                  </pic:nvPicPr>
                  <pic:blipFill>
                    <a:blip r:embed="rId2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-273685</wp:posOffset>
            </wp:positionV>
            <wp:extent cx="8890" cy="8255"/>
            <wp:wrapNone/>
            <wp:docPr id="2458" name="Picture 2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8"/>
                    <pic:cNvPicPr>
                      <a:picLocks noChangeAspect="1" noChangeArrowheads="1"/>
                    </pic:cNvPicPr>
                  </pic:nvPicPr>
                  <pic:blipFill>
                    <a:blip r:embed="rId24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-273685</wp:posOffset>
            </wp:positionV>
            <wp:extent cx="8890" cy="8255"/>
            <wp:wrapNone/>
            <wp:docPr id="2459" name="Picture 2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9"/>
                    <pic:cNvPicPr>
                      <a:picLocks noChangeAspect="1" noChangeArrowheads="1"/>
                    </pic:cNvPicPr>
                  </pic:nvPicPr>
                  <pic:blipFill>
                    <a:blip r:embed="rId2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-273685</wp:posOffset>
            </wp:positionV>
            <wp:extent cx="8890" cy="8255"/>
            <wp:wrapNone/>
            <wp:docPr id="2460" name="Picture 2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0"/>
                    <pic:cNvPicPr>
                      <a:picLocks noChangeAspect="1" noChangeArrowheads="1"/>
                    </pic:cNvPicPr>
                  </pic:nvPicPr>
                  <pic:blipFill>
                    <a:blip r:embed="rId24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-273685</wp:posOffset>
            </wp:positionV>
            <wp:extent cx="8255" cy="8255"/>
            <wp:wrapNone/>
            <wp:docPr id="2461" name="Picture 2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1"/>
                    <pic:cNvPicPr>
                      <a:picLocks noChangeAspect="1" noChangeArrowheads="1"/>
                    </pic:cNvPicPr>
                  </pic:nvPicPr>
                  <pic:blipFill>
                    <a:blip r:embed="rId24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-273685</wp:posOffset>
            </wp:positionV>
            <wp:extent cx="8890" cy="8255"/>
            <wp:wrapNone/>
            <wp:docPr id="2462" name="Picture 2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2"/>
                    <pic:cNvPicPr>
                      <a:picLocks noChangeAspect="1" noChangeArrowheads="1"/>
                    </pic:cNvPicPr>
                  </pic:nvPicPr>
                  <pic:blipFill>
                    <a:blip r:embed="rId2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-273685</wp:posOffset>
            </wp:positionV>
            <wp:extent cx="8255" cy="8255"/>
            <wp:wrapNone/>
            <wp:docPr id="2463" name="Picture 2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3"/>
                    <pic:cNvPicPr>
                      <a:picLocks noChangeAspect="1" noChangeArrowheads="1"/>
                    </pic:cNvPicPr>
                  </pic:nvPicPr>
                  <pic:blipFill>
                    <a:blip r:embed="rId24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-273685</wp:posOffset>
            </wp:positionV>
            <wp:extent cx="8890" cy="8255"/>
            <wp:wrapNone/>
            <wp:docPr id="2464" name="Picture 2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4"/>
                    <pic:cNvPicPr>
                      <a:picLocks noChangeAspect="1" noChangeArrowheads="1"/>
                    </pic:cNvPicPr>
                  </pic:nvPicPr>
                  <pic:blipFill>
                    <a:blip r:embed="rId2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-273685</wp:posOffset>
            </wp:positionV>
            <wp:extent cx="8890" cy="8255"/>
            <wp:wrapNone/>
            <wp:docPr id="2465" name="Picture 2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5"/>
                    <pic:cNvPicPr>
                      <a:picLocks noChangeAspect="1" noChangeArrowheads="1"/>
                    </pic:cNvPicPr>
                  </pic:nvPicPr>
                  <pic:blipFill>
                    <a:blip r:embed="rId24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-273685</wp:posOffset>
            </wp:positionV>
            <wp:extent cx="8890" cy="8255"/>
            <wp:wrapNone/>
            <wp:docPr id="2466" name="Picture 2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6"/>
                    <pic:cNvPicPr>
                      <a:picLocks noChangeAspect="1" noChangeArrowheads="1"/>
                    </pic:cNvPicPr>
                  </pic:nvPicPr>
                  <pic:blipFill>
                    <a:blip r:embed="rId2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-273685</wp:posOffset>
            </wp:positionV>
            <wp:extent cx="8890" cy="8255"/>
            <wp:wrapNone/>
            <wp:docPr id="2467" name="Picture 2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7"/>
                    <pic:cNvPicPr>
                      <a:picLocks noChangeAspect="1" noChangeArrowheads="1"/>
                    </pic:cNvPicPr>
                  </pic:nvPicPr>
                  <pic:blipFill>
                    <a:blip r:embed="rId2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-273685</wp:posOffset>
            </wp:positionV>
            <wp:extent cx="8255" cy="8255"/>
            <wp:wrapNone/>
            <wp:docPr id="2468" name="Picture 2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8"/>
                    <pic:cNvPicPr>
                      <a:picLocks noChangeAspect="1" noChangeArrowheads="1"/>
                    </pic:cNvPicPr>
                  </pic:nvPicPr>
                  <pic:blipFill>
                    <a:blip r:embed="rId24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-273685</wp:posOffset>
            </wp:positionV>
            <wp:extent cx="8890" cy="8255"/>
            <wp:wrapNone/>
            <wp:docPr id="2469" name="Picture 2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9"/>
                    <pic:cNvPicPr>
                      <a:picLocks noChangeAspect="1" noChangeArrowheads="1"/>
                    </pic:cNvPicPr>
                  </pic:nvPicPr>
                  <pic:blipFill>
                    <a:blip r:embed="rId2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-273685</wp:posOffset>
            </wp:positionV>
            <wp:extent cx="8890" cy="8255"/>
            <wp:wrapNone/>
            <wp:docPr id="2470" name="Picture 2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0"/>
                    <pic:cNvPicPr>
                      <a:picLocks noChangeAspect="1" noChangeArrowheads="1"/>
                    </pic:cNvPicPr>
                  </pic:nvPicPr>
                  <pic:blipFill>
                    <a:blip r:embed="rId24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-273685</wp:posOffset>
            </wp:positionV>
            <wp:extent cx="8890" cy="8255"/>
            <wp:wrapNone/>
            <wp:docPr id="2471" name="Picture 2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1"/>
                    <pic:cNvPicPr>
                      <a:picLocks noChangeAspect="1" noChangeArrowheads="1"/>
                    </pic:cNvPicPr>
                  </pic:nvPicPr>
                  <pic:blipFill>
                    <a:blip r:embed="rId2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-273685</wp:posOffset>
            </wp:positionV>
            <wp:extent cx="8890" cy="8255"/>
            <wp:wrapNone/>
            <wp:docPr id="2472" name="Picture 2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2"/>
                    <pic:cNvPicPr>
                      <a:picLocks noChangeAspect="1" noChangeArrowheads="1"/>
                    </pic:cNvPicPr>
                  </pic:nvPicPr>
                  <pic:blipFill>
                    <a:blip r:embed="rId24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-273685</wp:posOffset>
            </wp:positionV>
            <wp:extent cx="8255" cy="8255"/>
            <wp:wrapNone/>
            <wp:docPr id="2473" name="Picture 2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3"/>
                    <pic:cNvPicPr>
                      <a:picLocks noChangeAspect="1" noChangeArrowheads="1"/>
                    </pic:cNvPicPr>
                  </pic:nvPicPr>
                  <pic:blipFill>
                    <a:blip r:embed="rId24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-273685</wp:posOffset>
            </wp:positionV>
            <wp:extent cx="8890" cy="8255"/>
            <wp:wrapNone/>
            <wp:docPr id="2474" name="Picture 2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4"/>
                    <pic:cNvPicPr>
                      <a:picLocks noChangeAspect="1" noChangeArrowheads="1"/>
                    </pic:cNvPicPr>
                  </pic:nvPicPr>
                  <pic:blipFill>
                    <a:blip r:embed="rId2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-273685</wp:posOffset>
            </wp:positionV>
            <wp:extent cx="8890" cy="8255"/>
            <wp:wrapNone/>
            <wp:docPr id="2475" name="Picture 2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5"/>
                    <pic:cNvPicPr>
                      <a:picLocks noChangeAspect="1" noChangeArrowheads="1"/>
                    </pic:cNvPicPr>
                  </pic:nvPicPr>
                  <pic:blipFill>
                    <a:blip r:embed="rId24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-273685</wp:posOffset>
            </wp:positionV>
            <wp:extent cx="8890" cy="8255"/>
            <wp:wrapNone/>
            <wp:docPr id="2476" name="Picture 2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6"/>
                    <pic:cNvPicPr>
                      <a:picLocks noChangeAspect="1" noChangeArrowheads="1"/>
                    </pic:cNvPicPr>
                  </pic:nvPicPr>
                  <pic:blipFill>
                    <a:blip r:embed="rId24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-273685</wp:posOffset>
            </wp:positionV>
            <wp:extent cx="8890" cy="8255"/>
            <wp:wrapNone/>
            <wp:docPr id="2477" name="Picture 2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7"/>
                    <pic:cNvPicPr>
                      <a:picLocks noChangeAspect="1" noChangeArrowheads="1"/>
                    </pic:cNvPicPr>
                  </pic:nvPicPr>
                  <pic:blipFill>
                    <a:blip r:embed="rId2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-273685</wp:posOffset>
            </wp:positionV>
            <wp:extent cx="8255" cy="8255"/>
            <wp:wrapNone/>
            <wp:docPr id="2478" name="Picture 2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8"/>
                    <pic:cNvPicPr>
                      <a:picLocks noChangeAspect="1" noChangeArrowheads="1"/>
                    </pic:cNvPicPr>
                  </pic:nvPicPr>
                  <pic:blipFill>
                    <a:blip r:embed="rId24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-273685</wp:posOffset>
            </wp:positionV>
            <wp:extent cx="8890" cy="8255"/>
            <wp:wrapNone/>
            <wp:docPr id="2479" name="Picture 2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9"/>
                    <pic:cNvPicPr>
                      <a:picLocks noChangeAspect="1" noChangeArrowheads="1"/>
                    </pic:cNvPicPr>
                  </pic:nvPicPr>
                  <pic:blipFill>
                    <a:blip r:embed="rId2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-273685</wp:posOffset>
            </wp:positionV>
            <wp:extent cx="8890" cy="8255"/>
            <wp:wrapNone/>
            <wp:docPr id="2480" name="Picture 2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0"/>
                    <pic:cNvPicPr>
                      <a:picLocks noChangeAspect="1" noChangeArrowheads="1"/>
                    </pic:cNvPicPr>
                  </pic:nvPicPr>
                  <pic:blipFill>
                    <a:blip r:embed="rId24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-273685</wp:posOffset>
            </wp:positionV>
            <wp:extent cx="8890" cy="8255"/>
            <wp:wrapNone/>
            <wp:docPr id="2481" name="Picture 2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1"/>
                    <pic:cNvPicPr>
                      <a:picLocks noChangeAspect="1" noChangeArrowheads="1"/>
                    </pic:cNvPicPr>
                  </pic:nvPicPr>
                  <pic:blipFill>
                    <a:blip r:embed="rId2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-273685</wp:posOffset>
            </wp:positionV>
            <wp:extent cx="8890" cy="8255"/>
            <wp:wrapNone/>
            <wp:docPr id="2482" name="Picture 2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2"/>
                    <pic:cNvPicPr>
                      <a:picLocks noChangeAspect="1" noChangeArrowheads="1"/>
                    </pic:cNvPicPr>
                  </pic:nvPicPr>
                  <pic:blipFill>
                    <a:blip r:embed="rId24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-273685</wp:posOffset>
            </wp:positionV>
            <wp:extent cx="8255" cy="8255"/>
            <wp:wrapNone/>
            <wp:docPr id="2483" name="Picture 2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3"/>
                    <pic:cNvPicPr>
                      <a:picLocks noChangeAspect="1" noChangeArrowheads="1"/>
                    </pic:cNvPicPr>
                  </pic:nvPicPr>
                  <pic:blipFill>
                    <a:blip r:embed="rId24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-273685</wp:posOffset>
            </wp:positionV>
            <wp:extent cx="8890" cy="8255"/>
            <wp:wrapNone/>
            <wp:docPr id="2484" name="Picture 2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4"/>
                    <pic:cNvPicPr>
                      <a:picLocks noChangeAspect="1" noChangeArrowheads="1"/>
                    </pic:cNvPicPr>
                  </pic:nvPicPr>
                  <pic:blipFill>
                    <a:blip r:embed="rId2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-273685</wp:posOffset>
            </wp:positionV>
            <wp:extent cx="8255" cy="8255"/>
            <wp:wrapNone/>
            <wp:docPr id="2485" name="Picture 2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5"/>
                    <pic:cNvPicPr>
                      <a:picLocks noChangeAspect="1" noChangeArrowheads="1"/>
                    </pic:cNvPicPr>
                  </pic:nvPicPr>
                  <pic:blipFill>
                    <a:blip r:embed="rId24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-273685</wp:posOffset>
            </wp:positionV>
            <wp:extent cx="8890" cy="8255"/>
            <wp:wrapNone/>
            <wp:docPr id="2486" name="Picture 2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6"/>
                    <pic:cNvPicPr>
                      <a:picLocks noChangeAspect="1" noChangeArrowheads="1"/>
                    </pic:cNvPicPr>
                  </pic:nvPicPr>
                  <pic:blipFill>
                    <a:blip r:embed="rId24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-273685</wp:posOffset>
            </wp:positionV>
            <wp:extent cx="8890" cy="8255"/>
            <wp:wrapNone/>
            <wp:docPr id="2487" name="Picture 2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7"/>
                    <pic:cNvPicPr>
                      <a:picLocks noChangeAspect="1" noChangeArrowheads="1"/>
                    </pic:cNvPicPr>
                  </pic:nvPicPr>
                  <pic:blipFill>
                    <a:blip r:embed="rId24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-273685</wp:posOffset>
            </wp:positionV>
            <wp:extent cx="8890" cy="8255"/>
            <wp:wrapNone/>
            <wp:docPr id="2488" name="Picture 2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8"/>
                    <pic:cNvPicPr>
                      <a:picLocks noChangeAspect="1" noChangeArrowheads="1"/>
                    </pic:cNvPicPr>
                  </pic:nvPicPr>
                  <pic:blipFill>
                    <a:blip r:embed="rId2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-273685</wp:posOffset>
            </wp:positionV>
            <wp:extent cx="8890" cy="8255"/>
            <wp:wrapNone/>
            <wp:docPr id="2489" name="Picture 2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9"/>
                    <pic:cNvPicPr>
                      <a:picLocks noChangeAspect="1" noChangeArrowheads="1"/>
                    </pic:cNvPicPr>
                  </pic:nvPicPr>
                  <pic:blipFill>
                    <a:blip r:embed="rId24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-273685</wp:posOffset>
            </wp:positionV>
            <wp:extent cx="8255" cy="8255"/>
            <wp:wrapNone/>
            <wp:docPr id="2490" name="Picture 2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0"/>
                    <pic:cNvPicPr>
                      <a:picLocks noChangeAspect="1" noChangeArrowheads="1"/>
                    </pic:cNvPicPr>
                  </pic:nvPicPr>
                  <pic:blipFill>
                    <a:blip r:embed="rId24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-273685</wp:posOffset>
            </wp:positionV>
            <wp:extent cx="8890" cy="8255"/>
            <wp:wrapNone/>
            <wp:docPr id="2491" name="Picture 2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1"/>
                    <pic:cNvPicPr>
                      <a:picLocks noChangeAspect="1" noChangeArrowheads="1"/>
                    </pic:cNvPicPr>
                  </pic:nvPicPr>
                  <pic:blipFill>
                    <a:blip r:embed="rId24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-273685</wp:posOffset>
            </wp:positionV>
            <wp:extent cx="8890" cy="8255"/>
            <wp:wrapNone/>
            <wp:docPr id="2492" name="Picture 2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2"/>
                    <pic:cNvPicPr>
                      <a:picLocks noChangeAspect="1" noChangeArrowheads="1"/>
                    </pic:cNvPicPr>
                  </pic:nvPicPr>
                  <pic:blipFill>
                    <a:blip r:embed="rId24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-273685</wp:posOffset>
            </wp:positionV>
            <wp:extent cx="8890" cy="8255"/>
            <wp:wrapNone/>
            <wp:docPr id="2493" name="Picture 2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3"/>
                    <pic:cNvPicPr>
                      <a:picLocks noChangeAspect="1" noChangeArrowheads="1"/>
                    </pic:cNvPicPr>
                  </pic:nvPicPr>
                  <pic:blipFill>
                    <a:blip r:embed="rId25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-273685</wp:posOffset>
            </wp:positionV>
            <wp:extent cx="8890" cy="8255"/>
            <wp:wrapNone/>
            <wp:docPr id="2494" name="Picture 2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4"/>
                    <pic:cNvPicPr>
                      <a:picLocks noChangeAspect="1" noChangeArrowheads="1"/>
                    </pic:cNvPicPr>
                  </pic:nvPicPr>
                  <pic:blipFill>
                    <a:blip r:embed="rId25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-273685</wp:posOffset>
            </wp:positionV>
            <wp:extent cx="8255" cy="8255"/>
            <wp:wrapNone/>
            <wp:docPr id="2495" name="Picture 2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5"/>
                    <pic:cNvPicPr>
                      <a:picLocks noChangeAspect="1" noChangeArrowheads="1"/>
                    </pic:cNvPicPr>
                  </pic:nvPicPr>
                  <pic:blipFill>
                    <a:blip r:embed="rId25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-273685</wp:posOffset>
            </wp:positionV>
            <wp:extent cx="8890" cy="8255"/>
            <wp:wrapNone/>
            <wp:docPr id="2496" name="Picture 2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6"/>
                    <pic:cNvPicPr>
                      <a:picLocks noChangeAspect="1" noChangeArrowheads="1"/>
                    </pic:cNvPicPr>
                  </pic:nvPicPr>
                  <pic:blipFill>
                    <a:blip r:embed="rId2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-273685</wp:posOffset>
            </wp:positionV>
            <wp:extent cx="8890" cy="8255"/>
            <wp:wrapNone/>
            <wp:docPr id="2497" name="Picture 2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7"/>
                    <pic:cNvPicPr>
                      <a:picLocks noChangeAspect="1" noChangeArrowheads="1"/>
                    </pic:cNvPicPr>
                  </pic:nvPicPr>
                  <pic:blipFill>
                    <a:blip r:embed="rId25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-273685</wp:posOffset>
            </wp:positionV>
            <wp:extent cx="8890" cy="8255"/>
            <wp:wrapNone/>
            <wp:docPr id="2498" name="Picture 2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8"/>
                    <pic:cNvPicPr>
                      <a:picLocks noChangeAspect="1" noChangeArrowheads="1"/>
                    </pic:cNvPicPr>
                  </pic:nvPicPr>
                  <pic:blipFill>
                    <a:blip r:embed="rId25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-273685</wp:posOffset>
            </wp:positionV>
            <wp:extent cx="8890" cy="8255"/>
            <wp:wrapNone/>
            <wp:docPr id="2499" name="Picture 2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9"/>
                    <pic:cNvPicPr>
                      <a:picLocks noChangeAspect="1" noChangeArrowheads="1"/>
                    </pic:cNvPicPr>
                  </pic:nvPicPr>
                  <pic:blipFill>
                    <a:blip r:embed="rId25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-273685</wp:posOffset>
            </wp:positionV>
            <wp:extent cx="8255" cy="8255"/>
            <wp:wrapNone/>
            <wp:docPr id="2500" name="Picture 2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0"/>
                    <pic:cNvPicPr>
                      <a:picLocks noChangeAspect="1" noChangeArrowheads="1"/>
                    </pic:cNvPicPr>
                  </pic:nvPicPr>
                  <pic:blipFill>
                    <a:blip r:embed="rId25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-273685</wp:posOffset>
            </wp:positionV>
            <wp:extent cx="8890" cy="8255"/>
            <wp:wrapNone/>
            <wp:docPr id="2501" name="Picture 2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1"/>
                    <pic:cNvPicPr>
                      <a:picLocks noChangeAspect="1" noChangeArrowheads="1"/>
                    </pic:cNvPicPr>
                  </pic:nvPicPr>
                  <pic:blipFill>
                    <a:blip r:embed="rId25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-273685</wp:posOffset>
            </wp:positionV>
            <wp:extent cx="8890" cy="8255"/>
            <wp:wrapNone/>
            <wp:docPr id="2502" name="Picture 2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2"/>
                    <pic:cNvPicPr>
                      <a:picLocks noChangeAspect="1" noChangeArrowheads="1"/>
                    </pic:cNvPicPr>
                  </pic:nvPicPr>
                  <pic:blipFill>
                    <a:blip r:embed="rId25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-273685</wp:posOffset>
            </wp:positionV>
            <wp:extent cx="8890" cy="8255"/>
            <wp:wrapNone/>
            <wp:docPr id="2503" name="Picture 2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3"/>
                    <pic:cNvPicPr>
                      <a:picLocks noChangeAspect="1" noChangeArrowheads="1"/>
                    </pic:cNvPicPr>
                  </pic:nvPicPr>
                  <pic:blipFill>
                    <a:blip r:embed="rId25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-273685</wp:posOffset>
            </wp:positionV>
            <wp:extent cx="8890" cy="8255"/>
            <wp:wrapNone/>
            <wp:docPr id="2504" name="Picture 2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4"/>
                    <pic:cNvPicPr>
                      <a:picLocks noChangeAspect="1" noChangeArrowheads="1"/>
                    </pic:cNvPicPr>
                  </pic:nvPicPr>
                  <pic:blipFill>
                    <a:blip r:embed="rId25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-273685</wp:posOffset>
            </wp:positionV>
            <wp:extent cx="8890" cy="8255"/>
            <wp:wrapNone/>
            <wp:docPr id="2505" name="Picture 2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5"/>
                    <pic:cNvPicPr>
                      <a:picLocks noChangeAspect="1" noChangeArrowheads="1"/>
                    </pic:cNvPicPr>
                  </pic:nvPicPr>
                  <pic:blipFill>
                    <a:blip r:embed="rId25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-273685</wp:posOffset>
            </wp:positionV>
            <wp:extent cx="8890" cy="8255"/>
            <wp:wrapNone/>
            <wp:docPr id="2506" name="Picture 2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6"/>
                    <pic:cNvPicPr>
                      <a:picLocks noChangeAspect="1" noChangeArrowheads="1"/>
                    </pic:cNvPicPr>
                  </pic:nvPicPr>
                  <pic:blipFill>
                    <a:blip r:embed="rId25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-273685</wp:posOffset>
            </wp:positionV>
            <wp:extent cx="8255" cy="8255"/>
            <wp:wrapNone/>
            <wp:docPr id="2507" name="Picture 2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7"/>
                    <pic:cNvPicPr>
                      <a:picLocks noChangeAspect="1" noChangeArrowheads="1"/>
                    </pic:cNvPicPr>
                  </pic:nvPicPr>
                  <pic:blipFill>
                    <a:blip r:embed="rId25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-273685</wp:posOffset>
            </wp:positionV>
            <wp:extent cx="8890" cy="8255"/>
            <wp:wrapNone/>
            <wp:docPr id="2508" name="Picture 2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8"/>
                    <pic:cNvPicPr>
                      <a:picLocks noChangeAspect="1" noChangeArrowheads="1"/>
                    </pic:cNvPicPr>
                  </pic:nvPicPr>
                  <pic:blipFill>
                    <a:blip r:embed="rId25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-273685</wp:posOffset>
            </wp:positionV>
            <wp:extent cx="8890" cy="8255"/>
            <wp:wrapNone/>
            <wp:docPr id="2509" name="Picture 2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9"/>
                    <pic:cNvPicPr>
                      <a:picLocks noChangeAspect="1" noChangeArrowheads="1"/>
                    </pic:cNvPicPr>
                  </pic:nvPicPr>
                  <pic:blipFill>
                    <a:blip r:embed="rId25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-273685</wp:posOffset>
            </wp:positionV>
            <wp:extent cx="8890" cy="8255"/>
            <wp:wrapNone/>
            <wp:docPr id="2510" name="Picture 2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0"/>
                    <pic:cNvPicPr>
                      <a:picLocks noChangeAspect="1" noChangeArrowheads="1"/>
                    </pic:cNvPicPr>
                  </pic:nvPicPr>
                  <pic:blipFill>
                    <a:blip r:embed="rId25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-273685</wp:posOffset>
            </wp:positionV>
            <wp:extent cx="8890" cy="8255"/>
            <wp:wrapNone/>
            <wp:docPr id="2511" name="Picture 2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1"/>
                    <pic:cNvPicPr>
                      <a:picLocks noChangeAspect="1" noChangeArrowheads="1"/>
                    </pic:cNvPicPr>
                  </pic:nvPicPr>
                  <pic:blipFill>
                    <a:blip r:embed="rId25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-273685</wp:posOffset>
            </wp:positionV>
            <wp:extent cx="8255" cy="8255"/>
            <wp:wrapNone/>
            <wp:docPr id="2512" name="Picture 2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2"/>
                    <pic:cNvPicPr>
                      <a:picLocks noChangeAspect="1" noChangeArrowheads="1"/>
                    </pic:cNvPicPr>
                  </pic:nvPicPr>
                  <pic:blipFill>
                    <a:blip r:embed="rId25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-273685</wp:posOffset>
            </wp:positionV>
            <wp:extent cx="8890" cy="8255"/>
            <wp:wrapNone/>
            <wp:docPr id="2513" name="Picture 2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3"/>
                    <pic:cNvPicPr>
                      <a:picLocks noChangeAspect="1" noChangeArrowheads="1"/>
                    </pic:cNvPicPr>
                  </pic:nvPicPr>
                  <pic:blipFill>
                    <a:blip r:embed="rId25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-273685</wp:posOffset>
            </wp:positionV>
            <wp:extent cx="8890" cy="8255"/>
            <wp:wrapNone/>
            <wp:docPr id="2514" name="Picture 2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4"/>
                    <pic:cNvPicPr>
                      <a:picLocks noChangeAspect="1" noChangeArrowheads="1"/>
                    </pic:cNvPicPr>
                  </pic:nvPicPr>
                  <pic:blipFill>
                    <a:blip r:embed="rId25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-273685</wp:posOffset>
            </wp:positionV>
            <wp:extent cx="8890" cy="8255"/>
            <wp:wrapNone/>
            <wp:docPr id="2515" name="Picture 2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5"/>
                    <pic:cNvPicPr>
                      <a:picLocks noChangeAspect="1" noChangeArrowheads="1"/>
                    </pic:cNvPicPr>
                  </pic:nvPicPr>
                  <pic:blipFill>
                    <a:blip r:embed="rId25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-273685</wp:posOffset>
            </wp:positionV>
            <wp:extent cx="8890" cy="8255"/>
            <wp:wrapNone/>
            <wp:docPr id="2516" name="Picture 2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6"/>
                    <pic:cNvPicPr>
                      <a:picLocks noChangeAspect="1" noChangeArrowheads="1"/>
                    </pic:cNvPicPr>
                  </pic:nvPicPr>
                  <pic:blipFill>
                    <a:blip r:embed="rId25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-273685</wp:posOffset>
            </wp:positionV>
            <wp:extent cx="8255" cy="8255"/>
            <wp:wrapNone/>
            <wp:docPr id="2517" name="Picture 2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7"/>
                    <pic:cNvPicPr>
                      <a:picLocks noChangeAspect="1" noChangeArrowheads="1"/>
                    </pic:cNvPicPr>
                  </pic:nvPicPr>
                  <pic:blipFill>
                    <a:blip r:embed="rId25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-273685</wp:posOffset>
            </wp:positionV>
            <wp:extent cx="8890" cy="8255"/>
            <wp:wrapNone/>
            <wp:docPr id="2518" name="Picture 2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8"/>
                    <pic:cNvPicPr>
                      <a:picLocks noChangeAspect="1" noChangeArrowheads="1"/>
                    </pic:cNvPicPr>
                  </pic:nvPicPr>
                  <pic:blipFill>
                    <a:blip r:embed="rId25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-273685</wp:posOffset>
            </wp:positionV>
            <wp:extent cx="8255" cy="8255"/>
            <wp:wrapNone/>
            <wp:docPr id="2519" name="Picture 2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9"/>
                    <pic:cNvPicPr>
                      <a:picLocks noChangeAspect="1" noChangeArrowheads="1"/>
                    </pic:cNvPicPr>
                  </pic:nvPicPr>
                  <pic:blipFill>
                    <a:blip r:embed="rId25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-273685</wp:posOffset>
            </wp:positionV>
            <wp:extent cx="8255" cy="8255"/>
            <wp:wrapNone/>
            <wp:docPr id="2520" name="Picture 2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0"/>
                    <pic:cNvPicPr>
                      <a:picLocks noChangeAspect="1" noChangeArrowheads="1"/>
                    </pic:cNvPicPr>
                  </pic:nvPicPr>
                  <pic:blipFill>
                    <a:blip r:embed="rId25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-273685</wp:posOffset>
            </wp:positionV>
            <wp:extent cx="8890" cy="8255"/>
            <wp:wrapNone/>
            <wp:docPr id="2521" name="Picture 2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1"/>
                    <pic:cNvPicPr>
                      <a:picLocks noChangeAspect="1" noChangeArrowheads="1"/>
                    </pic:cNvPicPr>
                  </pic:nvPicPr>
                  <pic:blipFill>
                    <a:blip r:embed="rId25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-273685</wp:posOffset>
            </wp:positionV>
            <wp:extent cx="8890" cy="8255"/>
            <wp:wrapNone/>
            <wp:docPr id="2522" name="Picture 2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2"/>
                    <pic:cNvPicPr>
                      <a:picLocks noChangeAspect="1" noChangeArrowheads="1"/>
                    </pic:cNvPicPr>
                  </pic:nvPicPr>
                  <pic:blipFill>
                    <a:blip r:embed="rId25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-273685</wp:posOffset>
            </wp:positionV>
            <wp:extent cx="8255" cy="8255"/>
            <wp:wrapNone/>
            <wp:docPr id="2523" name="Picture 2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3"/>
                    <pic:cNvPicPr>
                      <a:picLocks noChangeAspect="1" noChangeArrowheads="1"/>
                    </pic:cNvPicPr>
                  </pic:nvPicPr>
                  <pic:blipFill>
                    <a:blip r:embed="rId25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-273685</wp:posOffset>
            </wp:positionV>
            <wp:extent cx="8255" cy="8255"/>
            <wp:wrapNone/>
            <wp:docPr id="2524" name="Picture 2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4"/>
                    <pic:cNvPicPr>
                      <a:picLocks noChangeAspect="1" noChangeArrowheads="1"/>
                    </pic:cNvPicPr>
                  </pic:nvPicPr>
                  <pic:blipFill>
                    <a:blip r:embed="rId25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-273685</wp:posOffset>
            </wp:positionV>
            <wp:extent cx="8255" cy="8255"/>
            <wp:wrapNone/>
            <wp:docPr id="2525" name="Picture 2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5"/>
                    <pic:cNvPicPr>
                      <a:picLocks noChangeAspect="1" noChangeArrowheads="1"/>
                    </pic:cNvPicPr>
                  </pic:nvPicPr>
                  <pic:blipFill>
                    <a:blip r:embed="rId25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-273685</wp:posOffset>
            </wp:positionV>
            <wp:extent cx="8890" cy="8255"/>
            <wp:wrapNone/>
            <wp:docPr id="2526" name="Picture 2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6"/>
                    <pic:cNvPicPr>
                      <a:picLocks noChangeAspect="1" noChangeArrowheads="1"/>
                    </pic:cNvPicPr>
                  </pic:nvPicPr>
                  <pic:blipFill>
                    <a:blip r:embed="rId25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-273685</wp:posOffset>
            </wp:positionV>
            <wp:extent cx="8890" cy="8255"/>
            <wp:wrapNone/>
            <wp:docPr id="2527" name="Picture 2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7"/>
                    <pic:cNvPicPr>
                      <a:picLocks noChangeAspect="1" noChangeArrowheads="1"/>
                    </pic:cNvPicPr>
                  </pic:nvPicPr>
                  <pic:blipFill>
                    <a:blip r:embed="rId25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-273685</wp:posOffset>
            </wp:positionV>
            <wp:extent cx="8255" cy="8255"/>
            <wp:wrapNone/>
            <wp:docPr id="2528" name="Picture 2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8"/>
                    <pic:cNvPicPr>
                      <a:picLocks noChangeAspect="1" noChangeArrowheads="1"/>
                    </pic:cNvPicPr>
                  </pic:nvPicPr>
                  <pic:blipFill>
                    <a:blip r:embed="rId25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-273685</wp:posOffset>
            </wp:positionV>
            <wp:extent cx="8255" cy="8255"/>
            <wp:wrapNone/>
            <wp:docPr id="2529" name="Picture 2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9"/>
                    <pic:cNvPicPr>
                      <a:picLocks noChangeAspect="1" noChangeArrowheads="1"/>
                    </pic:cNvPicPr>
                  </pic:nvPicPr>
                  <pic:blipFill>
                    <a:blip r:embed="rId25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-273685</wp:posOffset>
            </wp:positionV>
            <wp:extent cx="8255" cy="8255"/>
            <wp:wrapNone/>
            <wp:docPr id="2530" name="Picture 2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0"/>
                    <pic:cNvPicPr>
                      <a:picLocks noChangeAspect="1" noChangeArrowheads="1"/>
                    </pic:cNvPicPr>
                  </pic:nvPicPr>
                  <pic:blipFill>
                    <a:blip r:embed="rId25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-273685</wp:posOffset>
            </wp:positionV>
            <wp:extent cx="8890" cy="8255"/>
            <wp:wrapNone/>
            <wp:docPr id="2531" name="Picture 2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1"/>
                    <pic:cNvPicPr>
                      <a:picLocks noChangeAspect="1" noChangeArrowheads="1"/>
                    </pic:cNvPicPr>
                  </pic:nvPicPr>
                  <pic:blipFill>
                    <a:blip r:embed="rId25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-273685</wp:posOffset>
            </wp:positionV>
            <wp:extent cx="8890" cy="8255"/>
            <wp:wrapNone/>
            <wp:docPr id="2532" name="Picture 2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2"/>
                    <pic:cNvPicPr>
                      <a:picLocks noChangeAspect="1" noChangeArrowheads="1"/>
                    </pic:cNvPicPr>
                  </pic:nvPicPr>
                  <pic:blipFill>
                    <a:blip r:embed="rId25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-273685</wp:posOffset>
            </wp:positionV>
            <wp:extent cx="8255" cy="8255"/>
            <wp:wrapNone/>
            <wp:docPr id="2533" name="Picture 2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3"/>
                    <pic:cNvPicPr>
                      <a:picLocks noChangeAspect="1" noChangeArrowheads="1"/>
                    </pic:cNvPicPr>
                  </pic:nvPicPr>
                  <pic:blipFill>
                    <a:blip r:embed="rId25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-273685</wp:posOffset>
            </wp:positionV>
            <wp:extent cx="8255" cy="8255"/>
            <wp:wrapNone/>
            <wp:docPr id="2534" name="Picture 2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4"/>
                    <pic:cNvPicPr>
                      <a:picLocks noChangeAspect="1" noChangeArrowheads="1"/>
                    </pic:cNvPicPr>
                  </pic:nvPicPr>
                  <pic:blipFill>
                    <a:blip r:embed="rId25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-273685</wp:posOffset>
            </wp:positionV>
            <wp:extent cx="8255" cy="8255"/>
            <wp:wrapNone/>
            <wp:docPr id="2535" name="Picture 2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5"/>
                    <pic:cNvPicPr>
                      <a:picLocks noChangeAspect="1" noChangeArrowheads="1"/>
                    </pic:cNvPicPr>
                  </pic:nvPicPr>
                  <pic:blipFill>
                    <a:blip r:embed="rId25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-273685</wp:posOffset>
            </wp:positionV>
            <wp:extent cx="8890" cy="8255"/>
            <wp:wrapNone/>
            <wp:docPr id="2536" name="Picture 2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6"/>
                    <pic:cNvPicPr>
                      <a:picLocks noChangeAspect="1" noChangeArrowheads="1"/>
                    </pic:cNvPicPr>
                  </pic:nvPicPr>
                  <pic:blipFill>
                    <a:blip r:embed="rId25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-273685</wp:posOffset>
            </wp:positionV>
            <wp:extent cx="8890" cy="8255"/>
            <wp:wrapNone/>
            <wp:docPr id="2537" name="Picture 2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7"/>
                    <pic:cNvPicPr>
                      <a:picLocks noChangeAspect="1" noChangeArrowheads="1"/>
                    </pic:cNvPicPr>
                  </pic:nvPicPr>
                  <pic:blipFill>
                    <a:blip r:embed="rId25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-273685</wp:posOffset>
            </wp:positionV>
            <wp:extent cx="8255" cy="8255"/>
            <wp:wrapNone/>
            <wp:docPr id="2538" name="Picture 2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8"/>
                    <pic:cNvPicPr>
                      <a:picLocks noChangeAspect="1" noChangeArrowheads="1"/>
                    </pic:cNvPicPr>
                  </pic:nvPicPr>
                  <pic:blipFill>
                    <a:blip r:embed="rId25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-273685</wp:posOffset>
            </wp:positionV>
            <wp:extent cx="8255" cy="8255"/>
            <wp:wrapNone/>
            <wp:docPr id="2539" name="Picture 2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9"/>
                    <pic:cNvPicPr>
                      <a:picLocks noChangeAspect="1" noChangeArrowheads="1"/>
                    </pic:cNvPicPr>
                  </pic:nvPicPr>
                  <pic:blipFill>
                    <a:blip r:embed="rId25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-273685</wp:posOffset>
            </wp:positionV>
            <wp:extent cx="8255" cy="8255"/>
            <wp:wrapNone/>
            <wp:docPr id="2540" name="Picture 2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0"/>
                    <pic:cNvPicPr>
                      <a:picLocks noChangeAspect="1" noChangeArrowheads="1"/>
                    </pic:cNvPicPr>
                  </pic:nvPicPr>
                  <pic:blipFill>
                    <a:blip r:embed="rId25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-273685</wp:posOffset>
            </wp:positionV>
            <wp:extent cx="8890" cy="8255"/>
            <wp:wrapNone/>
            <wp:docPr id="2541" name="Picture 2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1"/>
                    <pic:cNvPicPr>
                      <a:picLocks noChangeAspect="1" noChangeArrowheads="1"/>
                    </pic:cNvPicPr>
                  </pic:nvPicPr>
                  <pic:blipFill>
                    <a:blip r:embed="rId25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-273685</wp:posOffset>
            </wp:positionV>
            <wp:extent cx="8890" cy="8255"/>
            <wp:wrapNone/>
            <wp:docPr id="2542" name="Picture 2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2"/>
                    <pic:cNvPicPr>
                      <a:picLocks noChangeAspect="1" noChangeArrowheads="1"/>
                    </pic:cNvPicPr>
                  </pic:nvPicPr>
                  <pic:blipFill>
                    <a:blip r:embed="rId25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-273685</wp:posOffset>
            </wp:positionV>
            <wp:extent cx="8255" cy="8255"/>
            <wp:wrapNone/>
            <wp:docPr id="2543" name="Picture 2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3"/>
                    <pic:cNvPicPr>
                      <a:picLocks noChangeAspect="1" noChangeArrowheads="1"/>
                    </pic:cNvPicPr>
                  </pic:nvPicPr>
                  <pic:blipFill>
                    <a:blip r:embed="rId25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-273685</wp:posOffset>
            </wp:positionV>
            <wp:extent cx="8255" cy="8255"/>
            <wp:wrapNone/>
            <wp:docPr id="2544" name="Picture 2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4"/>
                    <pic:cNvPicPr>
                      <a:picLocks noChangeAspect="1" noChangeArrowheads="1"/>
                    </pic:cNvPicPr>
                  </pic:nvPicPr>
                  <pic:blipFill>
                    <a:blip r:embed="rId25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-273685</wp:posOffset>
            </wp:positionV>
            <wp:extent cx="8255" cy="8255"/>
            <wp:wrapNone/>
            <wp:docPr id="2545" name="Picture 2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5"/>
                    <pic:cNvPicPr>
                      <a:picLocks noChangeAspect="1" noChangeArrowheads="1"/>
                    </pic:cNvPicPr>
                  </pic:nvPicPr>
                  <pic:blipFill>
                    <a:blip r:embed="rId25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-273685</wp:posOffset>
            </wp:positionV>
            <wp:extent cx="8890" cy="8255"/>
            <wp:wrapNone/>
            <wp:docPr id="2546" name="Picture 2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6"/>
                    <pic:cNvPicPr>
                      <a:picLocks noChangeAspect="1" noChangeArrowheads="1"/>
                    </pic:cNvPicPr>
                  </pic:nvPicPr>
                  <pic:blipFill>
                    <a:blip r:embed="rId25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-273685</wp:posOffset>
            </wp:positionV>
            <wp:extent cx="8890" cy="8255"/>
            <wp:wrapNone/>
            <wp:docPr id="2547" name="Picture 2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7"/>
                    <pic:cNvPicPr>
                      <a:picLocks noChangeAspect="1" noChangeArrowheads="1"/>
                    </pic:cNvPicPr>
                  </pic:nvPicPr>
                  <pic:blipFill>
                    <a:blip r:embed="rId25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-273685</wp:posOffset>
            </wp:positionV>
            <wp:extent cx="8255" cy="8255"/>
            <wp:wrapNone/>
            <wp:docPr id="2548" name="Picture 2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8"/>
                    <pic:cNvPicPr>
                      <a:picLocks noChangeAspect="1" noChangeArrowheads="1"/>
                    </pic:cNvPicPr>
                  </pic:nvPicPr>
                  <pic:blipFill>
                    <a:blip r:embed="rId25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-273685</wp:posOffset>
            </wp:positionV>
            <wp:extent cx="8255" cy="8255"/>
            <wp:wrapNone/>
            <wp:docPr id="2549" name="Picture 2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9"/>
                    <pic:cNvPicPr>
                      <a:picLocks noChangeAspect="1" noChangeArrowheads="1"/>
                    </pic:cNvPicPr>
                  </pic:nvPicPr>
                  <pic:blipFill>
                    <a:blip r:embed="rId25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-273685</wp:posOffset>
            </wp:positionV>
            <wp:extent cx="8255" cy="8255"/>
            <wp:wrapNone/>
            <wp:docPr id="2550" name="Picture 2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0"/>
                    <pic:cNvPicPr>
                      <a:picLocks noChangeAspect="1" noChangeArrowheads="1"/>
                    </pic:cNvPicPr>
                  </pic:nvPicPr>
                  <pic:blipFill>
                    <a:blip r:embed="rId25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-273685</wp:posOffset>
            </wp:positionV>
            <wp:extent cx="8890" cy="8255"/>
            <wp:wrapNone/>
            <wp:docPr id="2551" name="Picture 2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1"/>
                    <pic:cNvPicPr>
                      <a:picLocks noChangeAspect="1" noChangeArrowheads="1"/>
                    </pic:cNvPicPr>
                  </pic:nvPicPr>
                  <pic:blipFill>
                    <a:blip r:embed="rId25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-273685</wp:posOffset>
            </wp:positionV>
            <wp:extent cx="8890" cy="8255"/>
            <wp:wrapNone/>
            <wp:docPr id="2552" name="Picture 2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2"/>
                    <pic:cNvPicPr>
                      <a:picLocks noChangeAspect="1" noChangeArrowheads="1"/>
                    </pic:cNvPicPr>
                  </pic:nvPicPr>
                  <pic:blipFill>
                    <a:blip r:embed="rId25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-273685</wp:posOffset>
            </wp:positionV>
            <wp:extent cx="8255" cy="8255"/>
            <wp:wrapNone/>
            <wp:docPr id="2553" name="Picture 2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3"/>
                    <pic:cNvPicPr>
                      <a:picLocks noChangeAspect="1" noChangeArrowheads="1"/>
                    </pic:cNvPicPr>
                  </pic:nvPicPr>
                  <pic:blipFill>
                    <a:blip r:embed="rId25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-273685</wp:posOffset>
            </wp:positionV>
            <wp:extent cx="8255" cy="8255"/>
            <wp:wrapNone/>
            <wp:docPr id="2554" name="Picture 2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4"/>
                    <pic:cNvPicPr>
                      <a:picLocks noChangeAspect="1" noChangeArrowheads="1"/>
                    </pic:cNvPicPr>
                  </pic:nvPicPr>
                  <pic:blipFill>
                    <a:blip r:embed="rId25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-273685</wp:posOffset>
            </wp:positionV>
            <wp:extent cx="8890" cy="8255"/>
            <wp:wrapNone/>
            <wp:docPr id="2555" name="Picture 2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5"/>
                    <pic:cNvPicPr>
                      <a:picLocks noChangeAspect="1" noChangeArrowheads="1"/>
                    </pic:cNvPicPr>
                  </pic:nvPicPr>
                  <pic:blipFill>
                    <a:blip r:embed="rId25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-273685</wp:posOffset>
            </wp:positionV>
            <wp:extent cx="8890" cy="8255"/>
            <wp:wrapNone/>
            <wp:docPr id="2556" name="Picture 2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6"/>
                    <pic:cNvPicPr>
                      <a:picLocks noChangeAspect="1" noChangeArrowheads="1"/>
                    </pic:cNvPicPr>
                  </pic:nvPicPr>
                  <pic:blipFill>
                    <a:blip r:embed="rId25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-273685</wp:posOffset>
            </wp:positionV>
            <wp:extent cx="8255" cy="8255"/>
            <wp:wrapNone/>
            <wp:docPr id="2557" name="Picture 2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7"/>
                    <pic:cNvPicPr>
                      <a:picLocks noChangeAspect="1" noChangeArrowheads="1"/>
                    </pic:cNvPicPr>
                  </pic:nvPicPr>
                  <pic:blipFill>
                    <a:blip r:embed="rId25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-273685</wp:posOffset>
            </wp:positionV>
            <wp:extent cx="8255" cy="8255"/>
            <wp:wrapNone/>
            <wp:docPr id="2558" name="Picture 2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8"/>
                    <pic:cNvPicPr>
                      <a:picLocks noChangeAspect="1" noChangeArrowheads="1"/>
                    </pic:cNvPicPr>
                  </pic:nvPicPr>
                  <pic:blipFill>
                    <a:blip r:embed="rId25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-273685</wp:posOffset>
            </wp:positionV>
            <wp:extent cx="8255" cy="8255"/>
            <wp:wrapNone/>
            <wp:docPr id="2559" name="Picture 2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9"/>
                    <pic:cNvPicPr>
                      <a:picLocks noChangeAspect="1" noChangeArrowheads="1"/>
                    </pic:cNvPicPr>
                  </pic:nvPicPr>
                  <pic:blipFill>
                    <a:blip r:embed="rId25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-273685</wp:posOffset>
            </wp:positionV>
            <wp:extent cx="8890" cy="8255"/>
            <wp:wrapNone/>
            <wp:docPr id="2560" name="Picture 2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0"/>
                    <pic:cNvPicPr>
                      <a:picLocks noChangeAspect="1" noChangeArrowheads="1"/>
                    </pic:cNvPicPr>
                  </pic:nvPicPr>
                  <pic:blipFill>
                    <a:blip r:embed="rId25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-273685</wp:posOffset>
            </wp:positionV>
            <wp:extent cx="8890" cy="8255"/>
            <wp:wrapNone/>
            <wp:docPr id="2561" name="Picture 2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1"/>
                    <pic:cNvPicPr>
                      <a:picLocks noChangeAspect="1" noChangeArrowheads="1"/>
                    </pic:cNvPicPr>
                  </pic:nvPicPr>
                  <pic:blipFill>
                    <a:blip r:embed="rId25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-273685</wp:posOffset>
            </wp:positionV>
            <wp:extent cx="8255" cy="8255"/>
            <wp:wrapNone/>
            <wp:docPr id="2562" name="Picture 2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2"/>
                    <pic:cNvPicPr>
                      <a:picLocks noChangeAspect="1" noChangeArrowheads="1"/>
                    </pic:cNvPicPr>
                  </pic:nvPicPr>
                  <pic:blipFill>
                    <a:blip r:embed="rId25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-273685</wp:posOffset>
            </wp:positionV>
            <wp:extent cx="8255" cy="8255"/>
            <wp:wrapNone/>
            <wp:docPr id="2563" name="Picture 2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3"/>
                    <pic:cNvPicPr>
                      <a:picLocks noChangeAspect="1" noChangeArrowheads="1"/>
                    </pic:cNvPicPr>
                  </pic:nvPicPr>
                  <pic:blipFill>
                    <a:blip r:embed="rId25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-273685</wp:posOffset>
            </wp:positionV>
            <wp:extent cx="8255" cy="8255"/>
            <wp:wrapNone/>
            <wp:docPr id="2564" name="Picture 2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4"/>
                    <pic:cNvPicPr>
                      <a:picLocks noChangeAspect="1" noChangeArrowheads="1"/>
                    </pic:cNvPicPr>
                  </pic:nvPicPr>
                  <pic:blipFill>
                    <a:blip r:embed="rId25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-273685</wp:posOffset>
            </wp:positionV>
            <wp:extent cx="8890" cy="8255"/>
            <wp:wrapNone/>
            <wp:docPr id="2565" name="Picture 2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5"/>
                    <pic:cNvPicPr>
                      <a:picLocks noChangeAspect="1" noChangeArrowheads="1"/>
                    </pic:cNvPicPr>
                  </pic:nvPicPr>
                  <pic:blipFill>
                    <a:blip r:embed="rId25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-273685</wp:posOffset>
            </wp:positionV>
            <wp:extent cx="8890" cy="8255"/>
            <wp:wrapNone/>
            <wp:docPr id="2566" name="Picture 2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6"/>
                    <pic:cNvPicPr>
                      <a:picLocks noChangeAspect="1" noChangeArrowheads="1"/>
                    </pic:cNvPicPr>
                  </pic:nvPicPr>
                  <pic:blipFill>
                    <a:blip r:embed="rId25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-273685</wp:posOffset>
            </wp:positionV>
            <wp:extent cx="8255" cy="8255"/>
            <wp:wrapNone/>
            <wp:docPr id="2567" name="Picture 2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7"/>
                    <pic:cNvPicPr>
                      <a:picLocks noChangeAspect="1" noChangeArrowheads="1"/>
                    </pic:cNvPicPr>
                  </pic:nvPicPr>
                  <pic:blipFill>
                    <a:blip r:embed="rId25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-273685</wp:posOffset>
            </wp:positionV>
            <wp:extent cx="8255" cy="8255"/>
            <wp:wrapNone/>
            <wp:docPr id="2568" name="Picture 2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8"/>
                    <pic:cNvPicPr>
                      <a:picLocks noChangeAspect="1" noChangeArrowheads="1"/>
                    </pic:cNvPicPr>
                  </pic:nvPicPr>
                  <pic:blipFill>
                    <a:blip r:embed="rId25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-273685</wp:posOffset>
            </wp:positionV>
            <wp:extent cx="8255" cy="8255"/>
            <wp:wrapNone/>
            <wp:docPr id="2569" name="Picture 2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9"/>
                    <pic:cNvPicPr>
                      <a:picLocks noChangeAspect="1" noChangeArrowheads="1"/>
                    </pic:cNvPicPr>
                  </pic:nvPicPr>
                  <pic:blipFill>
                    <a:blip r:embed="rId25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-273685</wp:posOffset>
            </wp:positionV>
            <wp:extent cx="8890" cy="8255"/>
            <wp:wrapNone/>
            <wp:docPr id="2570" name="Picture 2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0"/>
                    <pic:cNvPicPr>
                      <a:picLocks noChangeAspect="1" noChangeArrowheads="1"/>
                    </pic:cNvPicPr>
                  </pic:nvPicPr>
                  <pic:blipFill>
                    <a:blip r:embed="rId25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-273685</wp:posOffset>
            </wp:positionV>
            <wp:extent cx="8890" cy="8255"/>
            <wp:wrapNone/>
            <wp:docPr id="2571" name="Picture 2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1"/>
                    <pic:cNvPicPr>
                      <a:picLocks noChangeAspect="1" noChangeArrowheads="1"/>
                    </pic:cNvPicPr>
                  </pic:nvPicPr>
                  <pic:blipFill>
                    <a:blip r:embed="rId25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-273685</wp:posOffset>
            </wp:positionV>
            <wp:extent cx="8255" cy="8255"/>
            <wp:wrapNone/>
            <wp:docPr id="2572" name="Picture 2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2"/>
                    <pic:cNvPicPr>
                      <a:picLocks noChangeAspect="1" noChangeArrowheads="1"/>
                    </pic:cNvPicPr>
                  </pic:nvPicPr>
                  <pic:blipFill>
                    <a:blip r:embed="rId25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-273685</wp:posOffset>
            </wp:positionV>
            <wp:extent cx="8255" cy="8255"/>
            <wp:wrapNone/>
            <wp:docPr id="2573" name="Picture 2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3"/>
                    <pic:cNvPicPr>
                      <a:picLocks noChangeAspect="1" noChangeArrowheads="1"/>
                    </pic:cNvPicPr>
                  </pic:nvPicPr>
                  <pic:blipFill>
                    <a:blip r:embed="rId25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-273685</wp:posOffset>
            </wp:positionV>
            <wp:extent cx="8255" cy="8255"/>
            <wp:wrapNone/>
            <wp:docPr id="2574" name="Picture 2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4"/>
                    <pic:cNvPicPr>
                      <a:picLocks noChangeAspect="1" noChangeArrowheads="1"/>
                    </pic:cNvPicPr>
                  </pic:nvPicPr>
                  <pic:blipFill>
                    <a:blip r:embed="rId25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-273685</wp:posOffset>
            </wp:positionV>
            <wp:extent cx="8890" cy="8255"/>
            <wp:wrapNone/>
            <wp:docPr id="2575" name="Picture 2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5"/>
                    <pic:cNvPicPr>
                      <a:picLocks noChangeAspect="1" noChangeArrowheads="1"/>
                    </pic:cNvPicPr>
                  </pic:nvPicPr>
                  <pic:blipFill>
                    <a:blip r:embed="rId25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-273685</wp:posOffset>
            </wp:positionV>
            <wp:extent cx="8890" cy="8255"/>
            <wp:wrapNone/>
            <wp:docPr id="2576" name="Picture 2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6"/>
                    <pic:cNvPicPr>
                      <a:picLocks noChangeAspect="1" noChangeArrowheads="1"/>
                    </pic:cNvPicPr>
                  </pic:nvPicPr>
                  <pic:blipFill>
                    <a:blip r:embed="rId25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-273685</wp:posOffset>
            </wp:positionV>
            <wp:extent cx="8255" cy="8255"/>
            <wp:wrapNone/>
            <wp:docPr id="2577" name="Picture 2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7"/>
                    <pic:cNvPicPr>
                      <a:picLocks noChangeAspect="1" noChangeArrowheads="1"/>
                    </pic:cNvPicPr>
                  </pic:nvPicPr>
                  <pic:blipFill>
                    <a:blip r:embed="rId25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-273685</wp:posOffset>
            </wp:positionV>
            <wp:extent cx="8255" cy="8255"/>
            <wp:wrapNone/>
            <wp:docPr id="2578" name="Picture 2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8"/>
                    <pic:cNvPicPr>
                      <a:picLocks noChangeAspect="1" noChangeArrowheads="1"/>
                    </pic:cNvPicPr>
                  </pic:nvPicPr>
                  <pic:blipFill>
                    <a:blip r:embed="rId25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-273685</wp:posOffset>
            </wp:positionV>
            <wp:extent cx="8255" cy="8255"/>
            <wp:wrapNone/>
            <wp:docPr id="2579" name="Picture 2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9"/>
                    <pic:cNvPicPr>
                      <a:picLocks noChangeAspect="1" noChangeArrowheads="1"/>
                    </pic:cNvPicPr>
                  </pic:nvPicPr>
                  <pic:blipFill>
                    <a:blip r:embed="rId25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-273685</wp:posOffset>
            </wp:positionV>
            <wp:extent cx="8890" cy="8255"/>
            <wp:wrapNone/>
            <wp:docPr id="2580" name="Picture 2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0"/>
                    <pic:cNvPicPr>
                      <a:picLocks noChangeAspect="1" noChangeArrowheads="1"/>
                    </pic:cNvPicPr>
                  </pic:nvPicPr>
                  <pic:blipFill>
                    <a:blip r:embed="rId25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-273685</wp:posOffset>
            </wp:positionV>
            <wp:extent cx="8890" cy="8255"/>
            <wp:wrapNone/>
            <wp:docPr id="2581" name="Picture 2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1"/>
                    <pic:cNvPicPr>
                      <a:picLocks noChangeAspect="1" noChangeArrowheads="1"/>
                    </pic:cNvPicPr>
                  </pic:nvPicPr>
                  <pic:blipFill>
                    <a:blip r:embed="rId25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-273685</wp:posOffset>
            </wp:positionV>
            <wp:extent cx="8255" cy="8255"/>
            <wp:wrapNone/>
            <wp:docPr id="2582" name="Picture 2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2"/>
                    <pic:cNvPicPr>
                      <a:picLocks noChangeAspect="1" noChangeArrowheads="1"/>
                    </pic:cNvPicPr>
                  </pic:nvPicPr>
                  <pic:blipFill>
                    <a:blip r:embed="rId25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-273685</wp:posOffset>
            </wp:positionV>
            <wp:extent cx="8255" cy="8255"/>
            <wp:wrapNone/>
            <wp:docPr id="2583" name="Picture 2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3"/>
                    <pic:cNvPicPr>
                      <a:picLocks noChangeAspect="1" noChangeArrowheads="1"/>
                    </pic:cNvPicPr>
                  </pic:nvPicPr>
                  <pic:blipFill>
                    <a:blip r:embed="rId25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-273685</wp:posOffset>
            </wp:positionV>
            <wp:extent cx="8255" cy="8255"/>
            <wp:wrapNone/>
            <wp:docPr id="2584" name="Picture 2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4"/>
                    <pic:cNvPicPr>
                      <a:picLocks noChangeAspect="1" noChangeArrowheads="1"/>
                    </pic:cNvPicPr>
                  </pic:nvPicPr>
                  <pic:blipFill>
                    <a:blip r:embed="rId25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-273685</wp:posOffset>
            </wp:positionV>
            <wp:extent cx="8890" cy="8255"/>
            <wp:wrapNone/>
            <wp:docPr id="2585" name="Picture 2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5"/>
                    <pic:cNvPicPr>
                      <a:picLocks noChangeAspect="1" noChangeArrowheads="1"/>
                    </pic:cNvPicPr>
                  </pic:nvPicPr>
                  <pic:blipFill>
                    <a:blip r:embed="rId25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-273685</wp:posOffset>
            </wp:positionV>
            <wp:extent cx="8890" cy="8255"/>
            <wp:wrapNone/>
            <wp:docPr id="2586" name="Picture 2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6"/>
                    <pic:cNvPicPr>
                      <a:picLocks noChangeAspect="1" noChangeArrowheads="1"/>
                    </pic:cNvPicPr>
                  </pic:nvPicPr>
                  <pic:blipFill>
                    <a:blip r:embed="rId25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-273685</wp:posOffset>
            </wp:positionV>
            <wp:extent cx="8255" cy="8255"/>
            <wp:wrapNone/>
            <wp:docPr id="2587" name="Picture 2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7"/>
                    <pic:cNvPicPr>
                      <a:picLocks noChangeAspect="1" noChangeArrowheads="1"/>
                    </pic:cNvPicPr>
                  </pic:nvPicPr>
                  <pic:blipFill>
                    <a:blip r:embed="rId25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-273685</wp:posOffset>
            </wp:positionV>
            <wp:extent cx="8255" cy="8255"/>
            <wp:wrapNone/>
            <wp:docPr id="2588" name="Picture 2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8"/>
                    <pic:cNvPicPr>
                      <a:picLocks noChangeAspect="1" noChangeArrowheads="1"/>
                    </pic:cNvPicPr>
                  </pic:nvPicPr>
                  <pic:blipFill>
                    <a:blip r:embed="rId25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-273685</wp:posOffset>
            </wp:positionV>
            <wp:extent cx="8255" cy="8255"/>
            <wp:wrapNone/>
            <wp:docPr id="2589" name="Picture 2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9"/>
                    <pic:cNvPicPr>
                      <a:picLocks noChangeAspect="1" noChangeArrowheads="1"/>
                    </pic:cNvPicPr>
                  </pic:nvPicPr>
                  <pic:blipFill>
                    <a:blip r:embed="rId25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-273685</wp:posOffset>
            </wp:positionV>
            <wp:extent cx="8890" cy="8255"/>
            <wp:wrapNone/>
            <wp:docPr id="2590" name="Picture 2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0"/>
                    <pic:cNvPicPr>
                      <a:picLocks noChangeAspect="1" noChangeArrowheads="1"/>
                    </pic:cNvPicPr>
                  </pic:nvPicPr>
                  <pic:blipFill>
                    <a:blip r:embed="rId25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-273685</wp:posOffset>
            </wp:positionV>
            <wp:extent cx="8890" cy="8255"/>
            <wp:wrapNone/>
            <wp:docPr id="2591" name="Picture 2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1"/>
                    <pic:cNvPicPr>
                      <a:picLocks noChangeAspect="1" noChangeArrowheads="1"/>
                    </pic:cNvPicPr>
                  </pic:nvPicPr>
                  <pic:blipFill>
                    <a:blip r:embed="rId25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-273685</wp:posOffset>
            </wp:positionV>
            <wp:extent cx="8255" cy="8255"/>
            <wp:wrapNone/>
            <wp:docPr id="2592" name="Picture 2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2"/>
                    <pic:cNvPicPr>
                      <a:picLocks noChangeAspect="1" noChangeArrowheads="1"/>
                    </pic:cNvPicPr>
                  </pic:nvPicPr>
                  <pic:blipFill>
                    <a:blip r:embed="rId25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-273685</wp:posOffset>
            </wp:positionV>
            <wp:extent cx="8255" cy="8255"/>
            <wp:wrapNone/>
            <wp:docPr id="2593" name="Picture 2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3"/>
                    <pic:cNvPicPr>
                      <a:picLocks noChangeAspect="1" noChangeArrowheads="1"/>
                    </pic:cNvPicPr>
                  </pic:nvPicPr>
                  <pic:blipFill>
                    <a:blip r:embed="rId26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-273685</wp:posOffset>
            </wp:positionV>
            <wp:extent cx="8890" cy="8255"/>
            <wp:wrapNone/>
            <wp:docPr id="2594" name="Picture 2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4"/>
                    <pic:cNvPicPr>
                      <a:picLocks noChangeAspect="1" noChangeArrowheads="1"/>
                    </pic:cNvPicPr>
                  </pic:nvPicPr>
                  <pic:blipFill>
                    <a:blip r:embed="rId26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-273685</wp:posOffset>
            </wp:positionV>
            <wp:extent cx="8890" cy="8255"/>
            <wp:wrapNone/>
            <wp:docPr id="2595" name="Picture 2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5"/>
                    <pic:cNvPicPr>
                      <a:picLocks noChangeAspect="1" noChangeArrowheads="1"/>
                    </pic:cNvPicPr>
                  </pic:nvPicPr>
                  <pic:blipFill>
                    <a:blip r:embed="rId26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-273685</wp:posOffset>
            </wp:positionV>
            <wp:extent cx="8255" cy="8255"/>
            <wp:wrapNone/>
            <wp:docPr id="2596" name="Picture 2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6"/>
                    <pic:cNvPicPr>
                      <a:picLocks noChangeAspect="1" noChangeArrowheads="1"/>
                    </pic:cNvPicPr>
                  </pic:nvPicPr>
                  <pic:blipFill>
                    <a:blip r:embed="rId26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-273685</wp:posOffset>
            </wp:positionV>
            <wp:extent cx="8255" cy="8255"/>
            <wp:wrapNone/>
            <wp:docPr id="2597" name="Picture 2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7"/>
                    <pic:cNvPicPr>
                      <a:picLocks noChangeAspect="1" noChangeArrowheads="1"/>
                    </pic:cNvPicPr>
                  </pic:nvPicPr>
                  <pic:blipFill>
                    <a:blip r:embed="rId26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-273685</wp:posOffset>
            </wp:positionV>
            <wp:extent cx="8255" cy="8255"/>
            <wp:wrapNone/>
            <wp:docPr id="2598" name="Picture 2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8"/>
                    <pic:cNvPicPr>
                      <a:picLocks noChangeAspect="1" noChangeArrowheads="1"/>
                    </pic:cNvPicPr>
                  </pic:nvPicPr>
                  <pic:blipFill>
                    <a:blip r:embed="rId26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-273685</wp:posOffset>
            </wp:positionV>
            <wp:extent cx="8890" cy="8255"/>
            <wp:wrapNone/>
            <wp:docPr id="2599" name="Picture 2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9"/>
                    <pic:cNvPicPr>
                      <a:picLocks noChangeAspect="1" noChangeArrowheads="1"/>
                    </pic:cNvPicPr>
                  </pic:nvPicPr>
                  <pic:blipFill>
                    <a:blip r:embed="rId26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-273685</wp:posOffset>
            </wp:positionV>
            <wp:extent cx="8890" cy="8255"/>
            <wp:wrapNone/>
            <wp:docPr id="2600" name="Picture 2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0"/>
                    <pic:cNvPicPr>
                      <a:picLocks noChangeAspect="1" noChangeArrowheads="1"/>
                    </pic:cNvPicPr>
                  </pic:nvPicPr>
                  <pic:blipFill>
                    <a:blip r:embed="rId26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-273685</wp:posOffset>
            </wp:positionV>
            <wp:extent cx="8255" cy="8255"/>
            <wp:wrapNone/>
            <wp:docPr id="2601" name="Picture 2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1"/>
                    <pic:cNvPicPr>
                      <a:picLocks noChangeAspect="1" noChangeArrowheads="1"/>
                    </pic:cNvPicPr>
                  </pic:nvPicPr>
                  <pic:blipFill>
                    <a:blip r:embed="rId26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-273685</wp:posOffset>
            </wp:positionV>
            <wp:extent cx="8255" cy="8255"/>
            <wp:wrapNone/>
            <wp:docPr id="2602" name="Picture 2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2"/>
                    <pic:cNvPicPr>
                      <a:picLocks noChangeAspect="1" noChangeArrowheads="1"/>
                    </pic:cNvPicPr>
                  </pic:nvPicPr>
                  <pic:blipFill>
                    <a:blip r:embed="rId26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-273685</wp:posOffset>
            </wp:positionV>
            <wp:extent cx="8255" cy="8255"/>
            <wp:wrapNone/>
            <wp:docPr id="2603" name="Picture 2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3"/>
                    <pic:cNvPicPr>
                      <a:picLocks noChangeAspect="1" noChangeArrowheads="1"/>
                    </pic:cNvPicPr>
                  </pic:nvPicPr>
                  <pic:blipFill>
                    <a:blip r:embed="rId26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-273685</wp:posOffset>
            </wp:positionV>
            <wp:extent cx="8890" cy="8255"/>
            <wp:wrapNone/>
            <wp:docPr id="2604" name="Picture 2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4"/>
                    <pic:cNvPicPr>
                      <a:picLocks noChangeAspect="1" noChangeArrowheads="1"/>
                    </pic:cNvPicPr>
                  </pic:nvPicPr>
                  <pic:blipFill>
                    <a:blip r:embed="rId26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-273685</wp:posOffset>
            </wp:positionV>
            <wp:extent cx="8890" cy="8255"/>
            <wp:wrapNone/>
            <wp:docPr id="2605" name="Picture 2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5"/>
                    <pic:cNvPicPr>
                      <a:picLocks noChangeAspect="1" noChangeArrowheads="1"/>
                    </pic:cNvPicPr>
                  </pic:nvPicPr>
                  <pic:blipFill>
                    <a:blip r:embed="rId26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-273685</wp:posOffset>
            </wp:positionV>
            <wp:extent cx="8255" cy="8255"/>
            <wp:wrapNone/>
            <wp:docPr id="2606" name="Picture 2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6"/>
                    <pic:cNvPicPr>
                      <a:picLocks noChangeAspect="1" noChangeArrowheads="1"/>
                    </pic:cNvPicPr>
                  </pic:nvPicPr>
                  <pic:blipFill>
                    <a:blip r:embed="rId26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-273685</wp:posOffset>
            </wp:positionV>
            <wp:extent cx="8255" cy="8255"/>
            <wp:wrapNone/>
            <wp:docPr id="2607" name="Picture 2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7"/>
                    <pic:cNvPicPr>
                      <a:picLocks noChangeAspect="1" noChangeArrowheads="1"/>
                    </pic:cNvPicPr>
                  </pic:nvPicPr>
                  <pic:blipFill>
                    <a:blip r:embed="rId26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-273685</wp:posOffset>
            </wp:positionV>
            <wp:extent cx="8255" cy="8255"/>
            <wp:wrapNone/>
            <wp:docPr id="2608" name="Picture 2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8"/>
                    <pic:cNvPicPr>
                      <a:picLocks noChangeAspect="1" noChangeArrowheads="1"/>
                    </pic:cNvPicPr>
                  </pic:nvPicPr>
                  <pic:blipFill>
                    <a:blip r:embed="rId26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-273685</wp:posOffset>
            </wp:positionV>
            <wp:extent cx="8890" cy="8255"/>
            <wp:wrapNone/>
            <wp:docPr id="2609" name="Picture 2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9"/>
                    <pic:cNvPicPr>
                      <a:picLocks noChangeAspect="1" noChangeArrowheads="1"/>
                    </pic:cNvPicPr>
                  </pic:nvPicPr>
                  <pic:blipFill>
                    <a:blip r:embed="rId26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-273685</wp:posOffset>
            </wp:positionV>
            <wp:extent cx="8890" cy="8255"/>
            <wp:wrapNone/>
            <wp:docPr id="2610" name="Picture 2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0"/>
                    <pic:cNvPicPr>
                      <a:picLocks noChangeAspect="1" noChangeArrowheads="1"/>
                    </pic:cNvPicPr>
                  </pic:nvPicPr>
                  <pic:blipFill>
                    <a:blip r:embed="rId26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-273685</wp:posOffset>
            </wp:positionV>
            <wp:extent cx="8255" cy="8255"/>
            <wp:wrapNone/>
            <wp:docPr id="2611" name="Picture 2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1"/>
                    <pic:cNvPicPr>
                      <a:picLocks noChangeAspect="1" noChangeArrowheads="1"/>
                    </pic:cNvPicPr>
                  </pic:nvPicPr>
                  <pic:blipFill>
                    <a:blip r:embed="rId26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-273685</wp:posOffset>
            </wp:positionV>
            <wp:extent cx="8255" cy="8255"/>
            <wp:wrapNone/>
            <wp:docPr id="2612" name="Picture 2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2"/>
                    <pic:cNvPicPr>
                      <a:picLocks noChangeAspect="1" noChangeArrowheads="1"/>
                    </pic:cNvPicPr>
                  </pic:nvPicPr>
                  <pic:blipFill>
                    <a:blip r:embed="rId26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-273685</wp:posOffset>
            </wp:positionV>
            <wp:extent cx="8255" cy="8255"/>
            <wp:wrapNone/>
            <wp:docPr id="2613" name="Picture 2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3"/>
                    <pic:cNvPicPr>
                      <a:picLocks noChangeAspect="1" noChangeArrowheads="1"/>
                    </pic:cNvPicPr>
                  </pic:nvPicPr>
                  <pic:blipFill>
                    <a:blip r:embed="rId26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-273685</wp:posOffset>
            </wp:positionV>
            <wp:extent cx="8890" cy="8255"/>
            <wp:wrapNone/>
            <wp:docPr id="2614" name="Picture 2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4"/>
                    <pic:cNvPicPr>
                      <a:picLocks noChangeAspect="1" noChangeArrowheads="1"/>
                    </pic:cNvPicPr>
                  </pic:nvPicPr>
                  <pic:blipFill>
                    <a:blip r:embed="rId26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-273685</wp:posOffset>
            </wp:positionV>
            <wp:extent cx="8890" cy="8255"/>
            <wp:wrapNone/>
            <wp:docPr id="2615" name="Picture 2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5"/>
                    <pic:cNvPicPr>
                      <a:picLocks noChangeAspect="1" noChangeArrowheads="1"/>
                    </pic:cNvPicPr>
                  </pic:nvPicPr>
                  <pic:blipFill>
                    <a:blip r:embed="rId26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-273685</wp:posOffset>
            </wp:positionV>
            <wp:extent cx="8255" cy="8255"/>
            <wp:wrapNone/>
            <wp:docPr id="2616" name="Picture 2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6"/>
                    <pic:cNvPicPr>
                      <a:picLocks noChangeAspect="1" noChangeArrowheads="1"/>
                    </pic:cNvPicPr>
                  </pic:nvPicPr>
                  <pic:blipFill>
                    <a:blip r:embed="rId26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-273685</wp:posOffset>
            </wp:positionV>
            <wp:extent cx="8255" cy="8255"/>
            <wp:wrapNone/>
            <wp:docPr id="2617" name="Picture 2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7"/>
                    <pic:cNvPicPr>
                      <a:picLocks noChangeAspect="1" noChangeArrowheads="1"/>
                    </pic:cNvPicPr>
                  </pic:nvPicPr>
                  <pic:blipFill>
                    <a:blip r:embed="rId26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-273685</wp:posOffset>
            </wp:positionV>
            <wp:extent cx="8255" cy="8255"/>
            <wp:wrapNone/>
            <wp:docPr id="2618" name="Picture 2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8"/>
                    <pic:cNvPicPr>
                      <a:picLocks noChangeAspect="1" noChangeArrowheads="1"/>
                    </pic:cNvPicPr>
                  </pic:nvPicPr>
                  <pic:blipFill>
                    <a:blip r:embed="rId26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-273685</wp:posOffset>
            </wp:positionV>
            <wp:extent cx="8890" cy="8255"/>
            <wp:wrapNone/>
            <wp:docPr id="2619" name="Picture 2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9"/>
                    <pic:cNvPicPr>
                      <a:picLocks noChangeAspect="1" noChangeArrowheads="1"/>
                    </pic:cNvPicPr>
                  </pic:nvPicPr>
                  <pic:blipFill>
                    <a:blip r:embed="rId26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-273685</wp:posOffset>
            </wp:positionV>
            <wp:extent cx="8890" cy="8255"/>
            <wp:wrapNone/>
            <wp:docPr id="2620" name="Picture 2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0"/>
                    <pic:cNvPicPr>
                      <a:picLocks noChangeAspect="1" noChangeArrowheads="1"/>
                    </pic:cNvPicPr>
                  </pic:nvPicPr>
                  <pic:blipFill>
                    <a:blip r:embed="rId26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-273685</wp:posOffset>
            </wp:positionV>
            <wp:extent cx="8255" cy="8255"/>
            <wp:wrapNone/>
            <wp:docPr id="2621" name="Picture 2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1"/>
                    <pic:cNvPicPr>
                      <a:picLocks noChangeAspect="1" noChangeArrowheads="1"/>
                    </pic:cNvPicPr>
                  </pic:nvPicPr>
                  <pic:blipFill>
                    <a:blip r:embed="rId26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-273685</wp:posOffset>
            </wp:positionV>
            <wp:extent cx="8255" cy="8255"/>
            <wp:wrapNone/>
            <wp:docPr id="2622" name="Picture 2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2"/>
                    <pic:cNvPicPr>
                      <a:picLocks noChangeAspect="1" noChangeArrowheads="1"/>
                    </pic:cNvPicPr>
                  </pic:nvPicPr>
                  <pic:blipFill>
                    <a:blip r:embed="rId26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-273685</wp:posOffset>
            </wp:positionV>
            <wp:extent cx="8255" cy="8255"/>
            <wp:wrapNone/>
            <wp:docPr id="2623" name="Picture 2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3"/>
                    <pic:cNvPicPr>
                      <a:picLocks noChangeAspect="1" noChangeArrowheads="1"/>
                    </pic:cNvPicPr>
                  </pic:nvPicPr>
                  <pic:blipFill>
                    <a:blip r:embed="rId26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-273685</wp:posOffset>
            </wp:positionV>
            <wp:extent cx="8890" cy="8255"/>
            <wp:wrapNone/>
            <wp:docPr id="2624" name="Picture 2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4"/>
                    <pic:cNvPicPr>
                      <a:picLocks noChangeAspect="1" noChangeArrowheads="1"/>
                    </pic:cNvPicPr>
                  </pic:nvPicPr>
                  <pic:blipFill>
                    <a:blip r:embed="rId26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-273685</wp:posOffset>
            </wp:positionV>
            <wp:extent cx="8890" cy="8255"/>
            <wp:wrapNone/>
            <wp:docPr id="2625" name="Picture 2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5"/>
                    <pic:cNvPicPr>
                      <a:picLocks noChangeAspect="1" noChangeArrowheads="1"/>
                    </pic:cNvPicPr>
                  </pic:nvPicPr>
                  <pic:blipFill>
                    <a:blip r:embed="rId26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-273685</wp:posOffset>
            </wp:positionV>
            <wp:extent cx="8255" cy="8255"/>
            <wp:wrapNone/>
            <wp:docPr id="2626" name="Picture 2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6"/>
                    <pic:cNvPicPr>
                      <a:picLocks noChangeAspect="1" noChangeArrowheads="1"/>
                    </pic:cNvPicPr>
                  </pic:nvPicPr>
                  <pic:blipFill>
                    <a:blip r:embed="rId26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-273685</wp:posOffset>
            </wp:positionV>
            <wp:extent cx="8255" cy="8255"/>
            <wp:wrapNone/>
            <wp:docPr id="2627" name="Picture 2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7"/>
                    <pic:cNvPicPr>
                      <a:picLocks noChangeAspect="1" noChangeArrowheads="1"/>
                    </pic:cNvPicPr>
                  </pic:nvPicPr>
                  <pic:blipFill>
                    <a:blip r:embed="rId26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-273685</wp:posOffset>
            </wp:positionV>
            <wp:extent cx="8255" cy="8255"/>
            <wp:wrapNone/>
            <wp:docPr id="2628" name="Picture 2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8"/>
                    <pic:cNvPicPr>
                      <a:picLocks noChangeAspect="1" noChangeArrowheads="1"/>
                    </pic:cNvPicPr>
                  </pic:nvPicPr>
                  <pic:blipFill>
                    <a:blip r:embed="rId26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-273685</wp:posOffset>
            </wp:positionV>
            <wp:extent cx="8890" cy="8255"/>
            <wp:wrapNone/>
            <wp:docPr id="2629" name="Picture 2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9"/>
                    <pic:cNvPicPr>
                      <a:picLocks noChangeAspect="1" noChangeArrowheads="1"/>
                    </pic:cNvPicPr>
                  </pic:nvPicPr>
                  <pic:blipFill>
                    <a:blip r:embed="rId26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-273685</wp:posOffset>
            </wp:positionV>
            <wp:extent cx="8890" cy="8255"/>
            <wp:wrapNone/>
            <wp:docPr id="2630" name="Picture 2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0"/>
                    <pic:cNvPicPr>
                      <a:picLocks noChangeAspect="1" noChangeArrowheads="1"/>
                    </pic:cNvPicPr>
                  </pic:nvPicPr>
                  <pic:blipFill>
                    <a:blip r:embed="rId26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-273685</wp:posOffset>
            </wp:positionV>
            <wp:extent cx="8255" cy="8255"/>
            <wp:wrapNone/>
            <wp:docPr id="2631" name="Picture 2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1"/>
                    <pic:cNvPicPr>
                      <a:picLocks noChangeAspect="1" noChangeArrowheads="1"/>
                    </pic:cNvPicPr>
                  </pic:nvPicPr>
                  <pic:blipFill>
                    <a:blip r:embed="rId26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-273685</wp:posOffset>
            </wp:positionV>
            <wp:extent cx="8255" cy="8255"/>
            <wp:wrapNone/>
            <wp:docPr id="2632" name="Picture 2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2"/>
                    <pic:cNvPicPr>
                      <a:picLocks noChangeAspect="1" noChangeArrowheads="1"/>
                    </pic:cNvPicPr>
                  </pic:nvPicPr>
                  <pic:blipFill>
                    <a:blip r:embed="rId26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-273685</wp:posOffset>
            </wp:positionV>
            <wp:extent cx="8255" cy="8255"/>
            <wp:wrapNone/>
            <wp:docPr id="2633" name="Picture 2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3"/>
                    <pic:cNvPicPr>
                      <a:picLocks noChangeAspect="1" noChangeArrowheads="1"/>
                    </pic:cNvPicPr>
                  </pic:nvPicPr>
                  <pic:blipFill>
                    <a:blip r:embed="rId26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-273685</wp:posOffset>
            </wp:positionV>
            <wp:extent cx="8890" cy="8255"/>
            <wp:wrapNone/>
            <wp:docPr id="2634" name="Picture 2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4"/>
                    <pic:cNvPicPr>
                      <a:picLocks noChangeAspect="1" noChangeArrowheads="1"/>
                    </pic:cNvPicPr>
                  </pic:nvPicPr>
                  <pic:blipFill>
                    <a:blip r:embed="rId26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-273685</wp:posOffset>
            </wp:positionV>
            <wp:extent cx="8255" cy="8255"/>
            <wp:wrapNone/>
            <wp:docPr id="2635" name="Picture 2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5"/>
                    <pic:cNvPicPr>
                      <a:picLocks noChangeAspect="1" noChangeArrowheads="1"/>
                    </pic:cNvPicPr>
                  </pic:nvPicPr>
                  <pic:blipFill>
                    <a:blip r:embed="rId26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-273685</wp:posOffset>
            </wp:positionV>
            <wp:extent cx="8255" cy="8255"/>
            <wp:wrapNone/>
            <wp:docPr id="2636" name="Picture 2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6"/>
                    <pic:cNvPicPr>
                      <a:picLocks noChangeAspect="1" noChangeArrowheads="1"/>
                    </pic:cNvPicPr>
                  </pic:nvPicPr>
                  <pic:blipFill>
                    <a:blip r:embed="rId26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-273685</wp:posOffset>
            </wp:positionV>
            <wp:extent cx="8255" cy="8255"/>
            <wp:wrapNone/>
            <wp:docPr id="2637" name="Picture 2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7"/>
                    <pic:cNvPicPr>
                      <a:picLocks noChangeAspect="1" noChangeArrowheads="1"/>
                    </pic:cNvPicPr>
                  </pic:nvPicPr>
                  <pic:blipFill>
                    <a:blip r:embed="rId26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-273685</wp:posOffset>
            </wp:positionV>
            <wp:extent cx="8890" cy="8255"/>
            <wp:wrapNone/>
            <wp:docPr id="2638" name="Picture 2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8"/>
                    <pic:cNvPicPr>
                      <a:picLocks noChangeAspect="1" noChangeArrowheads="1"/>
                    </pic:cNvPicPr>
                  </pic:nvPicPr>
                  <pic:blipFill>
                    <a:blip r:embed="rId26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-273685</wp:posOffset>
            </wp:positionV>
            <wp:extent cx="8890" cy="8255"/>
            <wp:wrapNone/>
            <wp:docPr id="2639" name="Picture 2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9"/>
                    <pic:cNvPicPr>
                      <a:picLocks noChangeAspect="1" noChangeArrowheads="1"/>
                    </pic:cNvPicPr>
                  </pic:nvPicPr>
                  <pic:blipFill>
                    <a:blip r:embed="rId26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-273685</wp:posOffset>
            </wp:positionV>
            <wp:extent cx="8255" cy="8255"/>
            <wp:wrapNone/>
            <wp:docPr id="2640" name="Picture 2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0"/>
                    <pic:cNvPicPr>
                      <a:picLocks noChangeAspect="1" noChangeArrowheads="1"/>
                    </pic:cNvPicPr>
                  </pic:nvPicPr>
                  <pic:blipFill>
                    <a:blip r:embed="rId26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-273685</wp:posOffset>
            </wp:positionV>
            <wp:extent cx="8255" cy="8255"/>
            <wp:wrapNone/>
            <wp:docPr id="2641" name="Picture 2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1"/>
                    <pic:cNvPicPr>
                      <a:picLocks noChangeAspect="1" noChangeArrowheads="1"/>
                    </pic:cNvPicPr>
                  </pic:nvPicPr>
                  <pic:blipFill>
                    <a:blip r:embed="rId26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-273685</wp:posOffset>
            </wp:positionV>
            <wp:extent cx="8255" cy="8255"/>
            <wp:wrapNone/>
            <wp:docPr id="2642" name="Picture 2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2"/>
                    <pic:cNvPicPr>
                      <a:picLocks noChangeAspect="1" noChangeArrowheads="1"/>
                    </pic:cNvPicPr>
                  </pic:nvPicPr>
                  <pic:blipFill>
                    <a:blip r:embed="rId26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-273685</wp:posOffset>
            </wp:positionV>
            <wp:extent cx="8890" cy="8255"/>
            <wp:wrapNone/>
            <wp:docPr id="2643" name="Picture 2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3"/>
                    <pic:cNvPicPr>
                      <a:picLocks noChangeAspect="1" noChangeArrowheads="1"/>
                    </pic:cNvPicPr>
                  </pic:nvPicPr>
                  <pic:blipFill>
                    <a:blip r:embed="rId26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-273685</wp:posOffset>
            </wp:positionV>
            <wp:extent cx="8890" cy="8255"/>
            <wp:wrapNone/>
            <wp:docPr id="2644" name="Picture 2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4"/>
                    <pic:cNvPicPr>
                      <a:picLocks noChangeAspect="1" noChangeArrowheads="1"/>
                    </pic:cNvPicPr>
                  </pic:nvPicPr>
                  <pic:blipFill>
                    <a:blip r:embed="rId26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-273685</wp:posOffset>
            </wp:positionV>
            <wp:extent cx="8255" cy="8255"/>
            <wp:wrapNone/>
            <wp:docPr id="2645" name="Picture 2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5"/>
                    <pic:cNvPicPr>
                      <a:picLocks noChangeAspect="1" noChangeArrowheads="1"/>
                    </pic:cNvPicPr>
                  </pic:nvPicPr>
                  <pic:blipFill>
                    <a:blip r:embed="rId26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-273685</wp:posOffset>
            </wp:positionV>
            <wp:extent cx="8255" cy="8255"/>
            <wp:wrapNone/>
            <wp:docPr id="2646" name="Picture 2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6"/>
                    <pic:cNvPicPr>
                      <a:picLocks noChangeAspect="1" noChangeArrowheads="1"/>
                    </pic:cNvPicPr>
                  </pic:nvPicPr>
                  <pic:blipFill>
                    <a:blip r:embed="rId26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-273685</wp:posOffset>
            </wp:positionV>
            <wp:extent cx="8255" cy="8255"/>
            <wp:wrapNone/>
            <wp:docPr id="2647" name="Picture 2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7"/>
                    <pic:cNvPicPr>
                      <a:picLocks noChangeAspect="1" noChangeArrowheads="1"/>
                    </pic:cNvPicPr>
                  </pic:nvPicPr>
                  <pic:blipFill>
                    <a:blip r:embed="rId26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-273685</wp:posOffset>
            </wp:positionV>
            <wp:extent cx="8890" cy="8255"/>
            <wp:wrapNone/>
            <wp:docPr id="2648" name="Picture 2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8"/>
                    <pic:cNvPicPr>
                      <a:picLocks noChangeAspect="1" noChangeArrowheads="1"/>
                    </pic:cNvPicPr>
                  </pic:nvPicPr>
                  <pic:blipFill>
                    <a:blip r:embed="rId26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-273685</wp:posOffset>
            </wp:positionV>
            <wp:extent cx="8890" cy="8255"/>
            <wp:wrapNone/>
            <wp:docPr id="2649" name="Picture 2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9"/>
                    <pic:cNvPicPr>
                      <a:picLocks noChangeAspect="1" noChangeArrowheads="1"/>
                    </pic:cNvPicPr>
                  </pic:nvPicPr>
                  <pic:blipFill>
                    <a:blip r:embed="rId26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-273685</wp:posOffset>
            </wp:positionV>
            <wp:extent cx="8255" cy="8255"/>
            <wp:wrapNone/>
            <wp:docPr id="2650" name="Picture 2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0"/>
                    <pic:cNvPicPr>
                      <a:picLocks noChangeAspect="1" noChangeArrowheads="1"/>
                    </pic:cNvPicPr>
                  </pic:nvPicPr>
                  <pic:blipFill>
                    <a:blip r:embed="rId26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-273685</wp:posOffset>
            </wp:positionV>
            <wp:extent cx="8255" cy="8255"/>
            <wp:wrapNone/>
            <wp:docPr id="2651" name="Picture 2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1"/>
                    <pic:cNvPicPr>
                      <a:picLocks noChangeAspect="1" noChangeArrowheads="1"/>
                    </pic:cNvPicPr>
                  </pic:nvPicPr>
                  <pic:blipFill>
                    <a:blip r:embed="rId26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-273685</wp:posOffset>
            </wp:positionV>
            <wp:extent cx="8255" cy="8255"/>
            <wp:wrapNone/>
            <wp:docPr id="2652" name="Picture 2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2"/>
                    <pic:cNvPicPr>
                      <a:picLocks noChangeAspect="1" noChangeArrowheads="1"/>
                    </pic:cNvPicPr>
                  </pic:nvPicPr>
                  <pic:blipFill>
                    <a:blip r:embed="rId26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-273685</wp:posOffset>
            </wp:positionV>
            <wp:extent cx="8890" cy="8255"/>
            <wp:wrapNone/>
            <wp:docPr id="2653" name="Picture 2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3"/>
                    <pic:cNvPicPr>
                      <a:picLocks noChangeAspect="1" noChangeArrowheads="1"/>
                    </pic:cNvPicPr>
                  </pic:nvPicPr>
                  <pic:blipFill>
                    <a:blip r:embed="rId26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-273685</wp:posOffset>
            </wp:positionV>
            <wp:extent cx="8890" cy="8255"/>
            <wp:wrapNone/>
            <wp:docPr id="2654" name="Picture 2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4"/>
                    <pic:cNvPicPr>
                      <a:picLocks noChangeAspect="1" noChangeArrowheads="1"/>
                    </pic:cNvPicPr>
                  </pic:nvPicPr>
                  <pic:blipFill>
                    <a:blip r:embed="rId26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-273685</wp:posOffset>
            </wp:positionV>
            <wp:extent cx="8255" cy="8255"/>
            <wp:wrapNone/>
            <wp:docPr id="2655" name="Picture 2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5"/>
                    <pic:cNvPicPr>
                      <a:picLocks noChangeAspect="1" noChangeArrowheads="1"/>
                    </pic:cNvPicPr>
                  </pic:nvPicPr>
                  <pic:blipFill>
                    <a:blip r:embed="rId26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-273685</wp:posOffset>
            </wp:positionV>
            <wp:extent cx="8255" cy="8255"/>
            <wp:wrapNone/>
            <wp:docPr id="2656" name="Picture 2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6"/>
                    <pic:cNvPicPr>
                      <a:picLocks noChangeAspect="1" noChangeArrowheads="1"/>
                    </pic:cNvPicPr>
                  </pic:nvPicPr>
                  <pic:blipFill>
                    <a:blip r:embed="rId26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-273685</wp:posOffset>
            </wp:positionV>
            <wp:extent cx="8255" cy="8255"/>
            <wp:wrapNone/>
            <wp:docPr id="2657" name="Picture 2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7"/>
                    <pic:cNvPicPr>
                      <a:picLocks noChangeAspect="1" noChangeArrowheads="1"/>
                    </pic:cNvPicPr>
                  </pic:nvPicPr>
                  <pic:blipFill>
                    <a:blip r:embed="rId26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-273685</wp:posOffset>
            </wp:positionV>
            <wp:extent cx="8890" cy="8255"/>
            <wp:wrapNone/>
            <wp:docPr id="2658" name="Picture 2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8"/>
                    <pic:cNvPicPr>
                      <a:picLocks noChangeAspect="1" noChangeArrowheads="1"/>
                    </pic:cNvPicPr>
                  </pic:nvPicPr>
                  <pic:blipFill>
                    <a:blip r:embed="rId26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-273685</wp:posOffset>
            </wp:positionV>
            <wp:extent cx="8890" cy="8255"/>
            <wp:wrapNone/>
            <wp:docPr id="2659" name="Picture 2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9"/>
                    <pic:cNvPicPr>
                      <a:picLocks noChangeAspect="1" noChangeArrowheads="1"/>
                    </pic:cNvPicPr>
                  </pic:nvPicPr>
                  <pic:blipFill>
                    <a:blip r:embed="rId26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-273685</wp:posOffset>
            </wp:positionV>
            <wp:extent cx="8255" cy="8255"/>
            <wp:wrapNone/>
            <wp:docPr id="2660" name="Picture 2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0"/>
                    <pic:cNvPicPr>
                      <a:picLocks noChangeAspect="1" noChangeArrowheads="1"/>
                    </pic:cNvPicPr>
                  </pic:nvPicPr>
                  <pic:blipFill>
                    <a:blip r:embed="rId26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-273685</wp:posOffset>
            </wp:positionV>
            <wp:extent cx="8255" cy="8255"/>
            <wp:wrapNone/>
            <wp:docPr id="2661" name="Picture 2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1"/>
                    <pic:cNvPicPr>
                      <a:picLocks noChangeAspect="1" noChangeArrowheads="1"/>
                    </pic:cNvPicPr>
                  </pic:nvPicPr>
                  <pic:blipFill>
                    <a:blip r:embed="rId26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-273685</wp:posOffset>
            </wp:positionV>
            <wp:extent cx="8255" cy="8255"/>
            <wp:wrapNone/>
            <wp:docPr id="2662" name="Picture 2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2"/>
                    <pic:cNvPicPr>
                      <a:picLocks noChangeAspect="1" noChangeArrowheads="1"/>
                    </pic:cNvPicPr>
                  </pic:nvPicPr>
                  <pic:blipFill>
                    <a:blip r:embed="rId26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-273685</wp:posOffset>
            </wp:positionV>
            <wp:extent cx="8890" cy="8255"/>
            <wp:wrapNone/>
            <wp:docPr id="2663" name="Picture 2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3"/>
                    <pic:cNvPicPr>
                      <a:picLocks noChangeAspect="1" noChangeArrowheads="1"/>
                    </pic:cNvPicPr>
                  </pic:nvPicPr>
                  <pic:blipFill>
                    <a:blip r:embed="rId26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-273685</wp:posOffset>
            </wp:positionV>
            <wp:extent cx="8890" cy="8255"/>
            <wp:wrapNone/>
            <wp:docPr id="2664" name="Picture 2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4"/>
                    <pic:cNvPicPr>
                      <a:picLocks noChangeAspect="1" noChangeArrowheads="1"/>
                    </pic:cNvPicPr>
                  </pic:nvPicPr>
                  <pic:blipFill>
                    <a:blip r:embed="rId26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-273685</wp:posOffset>
            </wp:positionV>
            <wp:extent cx="8255" cy="8255"/>
            <wp:wrapNone/>
            <wp:docPr id="2665" name="Picture 2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5"/>
                    <pic:cNvPicPr>
                      <a:picLocks noChangeAspect="1" noChangeArrowheads="1"/>
                    </pic:cNvPicPr>
                  </pic:nvPicPr>
                  <pic:blipFill>
                    <a:blip r:embed="rId26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-273685</wp:posOffset>
            </wp:positionV>
            <wp:extent cx="8255" cy="8255"/>
            <wp:wrapNone/>
            <wp:docPr id="2666" name="Picture 2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6"/>
                    <pic:cNvPicPr>
                      <a:picLocks noChangeAspect="1" noChangeArrowheads="1"/>
                    </pic:cNvPicPr>
                  </pic:nvPicPr>
                  <pic:blipFill>
                    <a:blip r:embed="rId26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-273685</wp:posOffset>
            </wp:positionV>
            <wp:extent cx="8255" cy="8255"/>
            <wp:wrapNone/>
            <wp:docPr id="2667" name="Picture 2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7"/>
                    <pic:cNvPicPr>
                      <a:picLocks noChangeAspect="1" noChangeArrowheads="1"/>
                    </pic:cNvPicPr>
                  </pic:nvPicPr>
                  <pic:blipFill>
                    <a:blip r:embed="rId26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-273685</wp:posOffset>
            </wp:positionV>
            <wp:extent cx="8890" cy="8255"/>
            <wp:wrapNone/>
            <wp:docPr id="2668" name="Picture 2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8"/>
                    <pic:cNvPicPr>
                      <a:picLocks noChangeAspect="1" noChangeArrowheads="1"/>
                    </pic:cNvPicPr>
                  </pic:nvPicPr>
                  <pic:blipFill>
                    <a:blip r:embed="rId26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-273685</wp:posOffset>
            </wp:positionV>
            <wp:extent cx="8890" cy="8255"/>
            <wp:wrapNone/>
            <wp:docPr id="2669" name="Picture 2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9"/>
                    <pic:cNvPicPr>
                      <a:picLocks noChangeAspect="1" noChangeArrowheads="1"/>
                    </pic:cNvPicPr>
                  </pic:nvPicPr>
                  <pic:blipFill>
                    <a:blip r:embed="rId26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-273685</wp:posOffset>
            </wp:positionV>
            <wp:extent cx="8255" cy="8255"/>
            <wp:wrapNone/>
            <wp:docPr id="2670" name="Picture 2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0"/>
                    <pic:cNvPicPr>
                      <a:picLocks noChangeAspect="1" noChangeArrowheads="1"/>
                    </pic:cNvPicPr>
                  </pic:nvPicPr>
                  <pic:blipFill>
                    <a:blip r:embed="rId26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-273685</wp:posOffset>
            </wp:positionV>
            <wp:extent cx="8255" cy="8255"/>
            <wp:wrapNone/>
            <wp:docPr id="2671" name="Picture 2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1"/>
                    <pic:cNvPicPr>
                      <a:picLocks noChangeAspect="1" noChangeArrowheads="1"/>
                    </pic:cNvPicPr>
                  </pic:nvPicPr>
                  <pic:blipFill>
                    <a:blip r:embed="rId26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-273685</wp:posOffset>
            </wp:positionV>
            <wp:extent cx="8255" cy="8255"/>
            <wp:wrapNone/>
            <wp:docPr id="2672" name="Picture 2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2"/>
                    <pic:cNvPicPr>
                      <a:picLocks noChangeAspect="1" noChangeArrowheads="1"/>
                    </pic:cNvPicPr>
                  </pic:nvPicPr>
                  <pic:blipFill>
                    <a:blip r:embed="rId26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-273685</wp:posOffset>
            </wp:positionV>
            <wp:extent cx="8890" cy="8255"/>
            <wp:wrapNone/>
            <wp:docPr id="2673" name="Picture 2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3"/>
                    <pic:cNvPicPr>
                      <a:picLocks noChangeAspect="1" noChangeArrowheads="1"/>
                    </pic:cNvPicPr>
                  </pic:nvPicPr>
                  <pic:blipFill>
                    <a:blip r:embed="rId26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-273685</wp:posOffset>
            </wp:positionV>
            <wp:extent cx="8255" cy="8255"/>
            <wp:wrapNone/>
            <wp:docPr id="2674" name="Picture 2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4"/>
                    <pic:cNvPicPr>
                      <a:picLocks noChangeAspect="1" noChangeArrowheads="1"/>
                    </pic:cNvPicPr>
                  </pic:nvPicPr>
                  <pic:blipFill>
                    <a:blip r:embed="rId26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-273685</wp:posOffset>
            </wp:positionV>
            <wp:extent cx="8255" cy="8255"/>
            <wp:wrapNone/>
            <wp:docPr id="2675" name="Picture 2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5"/>
                    <pic:cNvPicPr>
                      <a:picLocks noChangeAspect="1" noChangeArrowheads="1"/>
                    </pic:cNvPicPr>
                  </pic:nvPicPr>
                  <pic:blipFill>
                    <a:blip r:embed="rId26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-273685</wp:posOffset>
            </wp:positionV>
            <wp:extent cx="8255" cy="8255"/>
            <wp:wrapNone/>
            <wp:docPr id="2676" name="Picture 2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6"/>
                    <pic:cNvPicPr>
                      <a:picLocks noChangeAspect="1" noChangeArrowheads="1"/>
                    </pic:cNvPicPr>
                  </pic:nvPicPr>
                  <pic:blipFill>
                    <a:blip r:embed="rId26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-273685</wp:posOffset>
            </wp:positionV>
            <wp:extent cx="8890" cy="8255"/>
            <wp:wrapNone/>
            <wp:docPr id="2677" name="Picture 2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7"/>
                    <pic:cNvPicPr>
                      <a:picLocks noChangeAspect="1" noChangeArrowheads="1"/>
                    </pic:cNvPicPr>
                  </pic:nvPicPr>
                  <pic:blipFill>
                    <a:blip r:embed="rId26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-273685</wp:posOffset>
            </wp:positionV>
            <wp:extent cx="8890" cy="8255"/>
            <wp:wrapNone/>
            <wp:docPr id="2678" name="Picture 2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8"/>
                    <pic:cNvPicPr>
                      <a:picLocks noChangeAspect="1" noChangeArrowheads="1"/>
                    </pic:cNvPicPr>
                  </pic:nvPicPr>
                  <pic:blipFill>
                    <a:blip r:embed="rId26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-273685</wp:posOffset>
            </wp:positionV>
            <wp:extent cx="8255" cy="8255"/>
            <wp:wrapNone/>
            <wp:docPr id="2679" name="Picture 2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9"/>
                    <pic:cNvPicPr>
                      <a:picLocks noChangeAspect="1" noChangeArrowheads="1"/>
                    </pic:cNvPicPr>
                  </pic:nvPicPr>
                  <pic:blipFill>
                    <a:blip r:embed="rId26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-273685</wp:posOffset>
            </wp:positionV>
            <wp:extent cx="8255" cy="8255"/>
            <wp:wrapNone/>
            <wp:docPr id="2680" name="Picture 2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0"/>
                    <pic:cNvPicPr>
                      <a:picLocks noChangeAspect="1" noChangeArrowheads="1"/>
                    </pic:cNvPicPr>
                  </pic:nvPicPr>
                  <pic:blipFill>
                    <a:blip r:embed="rId26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-273685</wp:posOffset>
            </wp:positionV>
            <wp:extent cx="8255" cy="8255"/>
            <wp:wrapNone/>
            <wp:docPr id="2681" name="Picture 2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1"/>
                    <pic:cNvPicPr>
                      <a:picLocks noChangeAspect="1" noChangeArrowheads="1"/>
                    </pic:cNvPicPr>
                  </pic:nvPicPr>
                  <pic:blipFill>
                    <a:blip r:embed="rId26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-273685</wp:posOffset>
            </wp:positionV>
            <wp:extent cx="8890" cy="8255"/>
            <wp:wrapNone/>
            <wp:docPr id="2682" name="Picture 2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2"/>
                    <pic:cNvPicPr>
                      <a:picLocks noChangeAspect="1" noChangeArrowheads="1"/>
                    </pic:cNvPicPr>
                  </pic:nvPicPr>
                  <pic:blipFill>
                    <a:blip r:embed="rId26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-273685</wp:posOffset>
            </wp:positionV>
            <wp:extent cx="8890" cy="8255"/>
            <wp:wrapNone/>
            <wp:docPr id="2683" name="Picture 2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3"/>
                    <pic:cNvPicPr>
                      <a:picLocks noChangeAspect="1" noChangeArrowheads="1"/>
                    </pic:cNvPicPr>
                  </pic:nvPicPr>
                  <pic:blipFill>
                    <a:blip r:embed="rId26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-273685</wp:posOffset>
            </wp:positionV>
            <wp:extent cx="8255" cy="8255"/>
            <wp:wrapNone/>
            <wp:docPr id="2684" name="Picture 2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4"/>
                    <pic:cNvPicPr>
                      <a:picLocks noChangeAspect="1" noChangeArrowheads="1"/>
                    </pic:cNvPicPr>
                  </pic:nvPicPr>
                  <pic:blipFill>
                    <a:blip r:embed="rId26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-273685</wp:posOffset>
            </wp:positionV>
            <wp:extent cx="8255" cy="8255"/>
            <wp:wrapNone/>
            <wp:docPr id="2685" name="Picture 2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5"/>
                    <pic:cNvPicPr>
                      <a:picLocks noChangeAspect="1" noChangeArrowheads="1"/>
                    </pic:cNvPicPr>
                  </pic:nvPicPr>
                  <pic:blipFill>
                    <a:blip r:embed="rId26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-273685</wp:posOffset>
            </wp:positionV>
            <wp:extent cx="8255" cy="8255"/>
            <wp:wrapNone/>
            <wp:docPr id="2686" name="Picture 2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6"/>
                    <pic:cNvPicPr>
                      <a:picLocks noChangeAspect="1" noChangeArrowheads="1"/>
                    </pic:cNvPicPr>
                  </pic:nvPicPr>
                  <pic:blipFill>
                    <a:blip r:embed="rId26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-273685</wp:posOffset>
            </wp:positionV>
            <wp:extent cx="8890" cy="8255"/>
            <wp:wrapNone/>
            <wp:docPr id="2687" name="Picture 2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7"/>
                    <pic:cNvPicPr>
                      <a:picLocks noChangeAspect="1" noChangeArrowheads="1"/>
                    </pic:cNvPicPr>
                  </pic:nvPicPr>
                  <pic:blipFill>
                    <a:blip r:embed="rId26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-273685</wp:posOffset>
            </wp:positionV>
            <wp:extent cx="8890" cy="8255"/>
            <wp:wrapNone/>
            <wp:docPr id="2688" name="Picture 2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8"/>
                    <pic:cNvPicPr>
                      <a:picLocks noChangeAspect="1" noChangeArrowheads="1"/>
                    </pic:cNvPicPr>
                  </pic:nvPicPr>
                  <pic:blipFill>
                    <a:blip r:embed="rId26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-273685</wp:posOffset>
            </wp:positionV>
            <wp:extent cx="8255" cy="8255"/>
            <wp:wrapNone/>
            <wp:docPr id="2689" name="Picture 2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9"/>
                    <pic:cNvPicPr>
                      <a:picLocks noChangeAspect="1" noChangeArrowheads="1"/>
                    </pic:cNvPicPr>
                  </pic:nvPicPr>
                  <pic:blipFill>
                    <a:blip r:embed="rId26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-273685</wp:posOffset>
            </wp:positionV>
            <wp:extent cx="8255" cy="8255"/>
            <wp:wrapNone/>
            <wp:docPr id="2690" name="Picture 2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0"/>
                    <pic:cNvPicPr>
                      <a:picLocks noChangeAspect="1" noChangeArrowheads="1"/>
                    </pic:cNvPicPr>
                  </pic:nvPicPr>
                  <pic:blipFill>
                    <a:blip r:embed="rId26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-273685</wp:posOffset>
            </wp:positionV>
            <wp:extent cx="8255" cy="8255"/>
            <wp:wrapNone/>
            <wp:docPr id="2691" name="Picture 2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1"/>
                    <pic:cNvPicPr>
                      <a:picLocks noChangeAspect="1" noChangeArrowheads="1"/>
                    </pic:cNvPicPr>
                  </pic:nvPicPr>
                  <pic:blipFill>
                    <a:blip r:embed="rId26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-273685</wp:posOffset>
            </wp:positionV>
            <wp:extent cx="8890" cy="8255"/>
            <wp:wrapNone/>
            <wp:docPr id="2692" name="Picture 2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2"/>
                    <pic:cNvPicPr>
                      <a:picLocks noChangeAspect="1" noChangeArrowheads="1"/>
                    </pic:cNvPicPr>
                  </pic:nvPicPr>
                  <pic:blipFill>
                    <a:blip r:embed="rId26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-273685</wp:posOffset>
            </wp:positionV>
            <wp:extent cx="8890" cy="8255"/>
            <wp:wrapNone/>
            <wp:docPr id="2693" name="Picture 2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3"/>
                    <pic:cNvPicPr>
                      <a:picLocks noChangeAspect="1" noChangeArrowheads="1"/>
                    </pic:cNvPicPr>
                  </pic:nvPicPr>
                  <pic:blipFill>
                    <a:blip r:embed="rId27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-273685</wp:posOffset>
            </wp:positionV>
            <wp:extent cx="8255" cy="8255"/>
            <wp:wrapNone/>
            <wp:docPr id="2694" name="Picture 2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4"/>
                    <pic:cNvPicPr>
                      <a:picLocks noChangeAspect="1" noChangeArrowheads="1"/>
                    </pic:cNvPicPr>
                  </pic:nvPicPr>
                  <pic:blipFill>
                    <a:blip r:embed="rId27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-273685</wp:posOffset>
            </wp:positionV>
            <wp:extent cx="8255" cy="8255"/>
            <wp:wrapNone/>
            <wp:docPr id="2695" name="Picture 2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5"/>
                    <pic:cNvPicPr>
                      <a:picLocks noChangeAspect="1" noChangeArrowheads="1"/>
                    </pic:cNvPicPr>
                  </pic:nvPicPr>
                  <pic:blipFill>
                    <a:blip r:embed="rId27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-273685</wp:posOffset>
            </wp:positionV>
            <wp:extent cx="8255" cy="8255"/>
            <wp:wrapNone/>
            <wp:docPr id="2696" name="Picture 2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6"/>
                    <pic:cNvPicPr>
                      <a:picLocks noChangeAspect="1" noChangeArrowheads="1"/>
                    </pic:cNvPicPr>
                  </pic:nvPicPr>
                  <pic:blipFill>
                    <a:blip r:embed="rId27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-273685</wp:posOffset>
            </wp:positionV>
            <wp:extent cx="8890" cy="8255"/>
            <wp:wrapNone/>
            <wp:docPr id="2697" name="Picture 2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7"/>
                    <pic:cNvPicPr>
                      <a:picLocks noChangeAspect="1" noChangeArrowheads="1"/>
                    </pic:cNvPicPr>
                  </pic:nvPicPr>
                  <pic:blipFill>
                    <a:blip r:embed="rId27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-273685</wp:posOffset>
            </wp:positionV>
            <wp:extent cx="8890" cy="8255"/>
            <wp:wrapNone/>
            <wp:docPr id="2698" name="Picture 2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8"/>
                    <pic:cNvPicPr>
                      <a:picLocks noChangeAspect="1" noChangeArrowheads="1"/>
                    </pic:cNvPicPr>
                  </pic:nvPicPr>
                  <pic:blipFill>
                    <a:blip r:embed="rId27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-273685</wp:posOffset>
            </wp:positionV>
            <wp:extent cx="8255" cy="8255"/>
            <wp:wrapNone/>
            <wp:docPr id="2699" name="Picture 2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9"/>
                    <pic:cNvPicPr>
                      <a:picLocks noChangeAspect="1" noChangeArrowheads="1"/>
                    </pic:cNvPicPr>
                  </pic:nvPicPr>
                  <pic:blipFill>
                    <a:blip r:embed="rId27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-273685</wp:posOffset>
            </wp:positionV>
            <wp:extent cx="8255" cy="8255"/>
            <wp:wrapNone/>
            <wp:docPr id="2700" name="Picture 2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0"/>
                    <pic:cNvPicPr>
                      <a:picLocks noChangeAspect="1" noChangeArrowheads="1"/>
                    </pic:cNvPicPr>
                  </pic:nvPicPr>
                  <pic:blipFill>
                    <a:blip r:embed="rId27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-273685</wp:posOffset>
            </wp:positionV>
            <wp:extent cx="8255" cy="8255"/>
            <wp:wrapNone/>
            <wp:docPr id="2701" name="Picture 2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1"/>
                    <pic:cNvPicPr>
                      <a:picLocks noChangeAspect="1" noChangeArrowheads="1"/>
                    </pic:cNvPicPr>
                  </pic:nvPicPr>
                  <pic:blipFill>
                    <a:blip r:embed="rId27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-273685</wp:posOffset>
            </wp:positionV>
            <wp:extent cx="8890" cy="8255"/>
            <wp:wrapNone/>
            <wp:docPr id="2702" name="Picture 2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2"/>
                    <pic:cNvPicPr>
                      <a:picLocks noChangeAspect="1" noChangeArrowheads="1"/>
                    </pic:cNvPicPr>
                  </pic:nvPicPr>
                  <pic:blipFill>
                    <a:blip r:embed="rId27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-273685</wp:posOffset>
            </wp:positionV>
            <wp:extent cx="8890" cy="8255"/>
            <wp:wrapNone/>
            <wp:docPr id="2703" name="Picture 2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3"/>
                    <pic:cNvPicPr>
                      <a:picLocks noChangeAspect="1" noChangeArrowheads="1"/>
                    </pic:cNvPicPr>
                  </pic:nvPicPr>
                  <pic:blipFill>
                    <a:blip r:embed="rId27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-273685</wp:posOffset>
            </wp:positionV>
            <wp:extent cx="8255" cy="8255"/>
            <wp:wrapNone/>
            <wp:docPr id="2704" name="Picture 2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4"/>
                    <pic:cNvPicPr>
                      <a:picLocks noChangeAspect="1" noChangeArrowheads="1"/>
                    </pic:cNvPicPr>
                  </pic:nvPicPr>
                  <pic:blipFill>
                    <a:blip r:embed="rId27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-273685</wp:posOffset>
            </wp:positionV>
            <wp:extent cx="8255" cy="8255"/>
            <wp:wrapNone/>
            <wp:docPr id="2705" name="Picture 2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5"/>
                    <pic:cNvPicPr>
                      <a:picLocks noChangeAspect="1" noChangeArrowheads="1"/>
                    </pic:cNvPicPr>
                  </pic:nvPicPr>
                  <pic:blipFill>
                    <a:blip r:embed="rId27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-273685</wp:posOffset>
            </wp:positionV>
            <wp:extent cx="8255" cy="8255"/>
            <wp:wrapNone/>
            <wp:docPr id="2706" name="Picture 2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6"/>
                    <pic:cNvPicPr>
                      <a:picLocks noChangeAspect="1" noChangeArrowheads="1"/>
                    </pic:cNvPicPr>
                  </pic:nvPicPr>
                  <pic:blipFill>
                    <a:blip r:embed="rId27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-273685</wp:posOffset>
            </wp:positionV>
            <wp:extent cx="8890" cy="8255"/>
            <wp:wrapNone/>
            <wp:docPr id="2707" name="Picture 2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7"/>
                    <pic:cNvPicPr>
                      <a:picLocks noChangeAspect="1" noChangeArrowheads="1"/>
                    </pic:cNvPicPr>
                  </pic:nvPicPr>
                  <pic:blipFill>
                    <a:blip r:embed="rId27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-273685</wp:posOffset>
            </wp:positionV>
            <wp:extent cx="857250" cy="8255"/>
            <wp:wrapNone/>
            <wp:docPr id="2708" name="Picture 2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8"/>
                    <pic:cNvPicPr>
                      <a:picLocks noChangeAspect="1" noChangeArrowheads="1"/>
                    </pic:cNvPicPr>
                  </pic:nvPicPr>
                  <pic:blipFill>
                    <a:blip r:embed="rId2715">
                      <a:extLst>
                        <a:ext uri="{28A0092B-C50C-407E-A947-70E740481C1C}"/>
                      </a:extLst>
                    </a:blip>
                    <a:srcRect/>
                    <a:stretch>
                      <a:fillRect/>
                    </a:stretch>
                  </pic:blipFill>
                  <pic:spPr bwMode="auto">
                    <a:xfrm>
                      <a:off x="0" y="0"/>
                      <a:ext cx="8572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8890" cy="8255"/>
            <wp:wrapNone/>
            <wp:docPr id="2709" name="Picture 2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9"/>
                    <pic:cNvPicPr>
                      <a:picLocks noChangeAspect="1" noChangeArrowheads="1"/>
                    </pic:cNvPicPr>
                  </pic:nvPicPr>
                  <pic:blipFill>
                    <a:blip r:embed="rId27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-144780</wp:posOffset>
            </wp:positionV>
            <wp:extent cx="8890" cy="8255"/>
            <wp:wrapNone/>
            <wp:docPr id="2710" name="Picture 2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0"/>
                    <pic:cNvPicPr>
                      <a:picLocks noChangeAspect="1" noChangeArrowheads="1"/>
                    </pic:cNvPicPr>
                  </pic:nvPicPr>
                  <pic:blipFill>
                    <a:blip r:embed="rId27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-144780</wp:posOffset>
            </wp:positionV>
            <wp:extent cx="8255" cy="8255"/>
            <wp:wrapNone/>
            <wp:docPr id="2711" name="Picture 2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1"/>
                    <pic:cNvPicPr>
                      <a:picLocks noChangeAspect="1" noChangeArrowheads="1"/>
                    </pic:cNvPicPr>
                  </pic:nvPicPr>
                  <pic:blipFill>
                    <a:blip r:embed="rId27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-144780</wp:posOffset>
            </wp:positionV>
            <wp:extent cx="8255" cy="8255"/>
            <wp:wrapNone/>
            <wp:docPr id="2712" name="Picture 2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2"/>
                    <pic:cNvPicPr>
                      <a:picLocks noChangeAspect="1" noChangeArrowheads="1"/>
                    </pic:cNvPicPr>
                  </pic:nvPicPr>
                  <pic:blipFill>
                    <a:blip r:embed="rId27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-144780</wp:posOffset>
            </wp:positionV>
            <wp:extent cx="8890" cy="8255"/>
            <wp:wrapNone/>
            <wp:docPr id="2713" name="Picture 2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3"/>
                    <pic:cNvPicPr>
                      <a:picLocks noChangeAspect="1" noChangeArrowheads="1"/>
                    </pic:cNvPicPr>
                  </pic:nvPicPr>
                  <pic:blipFill>
                    <a:blip r:embed="rId27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-144780</wp:posOffset>
            </wp:positionV>
            <wp:extent cx="8255" cy="8255"/>
            <wp:wrapNone/>
            <wp:docPr id="2714" name="Picture 2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4"/>
                    <pic:cNvPicPr>
                      <a:picLocks noChangeAspect="1" noChangeArrowheads="1"/>
                    </pic:cNvPicPr>
                  </pic:nvPicPr>
                  <pic:blipFill>
                    <a:blip r:embed="rId27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-144780</wp:posOffset>
            </wp:positionV>
            <wp:extent cx="8255" cy="8255"/>
            <wp:wrapNone/>
            <wp:docPr id="2715" name="Picture 2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5"/>
                    <pic:cNvPicPr>
                      <a:picLocks noChangeAspect="1" noChangeArrowheads="1"/>
                    </pic:cNvPicPr>
                  </pic:nvPicPr>
                  <pic:blipFill>
                    <a:blip r:embed="rId27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-144780</wp:posOffset>
            </wp:positionV>
            <wp:extent cx="8255" cy="8255"/>
            <wp:wrapNone/>
            <wp:docPr id="2716" name="Picture 2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6"/>
                    <pic:cNvPicPr>
                      <a:picLocks noChangeAspect="1" noChangeArrowheads="1"/>
                    </pic:cNvPicPr>
                  </pic:nvPicPr>
                  <pic:blipFill>
                    <a:blip r:embed="rId27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-144780</wp:posOffset>
            </wp:positionV>
            <wp:extent cx="8890" cy="8255"/>
            <wp:wrapNone/>
            <wp:docPr id="2717" name="Picture 2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7"/>
                    <pic:cNvPicPr>
                      <a:picLocks noChangeAspect="1" noChangeArrowheads="1"/>
                    </pic:cNvPicPr>
                  </pic:nvPicPr>
                  <pic:blipFill>
                    <a:blip r:embed="rId27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-144780</wp:posOffset>
            </wp:positionV>
            <wp:extent cx="8255" cy="8255"/>
            <wp:wrapNone/>
            <wp:docPr id="2718" name="Picture 2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8"/>
                    <pic:cNvPicPr>
                      <a:picLocks noChangeAspect="1" noChangeArrowheads="1"/>
                    </pic:cNvPicPr>
                  </pic:nvPicPr>
                  <pic:blipFill>
                    <a:blip r:embed="rId27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-144780</wp:posOffset>
            </wp:positionV>
            <wp:extent cx="8255" cy="8255"/>
            <wp:wrapNone/>
            <wp:docPr id="2719" name="Picture 2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9"/>
                    <pic:cNvPicPr>
                      <a:picLocks noChangeAspect="1" noChangeArrowheads="1"/>
                    </pic:cNvPicPr>
                  </pic:nvPicPr>
                  <pic:blipFill>
                    <a:blip r:embed="rId27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-144780</wp:posOffset>
            </wp:positionV>
            <wp:extent cx="8890" cy="8255"/>
            <wp:wrapNone/>
            <wp:docPr id="2720" name="Picture 2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0"/>
                    <pic:cNvPicPr>
                      <a:picLocks noChangeAspect="1" noChangeArrowheads="1"/>
                    </pic:cNvPicPr>
                  </pic:nvPicPr>
                  <pic:blipFill>
                    <a:blip r:embed="rId27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-144780</wp:posOffset>
            </wp:positionV>
            <wp:extent cx="8255" cy="8255"/>
            <wp:wrapNone/>
            <wp:docPr id="2721" name="Picture 2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1"/>
                    <pic:cNvPicPr>
                      <a:picLocks noChangeAspect="1" noChangeArrowheads="1"/>
                    </pic:cNvPicPr>
                  </pic:nvPicPr>
                  <pic:blipFill>
                    <a:blip r:embed="rId27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-144780</wp:posOffset>
            </wp:positionV>
            <wp:extent cx="8255" cy="8255"/>
            <wp:wrapNone/>
            <wp:docPr id="2722" name="Picture 2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2"/>
                    <pic:cNvPicPr>
                      <a:picLocks noChangeAspect="1" noChangeArrowheads="1"/>
                    </pic:cNvPicPr>
                  </pic:nvPicPr>
                  <pic:blipFill>
                    <a:blip r:embed="rId27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-144780</wp:posOffset>
            </wp:positionV>
            <wp:extent cx="8255" cy="8255"/>
            <wp:wrapNone/>
            <wp:docPr id="2723" name="Picture 2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3"/>
                    <pic:cNvPicPr>
                      <a:picLocks noChangeAspect="1" noChangeArrowheads="1"/>
                    </pic:cNvPicPr>
                  </pic:nvPicPr>
                  <pic:blipFill>
                    <a:blip r:embed="rId27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-144780</wp:posOffset>
            </wp:positionV>
            <wp:extent cx="8255" cy="8255"/>
            <wp:wrapNone/>
            <wp:docPr id="2724" name="Picture 2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4"/>
                    <pic:cNvPicPr>
                      <a:picLocks noChangeAspect="1" noChangeArrowheads="1"/>
                    </pic:cNvPicPr>
                  </pic:nvPicPr>
                  <pic:blipFill>
                    <a:blip r:embed="rId27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-144780</wp:posOffset>
            </wp:positionV>
            <wp:extent cx="8255" cy="8255"/>
            <wp:wrapNone/>
            <wp:docPr id="2725" name="Picture 2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5"/>
                    <pic:cNvPicPr>
                      <a:picLocks noChangeAspect="1" noChangeArrowheads="1"/>
                    </pic:cNvPicPr>
                  </pic:nvPicPr>
                  <pic:blipFill>
                    <a:blip r:embed="rId27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-144780</wp:posOffset>
            </wp:positionV>
            <wp:extent cx="8890" cy="8255"/>
            <wp:wrapNone/>
            <wp:docPr id="2726" name="Picture 2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6"/>
                    <pic:cNvPicPr>
                      <a:picLocks noChangeAspect="1" noChangeArrowheads="1"/>
                    </pic:cNvPicPr>
                  </pic:nvPicPr>
                  <pic:blipFill>
                    <a:blip r:embed="rId27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-144780</wp:posOffset>
            </wp:positionV>
            <wp:extent cx="8255" cy="8255"/>
            <wp:wrapNone/>
            <wp:docPr id="2727" name="Picture 2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7"/>
                    <pic:cNvPicPr>
                      <a:picLocks noChangeAspect="1" noChangeArrowheads="1"/>
                    </pic:cNvPicPr>
                  </pic:nvPicPr>
                  <pic:blipFill>
                    <a:blip r:embed="rId27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-144780</wp:posOffset>
            </wp:positionV>
            <wp:extent cx="8255" cy="8255"/>
            <wp:wrapNone/>
            <wp:docPr id="2728" name="Picture 2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8"/>
                    <pic:cNvPicPr>
                      <a:picLocks noChangeAspect="1" noChangeArrowheads="1"/>
                    </pic:cNvPicPr>
                  </pic:nvPicPr>
                  <pic:blipFill>
                    <a:blip r:embed="rId27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-144780</wp:posOffset>
            </wp:positionV>
            <wp:extent cx="8890" cy="8255"/>
            <wp:wrapNone/>
            <wp:docPr id="2729" name="Picture 2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9"/>
                    <pic:cNvPicPr>
                      <a:picLocks noChangeAspect="1" noChangeArrowheads="1"/>
                    </pic:cNvPicPr>
                  </pic:nvPicPr>
                  <pic:blipFill>
                    <a:blip r:embed="rId27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-144780</wp:posOffset>
            </wp:positionV>
            <wp:extent cx="8255" cy="8255"/>
            <wp:wrapNone/>
            <wp:docPr id="2730" name="Picture 2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0"/>
                    <pic:cNvPicPr>
                      <a:picLocks noChangeAspect="1" noChangeArrowheads="1"/>
                    </pic:cNvPicPr>
                  </pic:nvPicPr>
                  <pic:blipFill>
                    <a:blip r:embed="rId27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-144780</wp:posOffset>
            </wp:positionV>
            <wp:extent cx="8255" cy="8255"/>
            <wp:wrapNone/>
            <wp:docPr id="2731" name="Picture 2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1"/>
                    <pic:cNvPicPr>
                      <a:picLocks noChangeAspect="1" noChangeArrowheads="1"/>
                    </pic:cNvPicPr>
                  </pic:nvPicPr>
                  <pic:blipFill>
                    <a:blip r:embed="rId27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-144780</wp:posOffset>
            </wp:positionV>
            <wp:extent cx="8255" cy="8255"/>
            <wp:wrapNone/>
            <wp:docPr id="2732" name="Picture 2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2"/>
                    <pic:cNvPicPr>
                      <a:picLocks noChangeAspect="1" noChangeArrowheads="1"/>
                    </pic:cNvPicPr>
                  </pic:nvPicPr>
                  <pic:blipFill>
                    <a:blip r:embed="rId27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-144780</wp:posOffset>
            </wp:positionV>
            <wp:extent cx="8255" cy="8255"/>
            <wp:wrapNone/>
            <wp:docPr id="2733" name="Picture 2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3"/>
                    <pic:cNvPicPr>
                      <a:picLocks noChangeAspect="1" noChangeArrowheads="1"/>
                    </pic:cNvPicPr>
                  </pic:nvPicPr>
                  <pic:blipFill>
                    <a:blip r:embed="rId27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-144780</wp:posOffset>
            </wp:positionV>
            <wp:extent cx="8255" cy="8255"/>
            <wp:wrapNone/>
            <wp:docPr id="2734" name="Picture 2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4"/>
                    <pic:cNvPicPr>
                      <a:picLocks noChangeAspect="1" noChangeArrowheads="1"/>
                    </pic:cNvPicPr>
                  </pic:nvPicPr>
                  <pic:blipFill>
                    <a:blip r:embed="rId27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-144780</wp:posOffset>
            </wp:positionV>
            <wp:extent cx="8255" cy="8255"/>
            <wp:wrapNone/>
            <wp:docPr id="2735" name="Picture 2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5"/>
                    <pic:cNvPicPr>
                      <a:picLocks noChangeAspect="1" noChangeArrowheads="1"/>
                    </pic:cNvPicPr>
                  </pic:nvPicPr>
                  <pic:blipFill>
                    <a:blip r:embed="rId27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-144780</wp:posOffset>
            </wp:positionV>
            <wp:extent cx="8255" cy="8255"/>
            <wp:wrapNone/>
            <wp:docPr id="2736" name="Picture 2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6"/>
                    <pic:cNvPicPr>
                      <a:picLocks noChangeAspect="1" noChangeArrowheads="1"/>
                    </pic:cNvPicPr>
                  </pic:nvPicPr>
                  <pic:blipFill>
                    <a:blip r:embed="rId27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-144780</wp:posOffset>
            </wp:positionV>
            <wp:extent cx="8255" cy="8255"/>
            <wp:wrapNone/>
            <wp:docPr id="2737" name="Picture 2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7"/>
                    <pic:cNvPicPr>
                      <a:picLocks noChangeAspect="1" noChangeArrowheads="1"/>
                    </pic:cNvPicPr>
                  </pic:nvPicPr>
                  <pic:blipFill>
                    <a:blip r:embed="rId27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-144780</wp:posOffset>
            </wp:positionV>
            <wp:extent cx="8255" cy="8255"/>
            <wp:wrapNone/>
            <wp:docPr id="2738" name="Picture 2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8"/>
                    <pic:cNvPicPr>
                      <a:picLocks noChangeAspect="1" noChangeArrowheads="1"/>
                    </pic:cNvPicPr>
                  </pic:nvPicPr>
                  <pic:blipFill>
                    <a:blip r:embed="rId27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-144780</wp:posOffset>
            </wp:positionV>
            <wp:extent cx="8255" cy="8255"/>
            <wp:wrapNone/>
            <wp:docPr id="2739" name="Picture 2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9"/>
                    <pic:cNvPicPr>
                      <a:picLocks noChangeAspect="1" noChangeArrowheads="1"/>
                    </pic:cNvPicPr>
                  </pic:nvPicPr>
                  <pic:blipFill>
                    <a:blip r:embed="rId27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-144780</wp:posOffset>
            </wp:positionV>
            <wp:extent cx="8890" cy="8255"/>
            <wp:wrapNone/>
            <wp:docPr id="2740" name="Picture 2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0"/>
                    <pic:cNvPicPr>
                      <a:picLocks noChangeAspect="1" noChangeArrowheads="1"/>
                    </pic:cNvPicPr>
                  </pic:nvPicPr>
                  <pic:blipFill>
                    <a:blip r:embed="rId27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-144780</wp:posOffset>
            </wp:positionV>
            <wp:extent cx="8255" cy="8255"/>
            <wp:wrapNone/>
            <wp:docPr id="2741" name="Picture 2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1"/>
                    <pic:cNvPicPr>
                      <a:picLocks noChangeAspect="1" noChangeArrowheads="1"/>
                    </pic:cNvPicPr>
                  </pic:nvPicPr>
                  <pic:blipFill>
                    <a:blip r:embed="rId27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-144780</wp:posOffset>
            </wp:positionV>
            <wp:extent cx="8255" cy="8255"/>
            <wp:wrapNone/>
            <wp:docPr id="2742" name="Picture 2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2"/>
                    <pic:cNvPicPr>
                      <a:picLocks noChangeAspect="1" noChangeArrowheads="1"/>
                    </pic:cNvPicPr>
                  </pic:nvPicPr>
                  <pic:blipFill>
                    <a:blip r:embed="rId27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-144780</wp:posOffset>
            </wp:positionV>
            <wp:extent cx="8890" cy="8255"/>
            <wp:wrapNone/>
            <wp:docPr id="2743" name="Picture 2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3"/>
                    <pic:cNvPicPr>
                      <a:picLocks noChangeAspect="1" noChangeArrowheads="1"/>
                    </pic:cNvPicPr>
                  </pic:nvPicPr>
                  <pic:blipFill>
                    <a:blip r:embed="rId27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-144780</wp:posOffset>
            </wp:positionV>
            <wp:extent cx="8890" cy="8255"/>
            <wp:wrapNone/>
            <wp:docPr id="2744" name="Picture 2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4"/>
                    <pic:cNvPicPr>
                      <a:picLocks noChangeAspect="1" noChangeArrowheads="1"/>
                    </pic:cNvPicPr>
                  </pic:nvPicPr>
                  <pic:blipFill>
                    <a:blip r:embed="rId27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-144780</wp:posOffset>
            </wp:positionV>
            <wp:extent cx="8890" cy="8255"/>
            <wp:wrapNone/>
            <wp:docPr id="2745" name="Picture 2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5"/>
                    <pic:cNvPicPr>
                      <a:picLocks noChangeAspect="1" noChangeArrowheads="1"/>
                    </pic:cNvPicPr>
                  </pic:nvPicPr>
                  <pic:blipFill>
                    <a:blip r:embed="rId27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-144780</wp:posOffset>
            </wp:positionV>
            <wp:extent cx="8890" cy="8255"/>
            <wp:wrapNone/>
            <wp:docPr id="2746" name="Picture 2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6"/>
                    <pic:cNvPicPr>
                      <a:picLocks noChangeAspect="1" noChangeArrowheads="1"/>
                    </pic:cNvPicPr>
                  </pic:nvPicPr>
                  <pic:blipFill>
                    <a:blip r:embed="rId27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-144780</wp:posOffset>
            </wp:positionV>
            <wp:extent cx="8890" cy="8255"/>
            <wp:wrapNone/>
            <wp:docPr id="2747" name="Picture 2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7"/>
                    <pic:cNvPicPr>
                      <a:picLocks noChangeAspect="1" noChangeArrowheads="1"/>
                    </pic:cNvPicPr>
                  </pic:nvPicPr>
                  <pic:blipFill>
                    <a:blip r:embed="rId27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-144780</wp:posOffset>
            </wp:positionV>
            <wp:extent cx="8255" cy="8255"/>
            <wp:wrapNone/>
            <wp:docPr id="2748" name="Picture 2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8"/>
                    <pic:cNvPicPr>
                      <a:picLocks noChangeAspect="1" noChangeArrowheads="1"/>
                    </pic:cNvPicPr>
                  </pic:nvPicPr>
                  <pic:blipFill>
                    <a:blip r:embed="rId27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-144780</wp:posOffset>
            </wp:positionV>
            <wp:extent cx="8255" cy="8255"/>
            <wp:wrapNone/>
            <wp:docPr id="2749" name="Picture 2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9"/>
                    <pic:cNvPicPr>
                      <a:picLocks noChangeAspect="1" noChangeArrowheads="1"/>
                    </pic:cNvPicPr>
                  </pic:nvPicPr>
                  <pic:blipFill>
                    <a:blip r:embed="rId27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-144780</wp:posOffset>
            </wp:positionV>
            <wp:extent cx="8890" cy="8255"/>
            <wp:wrapNone/>
            <wp:docPr id="2750" name="Picture 2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0"/>
                    <pic:cNvPicPr>
                      <a:picLocks noChangeAspect="1" noChangeArrowheads="1"/>
                    </pic:cNvPicPr>
                  </pic:nvPicPr>
                  <pic:blipFill>
                    <a:blip r:embed="rId27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-144780</wp:posOffset>
            </wp:positionV>
            <wp:extent cx="8890" cy="8255"/>
            <wp:wrapNone/>
            <wp:docPr id="2751" name="Picture 2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1"/>
                    <pic:cNvPicPr>
                      <a:picLocks noChangeAspect="1" noChangeArrowheads="1"/>
                    </pic:cNvPicPr>
                  </pic:nvPicPr>
                  <pic:blipFill>
                    <a:blip r:embed="rId27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-144780</wp:posOffset>
            </wp:positionV>
            <wp:extent cx="8890" cy="8255"/>
            <wp:wrapNone/>
            <wp:docPr id="2752" name="Picture 2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2"/>
                    <pic:cNvPicPr>
                      <a:picLocks noChangeAspect="1" noChangeArrowheads="1"/>
                    </pic:cNvPicPr>
                  </pic:nvPicPr>
                  <pic:blipFill>
                    <a:blip r:embed="rId27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-144780</wp:posOffset>
            </wp:positionV>
            <wp:extent cx="8255" cy="8255"/>
            <wp:wrapNone/>
            <wp:docPr id="2753" name="Picture 2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3"/>
                    <pic:cNvPicPr>
                      <a:picLocks noChangeAspect="1" noChangeArrowheads="1"/>
                    </pic:cNvPicPr>
                  </pic:nvPicPr>
                  <pic:blipFill>
                    <a:blip r:embed="rId27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-144780</wp:posOffset>
            </wp:positionV>
            <wp:extent cx="8255" cy="8255"/>
            <wp:wrapNone/>
            <wp:docPr id="2754" name="Picture 2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4"/>
                    <pic:cNvPicPr>
                      <a:picLocks noChangeAspect="1" noChangeArrowheads="1"/>
                    </pic:cNvPicPr>
                  </pic:nvPicPr>
                  <pic:blipFill>
                    <a:blip r:embed="rId27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-144780</wp:posOffset>
            </wp:positionV>
            <wp:extent cx="8255" cy="8255"/>
            <wp:wrapNone/>
            <wp:docPr id="2755" name="Picture 2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5"/>
                    <pic:cNvPicPr>
                      <a:picLocks noChangeAspect="1" noChangeArrowheads="1"/>
                    </pic:cNvPicPr>
                  </pic:nvPicPr>
                  <pic:blipFill>
                    <a:blip r:embed="rId27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-144780</wp:posOffset>
            </wp:positionV>
            <wp:extent cx="8890" cy="8255"/>
            <wp:wrapNone/>
            <wp:docPr id="2756" name="Picture 2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6"/>
                    <pic:cNvPicPr>
                      <a:picLocks noChangeAspect="1" noChangeArrowheads="1"/>
                    </pic:cNvPicPr>
                  </pic:nvPicPr>
                  <pic:blipFill>
                    <a:blip r:embed="rId27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-144780</wp:posOffset>
            </wp:positionV>
            <wp:extent cx="8890" cy="8255"/>
            <wp:wrapNone/>
            <wp:docPr id="2757" name="Picture 2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7"/>
                    <pic:cNvPicPr>
                      <a:picLocks noChangeAspect="1" noChangeArrowheads="1"/>
                    </pic:cNvPicPr>
                  </pic:nvPicPr>
                  <pic:blipFill>
                    <a:blip r:embed="rId27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-144780</wp:posOffset>
            </wp:positionV>
            <wp:extent cx="8890" cy="8255"/>
            <wp:wrapNone/>
            <wp:docPr id="2758" name="Picture 2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8"/>
                    <pic:cNvPicPr>
                      <a:picLocks noChangeAspect="1" noChangeArrowheads="1"/>
                    </pic:cNvPicPr>
                  </pic:nvPicPr>
                  <pic:blipFill>
                    <a:blip r:embed="rId27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-144780</wp:posOffset>
            </wp:positionV>
            <wp:extent cx="8255" cy="8255"/>
            <wp:wrapNone/>
            <wp:docPr id="2759" name="Picture 2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9"/>
                    <pic:cNvPicPr>
                      <a:picLocks noChangeAspect="1" noChangeArrowheads="1"/>
                    </pic:cNvPicPr>
                  </pic:nvPicPr>
                  <pic:blipFill>
                    <a:blip r:embed="rId27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-144780</wp:posOffset>
            </wp:positionV>
            <wp:extent cx="8255" cy="8255"/>
            <wp:wrapNone/>
            <wp:docPr id="2760" name="Picture 2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0"/>
                    <pic:cNvPicPr>
                      <a:picLocks noChangeAspect="1" noChangeArrowheads="1"/>
                    </pic:cNvPicPr>
                  </pic:nvPicPr>
                  <pic:blipFill>
                    <a:blip r:embed="rId27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-144780</wp:posOffset>
            </wp:positionV>
            <wp:extent cx="8890" cy="8255"/>
            <wp:wrapNone/>
            <wp:docPr id="2761" name="Picture 2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1"/>
                    <pic:cNvPicPr>
                      <a:picLocks noChangeAspect="1" noChangeArrowheads="1"/>
                    </pic:cNvPicPr>
                  </pic:nvPicPr>
                  <pic:blipFill>
                    <a:blip r:embed="rId27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-144780</wp:posOffset>
            </wp:positionV>
            <wp:extent cx="8890" cy="8255"/>
            <wp:wrapNone/>
            <wp:docPr id="2762" name="Picture 2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2"/>
                    <pic:cNvPicPr>
                      <a:picLocks noChangeAspect="1" noChangeArrowheads="1"/>
                    </pic:cNvPicPr>
                  </pic:nvPicPr>
                  <pic:blipFill>
                    <a:blip r:embed="rId27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-144780</wp:posOffset>
            </wp:positionV>
            <wp:extent cx="8890" cy="8255"/>
            <wp:wrapNone/>
            <wp:docPr id="2763" name="Picture 2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3"/>
                    <pic:cNvPicPr>
                      <a:picLocks noChangeAspect="1" noChangeArrowheads="1"/>
                    </pic:cNvPicPr>
                  </pic:nvPicPr>
                  <pic:blipFill>
                    <a:blip r:embed="rId27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-144780</wp:posOffset>
            </wp:positionV>
            <wp:extent cx="8255" cy="8255"/>
            <wp:wrapNone/>
            <wp:docPr id="2764" name="Picture 2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4"/>
                    <pic:cNvPicPr>
                      <a:picLocks noChangeAspect="1" noChangeArrowheads="1"/>
                    </pic:cNvPicPr>
                  </pic:nvPicPr>
                  <pic:blipFill>
                    <a:blip r:embed="rId27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-144780</wp:posOffset>
            </wp:positionV>
            <wp:extent cx="8255" cy="8255"/>
            <wp:wrapNone/>
            <wp:docPr id="2765" name="Picture 2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5"/>
                    <pic:cNvPicPr>
                      <a:picLocks noChangeAspect="1" noChangeArrowheads="1"/>
                    </pic:cNvPicPr>
                  </pic:nvPicPr>
                  <pic:blipFill>
                    <a:blip r:embed="rId27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-144780</wp:posOffset>
            </wp:positionV>
            <wp:extent cx="8255" cy="8255"/>
            <wp:wrapNone/>
            <wp:docPr id="2766" name="Picture 2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6"/>
                    <pic:cNvPicPr>
                      <a:picLocks noChangeAspect="1" noChangeArrowheads="1"/>
                    </pic:cNvPicPr>
                  </pic:nvPicPr>
                  <pic:blipFill>
                    <a:blip r:embed="rId27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-144780</wp:posOffset>
            </wp:positionV>
            <wp:extent cx="8890" cy="8255"/>
            <wp:wrapNone/>
            <wp:docPr id="2767" name="Picture 2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7"/>
                    <pic:cNvPicPr>
                      <a:picLocks noChangeAspect="1" noChangeArrowheads="1"/>
                    </pic:cNvPicPr>
                  </pic:nvPicPr>
                  <pic:blipFill>
                    <a:blip r:embed="rId27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-144780</wp:posOffset>
            </wp:positionV>
            <wp:extent cx="8890" cy="8255"/>
            <wp:wrapNone/>
            <wp:docPr id="2768" name="Picture 2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8"/>
                    <pic:cNvPicPr>
                      <a:picLocks noChangeAspect="1" noChangeArrowheads="1"/>
                    </pic:cNvPicPr>
                  </pic:nvPicPr>
                  <pic:blipFill>
                    <a:blip r:embed="rId27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-144780</wp:posOffset>
            </wp:positionV>
            <wp:extent cx="8890" cy="8255"/>
            <wp:wrapNone/>
            <wp:docPr id="2769" name="Picture 2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9"/>
                    <pic:cNvPicPr>
                      <a:picLocks noChangeAspect="1" noChangeArrowheads="1"/>
                    </pic:cNvPicPr>
                  </pic:nvPicPr>
                  <pic:blipFill>
                    <a:blip r:embed="rId27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-144780</wp:posOffset>
            </wp:positionV>
            <wp:extent cx="8255" cy="8255"/>
            <wp:wrapNone/>
            <wp:docPr id="2770" name="Picture 2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0"/>
                    <pic:cNvPicPr>
                      <a:picLocks noChangeAspect="1" noChangeArrowheads="1"/>
                    </pic:cNvPicPr>
                  </pic:nvPicPr>
                  <pic:blipFill>
                    <a:blip r:embed="rId27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-144780</wp:posOffset>
            </wp:positionV>
            <wp:extent cx="8255" cy="8255"/>
            <wp:wrapNone/>
            <wp:docPr id="2771" name="Picture 2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1"/>
                    <pic:cNvPicPr>
                      <a:picLocks noChangeAspect="1" noChangeArrowheads="1"/>
                    </pic:cNvPicPr>
                  </pic:nvPicPr>
                  <pic:blipFill>
                    <a:blip r:embed="rId27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-144780</wp:posOffset>
            </wp:positionV>
            <wp:extent cx="8890" cy="8255"/>
            <wp:wrapNone/>
            <wp:docPr id="2772" name="Picture 2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2"/>
                    <pic:cNvPicPr>
                      <a:picLocks noChangeAspect="1" noChangeArrowheads="1"/>
                    </pic:cNvPicPr>
                  </pic:nvPicPr>
                  <pic:blipFill>
                    <a:blip r:embed="rId27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-144780</wp:posOffset>
            </wp:positionV>
            <wp:extent cx="8890" cy="8255"/>
            <wp:wrapNone/>
            <wp:docPr id="2773" name="Picture 2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3"/>
                    <pic:cNvPicPr>
                      <a:picLocks noChangeAspect="1" noChangeArrowheads="1"/>
                    </pic:cNvPicPr>
                  </pic:nvPicPr>
                  <pic:blipFill>
                    <a:blip r:embed="rId27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-144780</wp:posOffset>
            </wp:positionV>
            <wp:extent cx="8890" cy="8255"/>
            <wp:wrapNone/>
            <wp:docPr id="2774" name="Picture 2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4"/>
                    <pic:cNvPicPr>
                      <a:picLocks noChangeAspect="1" noChangeArrowheads="1"/>
                    </pic:cNvPicPr>
                  </pic:nvPicPr>
                  <pic:blipFill>
                    <a:blip r:embed="rId27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-144780</wp:posOffset>
            </wp:positionV>
            <wp:extent cx="8255" cy="8255"/>
            <wp:wrapNone/>
            <wp:docPr id="2775" name="Picture 2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5"/>
                    <pic:cNvPicPr>
                      <a:picLocks noChangeAspect="1" noChangeArrowheads="1"/>
                    </pic:cNvPicPr>
                  </pic:nvPicPr>
                  <pic:blipFill>
                    <a:blip r:embed="rId27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-144780</wp:posOffset>
            </wp:positionV>
            <wp:extent cx="8255" cy="8255"/>
            <wp:wrapNone/>
            <wp:docPr id="2776" name="Picture 2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6"/>
                    <pic:cNvPicPr>
                      <a:picLocks noChangeAspect="1" noChangeArrowheads="1"/>
                    </pic:cNvPicPr>
                  </pic:nvPicPr>
                  <pic:blipFill>
                    <a:blip r:embed="rId27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-144780</wp:posOffset>
            </wp:positionV>
            <wp:extent cx="8255" cy="8255"/>
            <wp:wrapNone/>
            <wp:docPr id="2777" name="Picture 2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7"/>
                    <pic:cNvPicPr>
                      <a:picLocks noChangeAspect="1" noChangeArrowheads="1"/>
                    </pic:cNvPicPr>
                  </pic:nvPicPr>
                  <pic:blipFill>
                    <a:blip r:embed="rId27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-144780</wp:posOffset>
            </wp:positionV>
            <wp:extent cx="8890" cy="8255"/>
            <wp:wrapNone/>
            <wp:docPr id="2778" name="Picture 2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8"/>
                    <pic:cNvPicPr>
                      <a:picLocks noChangeAspect="1" noChangeArrowheads="1"/>
                    </pic:cNvPicPr>
                  </pic:nvPicPr>
                  <pic:blipFill>
                    <a:blip r:embed="rId27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-144780</wp:posOffset>
            </wp:positionV>
            <wp:extent cx="8890" cy="8255"/>
            <wp:wrapNone/>
            <wp:docPr id="2779" name="Picture 2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9"/>
                    <pic:cNvPicPr>
                      <a:picLocks noChangeAspect="1" noChangeArrowheads="1"/>
                    </pic:cNvPicPr>
                  </pic:nvPicPr>
                  <pic:blipFill>
                    <a:blip r:embed="rId27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-144780</wp:posOffset>
            </wp:positionV>
            <wp:extent cx="8890" cy="8255"/>
            <wp:wrapNone/>
            <wp:docPr id="2780" name="Picture 2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0"/>
                    <pic:cNvPicPr>
                      <a:picLocks noChangeAspect="1" noChangeArrowheads="1"/>
                    </pic:cNvPicPr>
                  </pic:nvPicPr>
                  <pic:blipFill>
                    <a:blip r:embed="rId27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-144780</wp:posOffset>
            </wp:positionV>
            <wp:extent cx="8255" cy="8255"/>
            <wp:wrapNone/>
            <wp:docPr id="2781" name="Picture 2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1"/>
                    <pic:cNvPicPr>
                      <a:picLocks noChangeAspect="1" noChangeArrowheads="1"/>
                    </pic:cNvPicPr>
                  </pic:nvPicPr>
                  <pic:blipFill>
                    <a:blip r:embed="rId27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-144780</wp:posOffset>
            </wp:positionV>
            <wp:extent cx="8255" cy="8255"/>
            <wp:wrapNone/>
            <wp:docPr id="2782" name="Picture 2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2"/>
                    <pic:cNvPicPr>
                      <a:picLocks noChangeAspect="1" noChangeArrowheads="1"/>
                    </pic:cNvPicPr>
                  </pic:nvPicPr>
                  <pic:blipFill>
                    <a:blip r:embed="rId27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-144780</wp:posOffset>
            </wp:positionV>
            <wp:extent cx="8890" cy="8255"/>
            <wp:wrapNone/>
            <wp:docPr id="2783" name="Picture 2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3"/>
                    <pic:cNvPicPr>
                      <a:picLocks noChangeAspect="1" noChangeArrowheads="1"/>
                    </pic:cNvPicPr>
                  </pic:nvPicPr>
                  <pic:blipFill>
                    <a:blip r:embed="rId27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-144780</wp:posOffset>
            </wp:positionV>
            <wp:extent cx="8890" cy="8255"/>
            <wp:wrapNone/>
            <wp:docPr id="2784" name="Picture 2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4"/>
                    <pic:cNvPicPr>
                      <a:picLocks noChangeAspect="1" noChangeArrowheads="1"/>
                    </pic:cNvPicPr>
                  </pic:nvPicPr>
                  <pic:blipFill>
                    <a:blip r:embed="rId27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-144780</wp:posOffset>
            </wp:positionV>
            <wp:extent cx="8890" cy="8255"/>
            <wp:wrapNone/>
            <wp:docPr id="2785" name="Picture 2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5"/>
                    <pic:cNvPicPr>
                      <a:picLocks noChangeAspect="1" noChangeArrowheads="1"/>
                    </pic:cNvPicPr>
                  </pic:nvPicPr>
                  <pic:blipFill>
                    <a:blip r:embed="rId27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-144780</wp:posOffset>
            </wp:positionV>
            <wp:extent cx="8890" cy="8255"/>
            <wp:wrapNone/>
            <wp:docPr id="2786" name="Picture 2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6"/>
                    <pic:cNvPicPr>
                      <a:picLocks noChangeAspect="1" noChangeArrowheads="1"/>
                    </pic:cNvPicPr>
                  </pic:nvPicPr>
                  <pic:blipFill>
                    <a:blip r:embed="rId27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-144780</wp:posOffset>
            </wp:positionV>
            <wp:extent cx="8255" cy="8255"/>
            <wp:wrapNone/>
            <wp:docPr id="2787" name="Picture 2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7"/>
                    <pic:cNvPicPr>
                      <a:picLocks noChangeAspect="1" noChangeArrowheads="1"/>
                    </pic:cNvPicPr>
                  </pic:nvPicPr>
                  <pic:blipFill>
                    <a:blip r:embed="rId27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-144780</wp:posOffset>
            </wp:positionV>
            <wp:extent cx="8255" cy="8255"/>
            <wp:wrapNone/>
            <wp:docPr id="2788" name="Picture 2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8"/>
                    <pic:cNvPicPr>
                      <a:picLocks noChangeAspect="1" noChangeArrowheads="1"/>
                    </pic:cNvPicPr>
                  </pic:nvPicPr>
                  <pic:blipFill>
                    <a:blip r:embed="rId27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-144780</wp:posOffset>
            </wp:positionV>
            <wp:extent cx="8890" cy="8255"/>
            <wp:wrapNone/>
            <wp:docPr id="2789" name="Picture 2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9"/>
                    <pic:cNvPicPr>
                      <a:picLocks noChangeAspect="1" noChangeArrowheads="1"/>
                    </pic:cNvPicPr>
                  </pic:nvPicPr>
                  <pic:blipFill>
                    <a:blip r:embed="rId27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-144780</wp:posOffset>
            </wp:positionV>
            <wp:extent cx="8890" cy="8255"/>
            <wp:wrapNone/>
            <wp:docPr id="2790" name="Picture 2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0"/>
                    <pic:cNvPicPr>
                      <a:picLocks noChangeAspect="1" noChangeArrowheads="1"/>
                    </pic:cNvPicPr>
                  </pic:nvPicPr>
                  <pic:blipFill>
                    <a:blip r:embed="rId27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-144780</wp:posOffset>
            </wp:positionV>
            <wp:extent cx="8890" cy="8255"/>
            <wp:wrapNone/>
            <wp:docPr id="2791" name="Picture 2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1"/>
                    <pic:cNvPicPr>
                      <a:picLocks noChangeAspect="1" noChangeArrowheads="1"/>
                    </pic:cNvPicPr>
                  </pic:nvPicPr>
                  <pic:blipFill>
                    <a:blip r:embed="rId27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-144780</wp:posOffset>
            </wp:positionV>
            <wp:extent cx="8890" cy="8255"/>
            <wp:wrapNone/>
            <wp:docPr id="2792" name="Picture 2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2"/>
                    <pic:cNvPicPr>
                      <a:picLocks noChangeAspect="1" noChangeArrowheads="1"/>
                    </pic:cNvPicPr>
                  </pic:nvPicPr>
                  <pic:blipFill>
                    <a:blip r:embed="rId27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-144780</wp:posOffset>
            </wp:positionV>
            <wp:extent cx="8890" cy="8255"/>
            <wp:wrapNone/>
            <wp:docPr id="2793" name="Picture 2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3"/>
                    <pic:cNvPicPr>
                      <a:picLocks noChangeAspect="1" noChangeArrowheads="1"/>
                    </pic:cNvPicPr>
                  </pic:nvPicPr>
                  <pic:blipFill>
                    <a:blip r:embed="rId28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-144780</wp:posOffset>
            </wp:positionV>
            <wp:extent cx="8890" cy="8255"/>
            <wp:wrapNone/>
            <wp:docPr id="2794" name="Picture 2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4"/>
                    <pic:cNvPicPr>
                      <a:picLocks noChangeAspect="1" noChangeArrowheads="1"/>
                    </pic:cNvPicPr>
                  </pic:nvPicPr>
                  <pic:blipFill>
                    <a:blip r:embed="rId28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-144780</wp:posOffset>
            </wp:positionV>
            <wp:extent cx="8890" cy="8255"/>
            <wp:wrapNone/>
            <wp:docPr id="2795" name="Picture 2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5"/>
                    <pic:cNvPicPr>
                      <a:picLocks noChangeAspect="1" noChangeArrowheads="1"/>
                    </pic:cNvPicPr>
                  </pic:nvPicPr>
                  <pic:blipFill>
                    <a:blip r:embed="rId28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-144780</wp:posOffset>
            </wp:positionV>
            <wp:extent cx="8255" cy="8255"/>
            <wp:wrapNone/>
            <wp:docPr id="2796" name="Picture 2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6"/>
                    <pic:cNvPicPr>
                      <a:picLocks noChangeAspect="1" noChangeArrowheads="1"/>
                    </pic:cNvPicPr>
                  </pic:nvPicPr>
                  <pic:blipFill>
                    <a:blip r:embed="rId28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-144780</wp:posOffset>
            </wp:positionV>
            <wp:extent cx="8890" cy="8255"/>
            <wp:wrapNone/>
            <wp:docPr id="2797" name="Picture 2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7"/>
                    <pic:cNvPicPr>
                      <a:picLocks noChangeAspect="1" noChangeArrowheads="1"/>
                    </pic:cNvPicPr>
                  </pic:nvPicPr>
                  <pic:blipFill>
                    <a:blip r:embed="rId28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-144780</wp:posOffset>
            </wp:positionV>
            <wp:extent cx="8890" cy="8255"/>
            <wp:wrapNone/>
            <wp:docPr id="2798" name="Picture 2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8"/>
                    <pic:cNvPicPr>
                      <a:picLocks noChangeAspect="1" noChangeArrowheads="1"/>
                    </pic:cNvPicPr>
                  </pic:nvPicPr>
                  <pic:blipFill>
                    <a:blip r:embed="rId28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-144780</wp:posOffset>
            </wp:positionV>
            <wp:extent cx="8890" cy="8255"/>
            <wp:wrapNone/>
            <wp:docPr id="2799" name="Picture 2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9"/>
                    <pic:cNvPicPr>
                      <a:picLocks noChangeAspect="1" noChangeArrowheads="1"/>
                    </pic:cNvPicPr>
                  </pic:nvPicPr>
                  <pic:blipFill>
                    <a:blip r:embed="rId28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-144780</wp:posOffset>
            </wp:positionV>
            <wp:extent cx="8890" cy="8255"/>
            <wp:wrapNone/>
            <wp:docPr id="2800" name="Picture 2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0"/>
                    <pic:cNvPicPr>
                      <a:picLocks noChangeAspect="1" noChangeArrowheads="1"/>
                    </pic:cNvPicPr>
                  </pic:nvPicPr>
                  <pic:blipFill>
                    <a:blip r:embed="rId28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-144780</wp:posOffset>
            </wp:positionV>
            <wp:extent cx="8255" cy="8255"/>
            <wp:wrapNone/>
            <wp:docPr id="2801" name="Picture 2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1"/>
                    <pic:cNvPicPr>
                      <a:picLocks noChangeAspect="1" noChangeArrowheads="1"/>
                    </pic:cNvPicPr>
                  </pic:nvPicPr>
                  <pic:blipFill>
                    <a:blip r:embed="rId28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-144780</wp:posOffset>
            </wp:positionV>
            <wp:extent cx="8890" cy="8255"/>
            <wp:wrapNone/>
            <wp:docPr id="2802" name="Picture 2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2"/>
                    <pic:cNvPicPr>
                      <a:picLocks noChangeAspect="1" noChangeArrowheads="1"/>
                    </pic:cNvPicPr>
                  </pic:nvPicPr>
                  <pic:blipFill>
                    <a:blip r:embed="rId28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-144780</wp:posOffset>
            </wp:positionV>
            <wp:extent cx="8890" cy="8255"/>
            <wp:wrapNone/>
            <wp:docPr id="2803" name="Picture 2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3"/>
                    <pic:cNvPicPr>
                      <a:picLocks noChangeAspect="1" noChangeArrowheads="1"/>
                    </pic:cNvPicPr>
                  </pic:nvPicPr>
                  <pic:blipFill>
                    <a:blip r:embed="rId28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-144780</wp:posOffset>
            </wp:positionV>
            <wp:extent cx="8890" cy="8255"/>
            <wp:wrapNone/>
            <wp:docPr id="2804" name="Picture 2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4"/>
                    <pic:cNvPicPr>
                      <a:picLocks noChangeAspect="1" noChangeArrowheads="1"/>
                    </pic:cNvPicPr>
                  </pic:nvPicPr>
                  <pic:blipFill>
                    <a:blip r:embed="rId28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-144780</wp:posOffset>
            </wp:positionV>
            <wp:extent cx="8890" cy="8255"/>
            <wp:wrapNone/>
            <wp:docPr id="2805" name="Picture 2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5"/>
                    <pic:cNvPicPr>
                      <a:picLocks noChangeAspect="1" noChangeArrowheads="1"/>
                    </pic:cNvPicPr>
                  </pic:nvPicPr>
                  <pic:blipFill>
                    <a:blip r:embed="rId28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-144780</wp:posOffset>
            </wp:positionV>
            <wp:extent cx="8255" cy="8255"/>
            <wp:wrapNone/>
            <wp:docPr id="2806" name="Picture 2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6"/>
                    <pic:cNvPicPr>
                      <a:picLocks noChangeAspect="1" noChangeArrowheads="1"/>
                    </pic:cNvPicPr>
                  </pic:nvPicPr>
                  <pic:blipFill>
                    <a:blip r:embed="rId28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-144780</wp:posOffset>
            </wp:positionV>
            <wp:extent cx="8890" cy="8255"/>
            <wp:wrapNone/>
            <wp:docPr id="2807" name="Picture 2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7"/>
                    <pic:cNvPicPr>
                      <a:picLocks noChangeAspect="1" noChangeArrowheads="1"/>
                    </pic:cNvPicPr>
                  </pic:nvPicPr>
                  <pic:blipFill>
                    <a:blip r:embed="rId28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-144780</wp:posOffset>
            </wp:positionV>
            <wp:extent cx="8890" cy="8255"/>
            <wp:wrapNone/>
            <wp:docPr id="2808" name="Picture 2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8"/>
                    <pic:cNvPicPr>
                      <a:picLocks noChangeAspect="1" noChangeArrowheads="1"/>
                    </pic:cNvPicPr>
                  </pic:nvPicPr>
                  <pic:blipFill>
                    <a:blip r:embed="rId28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-144780</wp:posOffset>
            </wp:positionV>
            <wp:extent cx="8890" cy="8255"/>
            <wp:wrapNone/>
            <wp:docPr id="2809" name="Picture 2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9"/>
                    <pic:cNvPicPr>
                      <a:picLocks noChangeAspect="1" noChangeArrowheads="1"/>
                    </pic:cNvPicPr>
                  </pic:nvPicPr>
                  <pic:blipFill>
                    <a:blip r:embed="rId28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-144780</wp:posOffset>
            </wp:positionV>
            <wp:extent cx="8890" cy="8255"/>
            <wp:wrapNone/>
            <wp:docPr id="2810" name="Picture 2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0"/>
                    <pic:cNvPicPr>
                      <a:picLocks noChangeAspect="1" noChangeArrowheads="1"/>
                    </pic:cNvPicPr>
                  </pic:nvPicPr>
                  <pic:blipFill>
                    <a:blip r:embed="rId28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-144780</wp:posOffset>
            </wp:positionV>
            <wp:extent cx="8890" cy="8255"/>
            <wp:wrapNone/>
            <wp:docPr id="2811" name="Picture 2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1"/>
                    <pic:cNvPicPr>
                      <a:picLocks noChangeAspect="1" noChangeArrowheads="1"/>
                    </pic:cNvPicPr>
                  </pic:nvPicPr>
                  <pic:blipFill>
                    <a:blip r:embed="rId28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-144780</wp:posOffset>
            </wp:positionV>
            <wp:extent cx="8890" cy="8255"/>
            <wp:wrapNone/>
            <wp:docPr id="2812" name="Picture 2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2"/>
                    <pic:cNvPicPr>
                      <a:picLocks noChangeAspect="1" noChangeArrowheads="1"/>
                    </pic:cNvPicPr>
                  </pic:nvPicPr>
                  <pic:blipFill>
                    <a:blip r:embed="rId28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-144780</wp:posOffset>
            </wp:positionV>
            <wp:extent cx="8255" cy="8255"/>
            <wp:wrapNone/>
            <wp:docPr id="2813" name="Picture 2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3"/>
                    <pic:cNvPicPr>
                      <a:picLocks noChangeAspect="1" noChangeArrowheads="1"/>
                    </pic:cNvPicPr>
                  </pic:nvPicPr>
                  <pic:blipFill>
                    <a:blip r:embed="rId28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-144780</wp:posOffset>
            </wp:positionV>
            <wp:extent cx="8890" cy="8255"/>
            <wp:wrapNone/>
            <wp:docPr id="2814" name="Picture 2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4"/>
                    <pic:cNvPicPr>
                      <a:picLocks noChangeAspect="1" noChangeArrowheads="1"/>
                    </pic:cNvPicPr>
                  </pic:nvPicPr>
                  <pic:blipFill>
                    <a:blip r:embed="rId28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-144780</wp:posOffset>
            </wp:positionV>
            <wp:extent cx="8890" cy="8255"/>
            <wp:wrapNone/>
            <wp:docPr id="2815" name="Picture 2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5"/>
                    <pic:cNvPicPr>
                      <a:picLocks noChangeAspect="1" noChangeArrowheads="1"/>
                    </pic:cNvPicPr>
                  </pic:nvPicPr>
                  <pic:blipFill>
                    <a:blip r:embed="rId28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-144780</wp:posOffset>
            </wp:positionV>
            <wp:extent cx="8890" cy="8255"/>
            <wp:wrapNone/>
            <wp:docPr id="2816" name="Picture 2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6"/>
                    <pic:cNvPicPr>
                      <a:picLocks noChangeAspect="1" noChangeArrowheads="1"/>
                    </pic:cNvPicPr>
                  </pic:nvPicPr>
                  <pic:blipFill>
                    <a:blip r:embed="rId28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-144780</wp:posOffset>
            </wp:positionV>
            <wp:extent cx="8890" cy="8255"/>
            <wp:wrapNone/>
            <wp:docPr id="2817" name="Picture 2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7"/>
                    <pic:cNvPicPr>
                      <a:picLocks noChangeAspect="1" noChangeArrowheads="1"/>
                    </pic:cNvPicPr>
                  </pic:nvPicPr>
                  <pic:blipFill>
                    <a:blip r:embed="rId28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-144780</wp:posOffset>
            </wp:positionV>
            <wp:extent cx="8255" cy="8255"/>
            <wp:wrapNone/>
            <wp:docPr id="2818" name="Picture 2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8"/>
                    <pic:cNvPicPr>
                      <a:picLocks noChangeAspect="1" noChangeArrowheads="1"/>
                    </pic:cNvPicPr>
                  </pic:nvPicPr>
                  <pic:blipFill>
                    <a:blip r:embed="rId28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-144780</wp:posOffset>
            </wp:positionV>
            <wp:extent cx="8890" cy="8255"/>
            <wp:wrapNone/>
            <wp:docPr id="2819" name="Picture 2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9"/>
                    <pic:cNvPicPr>
                      <a:picLocks noChangeAspect="1" noChangeArrowheads="1"/>
                    </pic:cNvPicPr>
                  </pic:nvPicPr>
                  <pic:blipFill>
                    <a:blip r:embed="rId28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-144780</wp:posOffset>
            </wp:positionV>
            <wp:extent cx="8890" cy="8255"/>
            <wp:wrapNone/>
            <wp:docPr id="2820" name="Picture 2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0"/>
                    <pic:cNvPicPr>
                      <a:picLocks noChangeAspect="1" noChangeArrowheads="1"/>
                    </pic:cNvPicPr>
                  </pic:nvPicPr>
                  <pic:blipFill>
                    <a:blip r:embed="rId28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-144780</wp:posOffset>
            </wp:positionV>
            <wp:extent cx="8890" cy="8255"/>
            <wp:wrapNone/>
            <wp:docPr id="2821" name="Picture 2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1"/>
                    <pic:cNvPicPr>
                      <a:picLocks noChangeAspect="1" noChangeArrowheads="1"/>
                    </pic:cNvPicPr>
                  </pic:nvPicPr>
                  <pic:blipFill>
                    <a:blip r:embed="rId28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-144780</wp:posOffset>
            </wp:positionV>
            <wp:extent cx="8890" cy="8255"/>
            <wp:wrapNone/>
            <wp:docPr id="2822" name="Picture 2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2"/>
                    <pic:cNvPicPr>
                      <a:picLocks noChangeAspect="1" noChangeArrowheads="1"/>
                    </pic:cNvPicPr>
                  </pic:nvPicPr>
                  <pic:blipFill>
                    <a:blip r:embed="rId28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-144780</wp:posOffset>
            </wp:positionV>
            <wp:extent cx="8255" cy="8255"/>
            <wp:wrapNone/>
            <wp:docPr id="2823" name="Picture 2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3"/>
                    <pic:cNvPicPr>
                      <a:picLocks noChangeAspect="1" noChangeArrowheads="1"/>
                    </pic:cNvPicPr>
                  </pic:nvPicPr>
                  <pic:blipFill>
                    <a:blip r:embed="rId28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-144780</wp:posOffset>
            </wp:positionV>
            <wp:extent cx="8890" cy="8255"/>
            <wp:wrapNone/>
            <wp:docPr id="2824" name="Picture 2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4"/>
                    <pic:cNvPicPr>
                      <a:picLocks noChangeAspect="1" noChangeArrowheads="1"/>
                    </pic:cNvPicPr>
                  </pic:nvPicPr>
                  <pic:blipFill>
                    <a:blip r:embed="rId28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-144780</wp:posOffset>
            </wp:positionV>
            <wp:extent cx="8890" cy="8255"/>
            <wp:wrapNone/>
            <wp:docPr id="2825" name="Picture 2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5"/>
                    <pic:cNvPicPr>
                      <a:picLocks noChangeAspect="1" noChangeArrowheads="1"/>
                    </pic:cNvPicPr>
                  </pic:nvPicPr>
                  <pic:blipFill>
                    <a:blip r:embed="rId28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-144780</wp:posOffset>
            </wp:positionV>
            <wp:extent cx="8890" cy="8255"/>
            <wp:wrapNone/>
            <wp:docPr id="2826" name="Picture 2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6"/>
                    <pic:cNvPicPr>
                      <a:picLocks noChangeAspect="1" noChangeArrowheads="1"/>
                    </pic:cNvPicPr>
                  </pic:nvPicPr>
                  <pic:blipFill>
                    <a:blip r:embed="rId28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-144780</wp:posOffset>
            </wp:positionV>
            <wp:extent cx="8890" cy="8255"/>
            <wp:wrapNone/>
            <wp:docPr id="2827" name="Picture 2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7"/>
                    <pic:cNvPicPr>
                      <a:picLocks noChangeAspect="1" noChangeArrowheads="1"/>
                    </pic:cNvPicPr>
                  </pic:nvPicPr>
                  <pic:blipFill>
                    <a:blip r:embed="rId28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-144780</wp:posOffset>
            </wp:positionV>
            <wp:extent cx="8255" cy="8255"/>
            <wp:wrapNone/>
            <wp:docPr id="2828" name="Picture 2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8"/>
                    <pic:cNvPicPr>
                      <a:picLocks noChangeAspect="1" noChangeArrowheads="1"/>
                    </pic:cNvPicPr>
                  </pic:nvPicPr>
                  <pic:blipFill>
                    <a:blip r:embed="rId28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-144780</wp:posOffset>
            </wp:positionV>
            <wp:extent cx="8890" cy="8255"/>
            <wp:wrapNone/>
            <wp:docPr id="2829" name="Picture 2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9"/>
                    <pic:cNvPicPr>
                      <a:picLocks noChangeAspect="1" noChangeArrowheads="1"/>
                    </pic:cNvPicPr>
                  </pic:nvPicPr>
                  <pic:blipFill>
                    <a:blip r:embed="rId28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-144780</wp:posOffset>
            </wp:positionV>
            <wp:extent cx="8255" cy="8255"/>
            <wp:wrapNone/>
            <wp:docPr id="2830" name="Picture 2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0"/>
                    <pic:cNvPicPr>
                      <a:picLocks noChangeAspect="1" noChangeArrowheads="1"/>
                    </pic:cNvPicPr>
                  </pic:nvPicPr>
                  <pic:blipFill>
                    <a:blip r:embed="rId28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-144780</wp:posOffset>
            </wp:positionV>
            <wp:extent cx="8890" cy="8255"/>
            <wp:wrapNone/>
            <wp:docPr id="2831" name="Picture 2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1"/>
                    <pic:cNvPicPr>
                      <a:picLocks noChangeAspect="1" noChangeArrowheads="1"/>
                    </pic:cNvPicPr>
                  </pic:nvPicPr>
                  <pic:blipFill>
                    <a:blip r:embed="rId28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-144780</wp:posOffset>
            </wp:positionV>
            <wp:extent cx="8890" cy="8255"/>
            <wp:wrapNone/>
            <wp:docPr id="2832" name="Picture 2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2"/>
                    <pic:cNvPicPr>
                      <a:picLocks noChangeAspect="1" noChangeArrowheads="1"/>
                    </pic:cNvPicPr>
                  </pic:nvPicPr>
                  <pic:blipFill>
                    <a:blip r:embed="rId28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-144780</wp:posOffset>
            </wp:positionV>
            <wp:extent cx="8890" cy="8255"/>
            <wp:wrapNone/>
            <wp:docPr id="2833" name="Picture 2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3"/>
                    <pic:cNvPicPr>
                      <a:picLocks noChangeAspect="1" noChangeArrowheads="1"/>
                    </pic:cNvPicPr>
                  </pic:nvPicPr>
                  <pic:blipFill>
                    <a:blip r:embed="rId28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-144780</wp:posOffset>
            </wp:positionV>
            <wp:extent cx="8890" cy="8255"/>
            <wp:wrapNone/>
            <wp:docPr id="2834" name="Picture 2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4"/>
                    <pic:cNvPicPr>
                      <a:picLocks noChangeAspect="1" noChangeArrowheads="1"/>
                    </pic:cNvPicPr>
                  </pic:nvPicPr>
                  <pic:blipFill>
                    <a:blip r:embed="rId28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-144780</wp:posOffset>
            </wp:positionV>
            <wp:extent cx="8255" cy="8255"/>
            <wp:wrapNone/>
            <wp:docPr id="2835" name="Picture 2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5"/>
                    <pic:cNvPicPr>
                      <a:picLocks noChangeAspect="1" noChangeArrowheads="1"/>
                    </pic:cNvPicPr>
                  </pic:nvPicPr>
                  <pic:blipFill>
                    <a:blip r:embed="rId28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-144780</wp:posOffset>
            </wp:positionV>
            <wp:extent cx="8890" cy="8255"/>
            <wp:wrapNone/>
            <wp:docPr id="2836" name="Picture 2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6"/>
                    <pic:cNvPicPr>
                      <a:picLocks noChangeAspect="1" noChangeArrowheads="1"/>
                    </pic:cNvPicPr>
                  </pic:nvPicPr>
                  <pic:blipFill>
                    <a:blip r:embed="rId28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-144780</wp:posOffset>
            </wp:positionV>
            <wp:extent cx="8890" cy="8255"/>
            <wp:wrapNone/>
            <wp:docPr id="2837" name="Picture 2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7"/>
                    <pic:cNvPicPr>
                      <a:picLocks noChangeAspect="1" noChangeArrowheads="1"/>
                    </pic:cNvPicPr>
                  </pic:nvPicPr>
                  <pic:blipFill>
                    <a:blip r:embed="rId28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-144780</wp:posOffset>
            </wp:positionV>
            <wp:extent cx="8890" cy="8255"/>
            <wp:wrapNone/>
            <wp:docPr id="2838" name="Picture 2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8"/>
                    <pic:cNvPicPr>
                      <a:picLocks noChangeAspect="1" noChangeArrowheads="1"/>
                    </pic:cNvPicPr>
                  </pic:nvPicPr>
                  <pic:blipFill>
                    <a:blip r:embed="rId28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-144780</wp:posOffset>
            </wp:positionV>
            <wp:extent cx="8890" cy="8255"/>
            <wp:wrapNone/>
            <wp:docPr id="2839" name="Picture 2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9"/>
                    <pic:cNvPicPr>
                      <a:picLocks noChangeAspect="1" noChangeArrowheads="1"/>
                    </pic:cNvPicPr>
                  </pic:nvPicPr>
                  <pic:blipFill>
                    <a:blip r:embed="rId28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-144780</wp:posOffset>
            </wp:positionV>
            <wp:extent cx="8255" cy="8255"/>
            <wp:wrapNone/>
            <wp:docPr id="2840" name="Picture 2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0"/>
                    <pic:cNvPicPr>
                      <a:picLocks noChangeAspect="1" noChangeArrowheads="1"/>
                    </pic:cNvPicPr>
                  </pic:nvPicPr>
                  <pic:blipFill>
                    <a:blip r:embed="rId28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-144780</wp:posOffset>
            </wp:positionV>
            <wp:extent cx="8890" cy="8255"/>
            <wp:wrapNone/>
            <wp:docPr id="2841" name="Picture 2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1"/>
                    <pic:cNvPicPr>
                      <a:picLocks noChangeAspect="1" noChangeArrowheads="1"/>
                    </pic:cNvPicPr>
                  </pic:nvPicPr>
                  <pic:blipFill>
                    <a:blip r:embed="rId28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-144780</wp:posOffset>
            </wp:positionV>
            <wp:extent cx="8890" cy="8255"/>
            <wp:wrapNone/>
            <wp:docPr id="2842" name="Picture 2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2"/>
                    <pic:cNvPicPr>
                      <a:picLocks noChangeAspect="1" noChangeArrowheads="1"/>
                    </pic:cNvPicPr>
                  </pic:nvPicPr>
                  <pic:blipFill>
                    <a:blip r:embed="rId28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-144780</wp:posOffset>
            </wp:positionV>
            <wp:extent cx="8890" cy="8255"/>
            <wp:wrapNone/>
            <wp:docPr id="2843" name="Picture 2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3"/>
                    <pic:cNvPicPr>
                      <a:picLocks noChangeAspect="1" noChangeArrowheads="1"/>
                    </pic:cNvPicPr>
                  </pic:nvPicPr>
                  <pic:blipFill>
                    <a:blip r:embed="rId28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-144780</wp:posOffset>
            </wp:positionV>
            <wp:extent cx="8890" cy="8255"/>
            <wp:wrapNone/>
            <wp:docPr id="2844" name="Picture 2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4"/>
                    <pic:cNvPicPr>
                      <a:picLocks noChangeAspect="1" noChangeArrowheads="1"/>
                    </pic:cNvPicPr>
                  </pic:nvPicPr>
                  <pic:blipFill>
                    <a:blip r:embed="rId28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-144780</wp:posOffset>
            </wp:positionV>
            <wp:extent cx="8255" cy="8255"/>
            <wp:wrapNone/>
            <wp:docPr id="2845" name="Picture 2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5"/>
                    <pic:cNvPicPr>
                      <a:picLocks noChangeAspect="1" noChangeArrowheads="1"/>
                    </pic:cNvPicPr>
                  </pic:nvPicPr>
                  <pic:blipFill>
                    <a:blip r:embed="rId28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-144780</wp:posOffset>
            </wp:positionV>
            <wp:extent cx="8890" cy="8255"/>
            <wp:wrapNone/>
            <wp:docPr id="2846" name="Picture 2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6"/>
                    <pic:cNvPicPr>
                      <a:picLocks noChangeAspect="1" noChangeArrowheads="1"/>
                    </pic:cNvPicPr>
                  </pic:nvPicPr>
                  <pic:blipFill>
                    <a:blip r:embed="rId28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-144780</wp:posOffset>
            </wp:positionV>
            <wp:extent cx="8890" cy="8255"/>
            <wp:wrapNone/>
            <wp:docPr id="2847" name="Picture 2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7"/>
                    <pic:cNvPicPr>
                      <a:picLocks noChangeAspect="1" noChangeArrowheads="1"/>
                    </pic:cNvPicPr>
                  </pic:nvPicPr>
                  <pic:blipFill>
                    <a:blip r:embed="rId28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-144780</wp:posOffset>
            </wp:positionV>
            <wp:extent cx="8890" cy="8255"/>
            <wp:wrapNone/>
            <wp:docPr id="2848" name="Picture 2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8"/>
                    <pic:cNvPicPr>
                      <a:picLocks noChangeAspect="1" noChangeArrowheads="1"/>
                    </pic:cNvPicPr>
                  </pic:nvPicPr>
                  <pic:blipFill>
                    <a:blip r:embed="rId28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-144780</wp:posOffset>
            </wp:positionV>
            <wp:extent cx="8890" cy="8255"/>
            <wp:wrapNone/>
            <wp:docPr id="2849" name="Picture 2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9"/>
                    <pic:cNvPicPr>
                      <a:picLocks noChangeAspect="1" noChangeArrowheads="1"/>
                    </pic:cNvPicPr>
                  </pic:nvPicPr>
                  <pic:blipFill>
                    <a:blip r:embed="rId28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-144780</wp:posOffset>
            </wp:positionV>
            <wp:extent cx="8255" cy="8255"/>
            <wp:wrapNone/>
            <wp:docPr id="2850" name="Picture 2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0"/>
                    <pic:cNvPicPr>
                      <a:picLocks noChangeAspect="1" noChangeArrowheads="1"/>
                    </pic:cNvPicPr>
                  </pic:nvPicPr>
                  <pic:blipFill>
                    <a:blip r:embed="rId28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-144780</wp:posOffset>
            </wp:positionV>
            <wp:extent cx="8890" cy="8255"/>
            <wp:wrapNone/>
            <wp:docPr id="2851" name="Picture 2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1"/>
                    <pic:cNvPicPr>
                      <a:picLocks noChangeAspect="1" noChangeArrowheads="1"/>
                    </pic:cNvPicPr>
                  </pic:nvPicPr>
                  <pic:blipFill>
                    <a:blip r:embed="rId28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-144780</wp:posOffset>
            </wp:positionV>
            <wp:extent cx="8255" cy="8255"/>
            <wp:wrapNone/>
            <wp:docPr id="2852" name="Picture 2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2"/>
                    <pic:cNvPicPr>
                      <a:picLocks noChangeAspect="1" noChangeArrowheads="1"/>
                    </pic:cNvPicPr>
                  </pic:nvPicPr>
                  <pic:blipFill>
                    <a:blip r:embed="rId28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-144780</wp:posOffset>
            </wp:positionV>
            <wp:extent cx="8890" cy="8255"/>
            <wp:wrapNone/>
            <wp:docPr id="2853" name="Picture 2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3"/>
                    <pic:cNvPicPr>
                      <a:picLocks noChangeAspect="1" noChangeArrowheads="1"/>
                    </pic:cNvPicPr>
                  </pic:nvPicPr>
                  <pic:blipFill>
                    <a:blip r:embed="rId28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-144780</wp:posOffset>
            </wp:positionV>
            <wp:extent cx="8890" cy="8255"/>
            <wp:wrapNone/>
            <wp:docPr id="2854" name="Picture 2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4"/>
                    <pic:cNvPicPr>
                      <a:picLocks noChangeAspect="1" noChangeArrowheads="1"/>
                    </pic:cNvPicPr>
                  </pic:nvPicPr>
                  <pic:blipFill>
                    <a:blip r:embed="rId28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-144780</wp:posOffset>
            </wp:positionV>
            <wp:extent cx="8890" cy="8255"/>
            <wp:wrapNone/>
            <wp:docPr id="2855" name="Picture 2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5"/>
                    <pic:cNvPicPr>
                      <a:picLocks noChangeAspect="1" noChangeArrowheads="1"/>
                    </pic:cNvPicPr>
                  </pic:nvPicPr>
                  <pic:blipFill>
                    <a:blip r:embed="rId28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-144780</wp:posOffset>
            </wp:positionV>
            <wp:extent cx="8890" cy="8255"/>
            <wp:wrapNone/>
            <wp:docPr id="2856" name="Picture 2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6"/>
                    <pic:cNvPicPr>
                      <a:picLocks noChangeAspect="1" noChangeArrowheads="1"/>
                    </pic:cNvPicPr>
                  </pic:nvPicPr>
                  <pic:blipFill>
                    <a:blip r:embed="rId28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-144780</wp:posOffset>
            </wp:positionV>
            <wp:extent cx="8255" cy="8255"/>
            <wp:wrapNone/>
            <wp:docPr id="2857" name="Picture 2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7"/>
                    <pic:cNvPicPr>
                      <a:picLocks noChangeAspect="1" noChangeArrowheads="1"/>
                    </pic:cNvPicPr>
                  </pic:nvPicPr>
                  <pic:blipFill>
                    <a:blip r:embed="rId28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-144780</wp:posOffset>
            </wp:positionV>
            <wp:extent cx="8890" cy="8255"/>
            <wp:wrapNone/>
            <wp:docPr id="2858" name="Picture 2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8"/>
                    <pic:cNvPicPr>
                      <a:picLocks noChangeAspect="1" noChangeArrowheads="1"/>
                    </pic:cNvPicPr>
                  </pic:nvPicPr>
                  <pic:blipFill>
                    <a:blip r:embed="rId28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-144780</wp:posOffset>
            </wp:positionV>
            <wp:extent cx="8890" cy="8255"/>
            <wp:wrapNone/>
            <wp:docPr id="2859" name="Picture 2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9"/>
                    <pic:cNvPicPr>
                      <a:picLocks noChangeAspect="1" noChangeArrowheads="1"/>
                    </pic:cNvPicPr>
                  </pic:nvPicPr>
                  <pic:blipFill>
                    <a:blip r:embed="rId28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-144780</wp:posOffset>
            </wp:positionV>
            <wp:extent cx="8890" cy="8255"/>
            <wp:wrapNone/>
            <wp:docPr id="2860" name="Picture 2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0"/>
                    <pic:cNvPicPr>
                      <a:picLocks noChangeAspect="1" noChangeArrowheads="1"/>
                    </pic:cNvPicPr>
                  </pic:nvPicPr>
                  <pic:blipFill>
                    <a:blip r:embed="rId28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-144780</wp:posOffset>
            </wp:positionV>
            <wp:extent cx="8890" cy="8255"/>
            <wp:wrapNone/>
            <wp:docPr id="2861" name="Picture 2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1"/>
                    <pic:cNvPicPr>
                      <a:picLocks noChangeAspect="1" noChangeArrowheads="1"/>
                    </pic:cNvPicPr>
                  </pic:nvPicPr>
                  <pic:blipFill>
                    <a:blip r:embed="rId28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-144780</wp:posOffset>
            </wp:positionV>
            <wp:extent cx="8255" cy="8255"/>
            <wp:wrapNone/>
            <wp:docPr id="2862" name="Picture 2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2"/>
                    <pic:cNvPicPr>
                      <a:picLocks noChangeAspect="1" noChangeArrowheads="1"/>
                    </pic:cNvPicPr>
                  </pic:nvPicPr>
                  <pic:blipFill>
                    <a:blip r:embed="rId28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-144780</wp:posOffset>
            </wp:positionV>
            <wp:extent cx="8890" cy="8255"/>
            <wp:wrapNone/>
            <wp:docPr id="2863" name="Picture 2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3"/>
                    <pic:cNvPicPr>
                      <a:picLocks noChangeAspect="1" noChangeArrowheads="1"/>
                    </pic:cNvPicPr>
                  </pic:nvPicPr>
                  <pic:blipFill>
                    <a:blip r:embed="rId28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-144780</wp:posOffset>
            </wp:positionV>
            <wp:extent cx="8890" cy="8255"/>
            <wp:wrapNone/>
            <wp:docPr id="2864" name="Picture 2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4"/>
                    <pic:cNvPicPr>
                      <a:picLocks noChangeAspect="1" noChangeArrowheads="1"/>
                    </pic:cNvPicPr>
                  </pic:nvPicPr>
                  <pic:blipFill>
                    <a:blip r:embed="rId28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-144780</wp:posOffset>
            </wp:positionV>
            <wp:extent cx="8890" cy="8255"/>
            <wp:wrapNone/>
            <wp:docPr id="2865" name="Picture 2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5"/>
                    <pic:cNvPicPr>
                      <a:picLocks noChangeAspect="1" noChangeArrowheads="1"/>
                    </pic:cNvPicPr>
                  </pic:nvPicPr>
                  <pic:blipFill>
                    <a:blip r:embed="rId28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-144780</wp:posOffset>
            </wp:positionV>
            <wp:extent cx="8890" cy="8255"/>
            <wp:wrapNone/>
            <wp:docPr id="2866" name="Picture 2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6"/>
                    <pic:cNvPicPr>
                      <a:picLocks noChangeAspect="1" noChangeArrowheads="1"/>
                    </pic:cNvPicPr>
                  </pic:nvPicPr>
                  <pic:blipFill>
                    <a:blip r:embed="rId28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-144780</wp:posOffset>
            </wp:positionV>
            <wp:extent cx="8255" cy="8255"/>
            <wp:wrapNone/>
            <wp:docPr id="2867" name="Picture 2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7"/>
                    <pic:cNvPicPr>
                      <a:picLocks noChangeAspect="1" noChangeArrowheads="1"/>
                    </pic:cNvPicPr>
                  </pic:nvPicPr>
                  <pic:blipFill>
                    <a:blip r:embed="rId28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-144780</wp:posOffset>
            </wp:positionV>
            <wp:extent cx="8890" cy="8255"/>
            <wp:wrapNone/>
            <wp:docPr id="2868" name="Picture 2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8"/>
                    <pic:cNvPicPr>
                      <a:picLocks noChangeAspect="1" noChangeArrowheads="1"/>
                    </pic:cNvPicPr>
                  </pic:nvPicPr>
                  <pic:blipFill>
                    <a:blip r:embed="rId28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-144780</wp:posOffset>
            </wp:positionV>
            <wp:extent cx="8890" cy="8255"/>
            <wp:wrapNone/>
            <wp:docPr id="2869" name="Picture 2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9"/>
                    <pic:cNvPicPr>
                      <a:picLocks noChangeAspect="1" noChangeArrowheads="1"/>
                    </pic:cNvPicPr>
                  </pic:nvPicPr>
                  <pic:blipFill>
                    <a:blip r:embed="rId28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-144780</wp:posOffset>
            </wp:positionV>
            <wp:extent cx="8890" cy="8255"/>
            <wp:wrapNone/>
            <wp:docPr id="2870" name="Picture 2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0"/>
                    <pic:cNvPicPr>
                      <a:picLocks noChangeAspect="1" noChangeArrowheads="1"/>
                    </pic:cNvPicPr>
                  </pic:nvPicPr>
                  <pic:blipFill>
                    <a:blip r:embed="rId28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-144780</wp:posOffset>
            </wp:positionV>
            <wp:extent cx="8890" cy="8255"/>
            <wp:wrapNone/>
            <wp:docPr id="2871" name="Picture 2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1"/>
                    <pic:cNvPicPr>
                      <a:picLocks noChangeAspect="1" noChangeArrowheads="1"/>
                    </pic:cNvPicPr>
                  </pic:nvPicPr>
                  <pic:blipFill>
                    <a:blip r:embed="rId28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-144780</wp:posOffset>
            </wp:positionV>
            <wp:extent cx="8890" cy="8255"/>
            <wp:wrapNone/>
            <wp:docPr id="2872" name="Picture 2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2"/>
                    <pic:cNvPicPr>
                      <a:picLocks noChangeAspect="1" noChangeArrowheads="1"/>
                    </pic:cNvPicPr>
                  </pic:nvPicPr>
                  <pic:blipFill>
                    <a:blip r:embed="rId28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-144780</wp:posOffset>
            </wp:positionV>
            <wp:extent cx="8890" cy="8255"/>
            <wp:wrapNone/>
            <wp:docPr id="2873" name="Picture 2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3"/>
                    <pic:cNvPicPr>
                      <a:picLocks noChangeAspect="1" noChangeArrowheads="1"/>
                    </pic:cNvPicPr>
                  </pic:nvPicPr>
                  <pic:blipFill>
                    <a:blip r:embed="rId28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-144780</wp:posOffset>
            </wp:positionV>
            <wp:extent cx="8255" cy="8255"/>
            <wp:wrapNone/>
            <wp:docPr id="2874" name="Picture 2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4"/>
                    <pic:cNvPicPr>
                      <a:picLocks noChangeAspect="1" noChangeArrowheads="1"/>
                    </pic:cNvPicPr>
                  </pic:nvPicPr>
                  <pic:blipFill>
                    <a:blip r:embed="rId28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-144780</wp:posOffset>
            </wp:positionV>
            <wp:extent cx="8890" cy="8255"/>
            <wp:wrapNone/>
            <wp:docPr id="2875" name="Picture 2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5"/>
                    <pic:cNvPicPr>
                      <a:picLocks noChangeAspect="1" noChangeArrowheads="1"/>
                    </pic:cNvPicPr>
                  </pic:nvPicPr>
                  <pic:blipFill>
                    <a:blip r:embed="rId28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-144780</wp:posOffset>
            </wp:positionV>
            <wp:extent cx="8890" cy="8255"/>
            <wp:wrapNone/>
            <wp:docPr id="2876" name="Picture 2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6"/>
                    <pic:cNvPicPr>
                      <a:picLocks noChangeAspect="1" noChangeArrowheads="1"/>
                    </pic:cNvPicPr>
                  </pic:nvPicPr>
                  <pic:blipFill>
                    <a:blip r:embed="rId28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-144780</wp:posOffset>
            </wp:positionV>
            <wp:extent cx="8890" cy="8255"/>
            <wp:wrapNone/>
            <wp:docPr id="2877" name="Picture 2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7"/>
                    <pic:cNvPicPr>
                      <a:picLocks noChangeAspect="1" noChangeArrowheads="1"/>
                    </pic:cNvPicPr>
                  </pic:nvPicPr>
                  <pic:blipFill>
                    <a:blip r:embed="rId28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-144780</wp:posOffset>
            </wp:positionV>
            <wp:extent cx="8890" cy="8255"/>
            <wp:wrapNone/>
            <wp:docPr id="2878" name="Picture 2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8"/>
                    <pic:cNvPicPr>
                      <a:picLocks noChangeAspect="1" noChangeArrowheads="1"/>
                    </pic:cNvPicPr>
                  </pic:nvPicPr>
                  <pic:blipFill>
                    <a:blip r:embed="rId28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-144780</wp:posOffset>
            </wp:positionV>
            <wp:extent cx="8255" cy="8255"/>
            <wp:wrapNone/>
            <wp:docPr id="2879" name="Picture 2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9"/>
                    <pic:cNvPicPr>
                      <a:picLocks noChangeAspect="1" noChangeArrowheads="1"/>
                    </pic:cNvPicPr>
                  </pic:nvPicPr>
                  <pic:blipFill>
                    <a:blip r:embed="rId28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-144780</wp:posOffset>
            </wp:positionV>
            <wp:extent cx="8890" cy="8255"/>
            <wp:wrapNone/>
            <wp:docPr id="2880" name="Picture 2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0"/>
                    <pic:cNvPicPr>
                      <a:picLocks noChangeAspect="1" noChangeArrowheads="1"/>
                    </pic:cNvPicPr>
                  </pic:nvPicPr>
                  <pic:blipFill>
                    <a:blip r:embed="rId28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-144780</wp:posOffset>
            </wp:positionV>
            <wp:extent cx="8890" cy="8255"/>
            <wp:wrapNone/>
            <wp:docPr id="2881" name="Picture 2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1"/>
                    <pic:cNvPicPr>
                      <a:picLocks noChangeAspect="1" noChangeArrowheads="1"/>
                    </pic:cNvPicPr>
                  </pic:nvPicPr>
                  <pic:blipFill>
                    <a:blip r:embed="rId28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-144780</wp:posOffset>
            </wp:positionV>
            <wp:extent cx="8890" cy="8255"/>
            <wp:wrapNone/>
            <wp:docPr id="2882" name="Picture 2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2"/>
                    <pic:cNvPicPr>
                      <a:picLocks noChangeAspect="1" noChangeArrowheads="1"/>
                    </pic:cNvPicPr>
                  </pic:nvPicPr>
                  <pic:blipFill>
                    <a:blip r:embed="rId28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-144780</wp:posOffset>
            </wp:positionV>
            <wp:extent cx="8890" cy="8255"/>
            <wp:wrapNone/>
            <wp:docPr id="2883" name="Picture 2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3"/>
                    <pic:cNvPicPr>
                      <a:picLocks noChangeAspect="1" noChangeArrowheads="1"/>
                    </pic:cNvPicPr>
                  </pic:nvPicPr>
                  <pic:blipFill>
                    <a:blip r:embed="rId28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-144780</wp:posOffset>
            </wp:positionV>
            <wp:extent cx="8255" cy="8255"/>
            <wp:wrapNone/>
            <wp:docPr id="2884" name="Picture 2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4"/>
                    <pic:cNvPicPr>
                      <a:picLocks noChangeAspect="1" noChangeArrowheads="1"/>
                    </pic:cNvPicPr>
                  </pic:nvPicPr>
                  <pic:blipFill>
                    <a:blip r:embed="rId28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-144780</wp:posOffset>
            </wp:positionV>
            <wp:extent cx="8890" cy="8255"/>
            <wp:wrapNone/>
            <wp:docPr id="2885" name="Picture 2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5"/>
                    <pic:cNvPicPr>
                      <a:picLocks noChangeAspect="1" noChangeArrowheads="1"/>
                    </pic:cNvPicPr>
                  </pic:nvPicPr>
                  <pic:blipFill>
                    <a:blip r:embed="rId28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-144780</wp:posOffset>
            </wp:positionV>
            <wp:extent cx="8255" cy="8255"/>
            <wp:wrapNone/>
            <wp:docPr id="2886" name="Picture 2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6"/>
                    <pic:cNvPicPr>
                      <a:picLocks noChangeAspect="1" noChangeArrowheads="1"/>
                    </pic:cNvPicPr>
                  </pic:nvPicPr>
                  <pic:blipFill>
                    <a:blip r:embed="rId28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-144780</wp:posOffset>
            </wp:positionV>
            <wp:extent cx="8255" cy="8255"/>
            <wp:wrapNone/>
            <wp:docPr id="2887" name="Picture 2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7"/>
                    <pic:cNvPicPr>
                      <a:picLocks noChangeAspect="1" noChangeArrowheads="1"/>
                    </pic:cNvPicPr>
                  </pic:nvPicPr>
                  <pic:blipFill>
                    <a:blip r:embed="rId28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-144780</wp:posOffset>
            </wp:positionV>
            <wp:extent cx="8890" cy="8255"/>
            <wp:wrapNone/>
            <wp:docPr id="2888" name="Picture 2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8"/>
                    <pic:cNvPicPr>
                      <a:picLocks noChangeAspect="1" noChangeArrowheads="1"/>
                    </pic:cNvPicPr>
                  </pic:nvPicPr>
                  <pic:blipFill>
                    <a:blip r:embed="rId28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-144780</wp:posOffset>
            </wp:positionV>
            <wp:extent cx="8890" cy="8255"/>
            <wp:wrapNone/>
            <wp:docPr id="2889" name="Picture 2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9"/>
                    <pic:cNvPicPr>
                      <a:picLocks noChangeAspect="1" noChangeArrowheads="1"/>
                    </pic:cNvPicPr>
                  </pic:nvPicPr>
                  <pic:blipFill>
                    <a:blip r:embed="rId28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-144780</wp:posOffset>
            </wp:positionV>
            <wp:extent cx="8255" cy="8255"/>
            <wp:wrapNone/>
            <wp:docPr id="2890" name="Picture 2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0"/>
                    <pic:cNvPicPr>
                      <a:picLocks noChangeAspect="1" noChangeArrowheads="1"/>
                    </pic:cNvPicPr>
                  </pic:nvPicPr>
                  <pic:blipFill>
                    <a:blip r:embed="rId28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-144780</wp:posOffset>
            </wp:positionV>
            <wp:extent cx="8255" cy="8255"/>
            <wp:wrapNone/>
            <wp:docPr id="2891" name="Picture 2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1"/>
                    <pic:cNvPicPr>
                      <a:picLocks noChangeAspect="1" noChangeArrowheads="1"/>
                    </pic:cNvPicPr>
                  </pic:nvPicPr>
                  <pic:blipFill>
                    <a:blip r:embed="rId28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-144780</wp:posOffset>
            </wp:positionV>
            <wp:extent cx="8255" cy="8255"/>
            <wp:wrapNone/>
            <wp:docPr id="2892" name="Picture 2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2"/>
                    <pic:cNvPicPr>
                      <a:picLocks noChangeAspect="1" noChangeArrowheads="1"/>
                    </pic:cNvPicPr>
                  </pic:nvPicPr>
                  <pic:blipFill>
                    <a:blip r:embed="rId28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-144780</wp:posOffset>
            </wp:positionV>
            <wp:extent cx="8890" cy="8255"/>
            <wp:wrapNone/>
            <wp:docPr id="2893" name="Picture 2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3"/>
                    <pic:cNvPicPr>
                      <a:picLocks noChangeAspect="1" noChangeArrowheads="1"/>
                    </pic:cNvPicPr>
                  </pic:nvPicPr>
                  <pic:blipFill>
                    <a:blip r:embed="rId29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-144780</wp:posOffset>
            </wp:positionV>
            <wp:extent cx="8890" cy="8255"/>
            <wp:wrapNone/>
            <wp:docPr id="2894" name="Picture 2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4"/>
                    <pic:cNvPicPr>
                      <a:picLocks noChangeAspect="1" noChangeArrowheads="1"/>
                    </pic:cNvPicPr>
                  </pic:nvPicPr>
                  <pic:blipFill>
                    <a:blip r:embed="rId29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-144780</wp:posOffset>
            </wp:positionV>
            <wp:extent cx="8255" cy="8255"/>
            <wp:wrapNone/>
            <wp:docPr id="2895" name="Picture 2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5"/>
                    <pic:cNvPicPr>
                      <a:picLocks noChangeAspect="1" noChangeArrowheads="1"/>
                    </pic:cNvPicPr>
                  </pic:nvPicPr>
                  <pic:blipFill>
                    <a:blip r:embed="rId29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-144780</wp:posOffset>
            </wp:positionV>
            <wp:extent cx="8255" cy="8255"/>
            <wp:wrapNone/>
            <wp:docPr id="2896" name="Picture 2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6"/>
                    <pic:cNvPicPr>
                      <a:picLocks noChangeAspect="1" noChangeArrowheads="1"/>
                    </pic:cNvPicPr>
                  </pic:nvPicPr>
                  <pic:blipFill>
                    <a:blip r:embed="rId29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-144780</wp:posOffset>
            </wp:positionV>
            <wp:extent cx="8255" cy="8255"/>
            <wp:wrapNone/>
            <wp:docPr id="2897" name="Picture 2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7"/>
                    <pic:cNvPicPr>
                      <a:picLocks noChangeAspect="1" noChangeArrowheads="1"/>
                    </pic:cNvPicPr>
                  </pic:nvPicPr>
                  <pic:blipFill>
                    <a:blip r:embed="rId29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-144780</wp:posOffset>
            </wp:positionV>
            <wp:extent cx="8890" cy="8255"/>
            <wp:wrapNone/>
            <wp:docPr id="2898" name="Picture 2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8"/>
                    <pic:cNvPicPr>
                      <a:picLocks noChangeAspect="1" noChangeArrowheads="1"/>
                    </pic:cNvPicPr>
                  </pic:nvPicPr>
                  <pic:blipFill>
                    <a:blip r:embed="rId29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-144780</wp:posOffset>
            </wp:positionV>
            <wp:extent cx="8890" cy="8255"/>
            <wp:wrapNone/>
            <wp:docPr id="2899" name="Picture 2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9"/>
                    <pic:cNvPicPr>
                      <a:picLocks noChangeAspect="1" noChangeArrowheads="1"/>
                    </pic:cNvPicPr>
                  </pic:nvPicPr>
                  <pic:blipFill>
                    <a:blip r:embed="rId29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-144780</wp:posOffset>
            </wp:positionV>
            <wp:extent cx="8255" cy="8255"/>
            <wp:wrapNone/>
            <wp:docPr id="2900" name="Picture 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0"/>
                    <pic:cNvPicPr>
                      <a:picLocks noChangeAspect="1" noChangeArrowheads="1"/>
                    </pic:cNvPicPr>
                  </pic:nvPicPr>
                  <pic:blipFill>
                    <a:blip r:embed="rId29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-144780</wp:posOffset>
            </wp:positionV>
            <wp:extent cx="8255" cy="8255"/>
            <wp:wrapNone/>
            <wp:docPr id="2901" name="Picture 2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1"/>
                    <pic:cNvPicPr>
                      <a:picLocks noChangeAspect="1" noChangeArrowheads="1"/>
                    </pic:cNvPicPr>
                  </pic:nvPicPr>
                  <pic:blipFill>
                    <a:blip r:embed="rId29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-144780</wp:posOffset>
            </wp:positionV>
            <wp:extent cx="8255" cy="8255"/>
            <wp:wrapNone/>
            <wp:docPr id="2902" name="Picture 2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2"/>
                    <pic:cNvPicPr>
                      <a:picLocks noChangeAspect="1" noChangeArrowheads="1"/>
                    </pic:cNvPicPr>
                  </pic:nvPicPr>
                  <pic:blipFill>
                    <a:blip r:embed="rId29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-144780</wp:posOffset>
            </wp:positionV>
            <wp:extent cx="8890" cy="8255"/>
            <wp:wrapNone/>
            <wp:docPr id="2903" name="Picture 2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3"/>
                    <pic:cNvPicPr>
                      <a:picLocks noChangeAspect="1" noChangeArrowheads="1"/>
                    </pic:cNvPicPr>
                  </pic:nvPicPr>
                  <pic:blipFill>
                    <a:blip r:embed="rId29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-144780</wp:posOffset>
            </wp:positionV>
            <wp:extent cx="8890" cy="8255"/>
            <wp:wrapNone/>
            <wp:docPr id="2904" name="Picture 2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4"/>
                    <pic:cNvPicPr>
                      <a:picLocks noChangeAspect="1" noChangeArrowheads="1"/>
                    </pic:cNvPicPr>
                  </pic:nvPicPr>
                  <pic:blipFill>
                    <a:blip r:embed="rId29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-144780</wp:posOffset>
            </wp:positionV>
            <wp:extent cx="8255" cy="8255"/>
            <wp:wrapNone/>
            <wp:docPr id="2905" name="Picture 2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5"/>
                    <pic:cNvPicPr>
                      <a:picLocks noChangeAspect="1" noChangeArrowheads="1"/>
                    </pic:cNvPicPr>
                  </pic:nvPicPr>
                  <pic:blipFill>
                    <a:blip r:embed="rId29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-144780</wp:posOffset>
            </wp:positionV>
            <wp:extent cx="8255" cy="8255"/>
            <wp:wrapNone/>
            <wp:docPr id="2906" name="Picture 2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6"/>
                    <pic:cNvPicPr>
                      <a:picLocks noChangeAspect="1" noChangeArrowheads="1"/>
                    </pic:cNvPicPr>
                  </pic:nvPicPr>
                  <pic:blipFill>
                    <a:blip r:embed="rId29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-144780</wp:posOffset>
            </wp:positionV>
            <wp:extent cx="8255" cy="8255"/>
            <wp:wrapNone/>
            <wp:docPr id="2907" name="Picture 2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7"/>
                    <pic:cNvPicPr>
                      <a:picLocks noChangeAspect="1" noChangeArrowheads="1"/>
                    </pic:cNvPicPr>
                  </pic:nvPicPr>
                  <pic:blipFill>
                    <a:blip r:embed="rId29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-144780</wp:posOffset>
            </wp:positionV>
            <wp:extent cx="8890" cy="8255"/>
            <wp:wrapNone/>
            <wp:docPr id="2908" name="Picture 2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8"/>
                    <pic:cNvPicPr>
                      <a:picLocks noChangeAspect="1" noChangeArrowheads="1"/>
                    </pic:cNvPicPr>
                  </pic:nvPicPr>
                  <pic:blipFill>
                    <a:blip r:embed="rId29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-144780</wp:posOffset>
            </wp:positionV>
            <wp:extent cx="8890" cy="8255"/>
            <wp:wrapNone/>
            <wp:docPr id="2909" name="Picture 2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9"/>
                    <pic:cNvPicPr>
                      <a:picLocks noChangeAspect="1" noChangeArrowheads="1"/>
                    </pic:cNvPicPr>
                  </pic:nvPicPr>
                  <pic:blipFill>
                    <a:blip r:embed="rId29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-144780</wp:posOffset>
            </wp:positionV>
            <wp:extent cx="8255" cy="8255"/>
            <wp:wrapNone/>
            <wp:docPr id="2910" name="Picture 2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0"/>
                    <pic:cNvPicPr>
                      <a:picLocks noChangeAspect="1" noChangeArrowheads="1"/>
                    </pic:cNvPicPr>
                  </pic:nvPicPr>
                  <pic:blipFill>
                    <a:blip r:embed="rId29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-144780</wp:posOffset>
            </wp:positionV>
            <wp:extent cx="8255" cy="8255"/>
            <wp:wrapNone/>
            <wp:docPr id="2911" name="Picture 2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1"/>
                    <pic:cNvPicPr>
                      <a:picLocks noChangeAspect="1" noChangeArrowheads="1"/>
                    </pic:cNvPicPr>
                  </pic:nvPicPr>
                  <pic:blipFill>
                    <a:blip r:embed="rId29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-144780</wp:posOffset>
            </wp:positionV>
            <wp:extent cx="8255" cy="8255"/>
            <wp:wrapNone/>
            <wp:docPr id="2912" name="Picture 2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2"/>
                    <pic:cNvPicPr>
                      <a:picLocks noChangeAspect="1" noChangeArrowheads="1"/>
                    </pic:cNvPicPr>
                  </pic:nvPicPr>
                  <pic:blipFill>
                    <a:blip r:embed="rId29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-144780</wp:posOffset>
            </wp:positionV>
            <wp:extent cx="8890" cy="8255"/>
            <wp:wrapNone/>
            <wp:docPr id="2913" name="Picture 2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3"/>
                    <pic:cNvPicPr>
                      <a:picLocks noChangeAspect="1" noChangeArrowheads="1"/>
                    </pic:cNvPicPr>
                  </pic:nvPicPr>
                  <pic:blipFill>
                    <a:blip r:embed="rId29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-144780</wp:posOffset>
            </wp:positionV>
            <wp:extent cx="8890" cy="8255"/>
            <wp:wrapNone/>
            <wp:docPr id="2914" name="Picture 2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4"/>
                    <pic:cNvPicPr>
                      <a:picLocks noChangeAspect="1" noChangeArrowheads="1"/>
                    </pic:cNvPicPr>
                  </pic:nvPicPr>
                  <pic:blipFill>
                    <a:blip r:embed="rId29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-144780</wp:posOffset>
            </wp:positionV>
            <wp:extent cx="8255" cy="8255"/>
            <wp:wrapNone/>
            <wp:docPr id="2915" name="Picture 2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5"/>
                    <pic:cNvPicPr>
                      <a:picLocks noChangeAspect="1" noChangeArrowheads="1"/>
                    </pic:cNvPicPr>
                  </pic:nvPicPr>
                  <pic:blipFill>
                    <a:blip r:embed="rId29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-144780</wp:posOffset>
            </wp:positionV>
            <wp:extent cx="8255" cy="8255"/>
            <wp:wrapNone/>
            <wp:docPr id="2916" name="Picture 2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6"/>
                    <pic:cNvPicPr>
                      <a:picLocks noChangeAspect="1" noChangeArrowheads="1"/>
                    </pic:cNvPicPr>
                  </pic:nvPicPr>
                  <pic:blipFill>
                    <a:blip r:embed="rId29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-144780</wp:posOffset>
            </wp:positionV>
            <wp:extent cx="8255" cy="8255"/>
            <wp:wrapNone/>
            <wp:docPr id="2917" name="Picture 2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7"/>
                    <pic:cNvPicPr>
                      <a:picLocks noChangeAspect="1" noChangeArrowheads="1"/>
                    </pic:cNvPicPr>
                  </pic:nvPicPr>
                  <pic:blipFill>
                    <a:blip r:embed="rId29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-144780</wp:posOffset>
            </wp:positionV>
            <wp:extent cx="8890" cy="8255"/>
            <wp:wrapNone/>
            <wp:docPr id="2918" name="Picture 2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8"/>
                    <pic:cNvPicPr>
                      <a:picLocks noChangeAspect="1" noChangeArrowheads="1"/>
                    </pic:cNvPicPr>
                  </pic:nvPicPr>
                  <pic:blipFill>
                    <a:blip r:embed="rId29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-144780</wp:posOffset>
            </wp:positionV>
            <wp:extent cx="8890" cy="8255"/>
            <wp:wrapNone/>
            <wp:docPr id="2919" name="Picture 2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9"/>
                    <pic:cNvPicPr>
                      <a:picLocks noChangeAspect="1" noChangeArrowheads="1"/>
                    </pic:cNvPicPr>
                  </pic:nvPicPr>
                  <pic:blipFill>
                    <a:blip r:embed="rId29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-144780</wp:posOffset>
            </wp:positionV>
            <wp:extent cx="8255" cy="8255"/>
            <wp:wrapNone/>
            <wp:docPr id="2920" name="Picture 2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0"/>
                    <pic:cNvPicPr>
                      <a:picLocks noChangeAspect="1" noChangeArrowheads="1"/>
                    </pic:cNvPicPr>
                  </pic:nvPicPr>
                  <pic:blipFill>
                    <a:blip r:embed="rId29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-144780</wp:posOffset>
            </wp:positionV>
            <wp:extent cx="8255" cy="8255"/>
            <wp:wrapNone/>
            <wp:docPr id="2921" name="Picture 2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1"/>
                    <pic:cNvPicPr>
                      <a:picLocks noChangeAspect="1" noChangeArrowheads="1"/>
                    </pic:cNvPicPr>
                  </pic:nvPicPr>
                  <pic:blipFill>
                    <a:blip r:embed="rId29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-144780</wp:posOffset>
            </wp:positionV>
            <wp:extent cx="8890" cy="8255"/>
            <wp:wrapNone/>
            <wp:docPr id="2922" name="Picture 2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2"/>
                    <pic:cNvPicPr>
                      <a:picLocks noChangeAspect="1" noChangeArrowheads="1"/>
                    </pic:cNvPicPr>
                  </pic:nvPicPr>
                  <pic:blipFill>
                    <a:blip r:embed="rId29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-144780</wp:posOffset>
            </wp:positionV>
            <wp:extent cx="8890" cy="8255"/>
            <wp:wrapNone/>
            <wp:docPr id="2923" name="Picture 2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3"/>
                    <pic:cNvPicPr>
                      <a:picLocks noChangeAspect="1" noChangeArrowheads="1"/>
                    </pic:cNvPicPr>
                  </pic:nvPicPr>
                  <pic:blipFill>
                    <a:blip r:embed="rId29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-144780</wp:posOffset>
            </wp:positionV>
            <wp:extent cx="8255" cy="8255"/>
            <wp:wrapNone/>
            <wp:docPr id="2924" name="Picture 2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4"/>
                    <pic:cNvPicPr>
                      <a:picLocks noChangeAspect="1" noChangeArrowheads="1"/>
                    </pic:cNvPicPr>
                  </pic:nvPicPr>
                  <pic:blipFill>
                    <a:blip r:embed="rId29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-144780</wp:posOffset>
            </wp:positionV>
            <wp:extent cx="8255" cy="8255"/>
            <wp:wrapNone/>
            <wp:docPr id="2925" name="Picture 2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5"/>
                    <pic:cNvPicPr>
                      <a:picLocks noChangeAspect="1" noChangeArrowheads="1"/>
                    </pic:cNvPicPr>
                  </pic:nvPicPr>
                  <pic:blipFill>
                    <a:blip r:embed="rId29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-144780</wp:posOffset>
            </wp:positionV>
            <wp:extent cx="8255" cy="8255"/>
            <wp:wrapNone/>
            <wp:docPr id="2926" name="Picture 2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6"/>
                    <pic:cNvPicPr>
                      <a:picLocks noChangeAspect="1" noChangeArrowheads="1"/>
                    </pic:cNvPicPr>
                  </pic:nvPicPr>
                  <pic:blipFill>
                    <a:blip r:embed="rId29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-144780</wp:posOffset>
            </wp:positionV>
            <wp:extent cx="8890" cy="8255"/>
            <wp:wrapNone/>
            <wp:docPr id="2927" name="Picture 2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7"/>
                    <pic:cNvPicPr>
                      <a:picLocks noChangeAspect="1" noChangeArrowheads="1"/>
                    </pic:cNvPicPr>
                  </pic:nvPicPr>
                  <pic:blipFill>
                    <a:blip r:embed="rId29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-144780</wp:posOffset>
            </wp:positionV>
            <wp:extent cx="8890" cy="8255"/>
            <wp:wrapNone/>
            <wp:docPr id="2928" name="Picture 2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8"/>
                    <pic:cNvPicPr>
                      <a:picLocks noChangeAspect="1" noChangeArrowheads="1"/>
                    </pic:cNvPicPr>
                  </pic:nvPicPr>
                  <pic:blipFill>
                    <a:blip r:embed="rId29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-144780</wp:posOffset>
            </wp:positionV>
            <wp:extent cx="8255" cy="8255"/>
            <wp:wrapNone/>
            <wp:docPr id="2929" name="Picture 2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9"/>
                    <pic:cNvPicPr>
                      <a:picLocks noChangeAspect="1" noChangeArrowheads="1"/>
                    </pic:cNvPicPr>
                  </pic:nvPicPr>
                  <pic:blipFill>
                    <a:blip r:embed="rId29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-144780</wp:posOffset>
            </wp:positionV>
            <wp:extent cx="8255" cy="8255"/>
            <wp:wrapNone/>
            <wp:docPr id="2930" name="Picture 2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0"/>
                    <pic:cNvPicPr>
                      <a:picLocks noChangeAspect="1" noChangeArrowheads="1"/>
                    </pic:cNvPicPr>
                  </pic:nvPicPr>
                  <pic:blipFill>
                    <a:blip r:embed="rId29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-144780</wp:posOffset>
            </wp:positionV>
            <wp:extent cx="8255" cy="8255"/>
            <wp:wrapNone/>
            <wp:docPr id="2931" name="Picture 2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1"/>
                    <pic:cNvPicPr>
                      <a:picLocks noChangeAspect="1" noChangeArrowheads="1"/>
                    </pic:cNvPicPr>
                  </pic:nvPicPr>
                  <pic:blipFill>
                    <a:blip r:embed="rId29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-144780</wp:posOffset>
            </wp:positionV>
            <wp:extent cx="8890" cy="8255"/>
            <wp:wrapNone/>
            <wp:docPr id="2932" name="Picture 2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2"/>
                    <pic:cNvPicPr>
                      <a:picLocks noChangeAspect="1" noChangeArrowheads="1"/>
                    </pic:cNvPicPr>
                  </pic:nvPicPr>
                  <pic:blipFill>
                    <a:blip r:embed="rId29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-144780</wp:posOffset>
            </wp:positionV>
            <wp:extent cx="8890" cy="8255"/>
            <wp:wrapNone/>
            <wp:docPr id="2933" name="Picture 2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3"/>
                    <pic:cNvPicPr>
                      <a:picLocks noChangeAspect="1" noChangeArrowheads="1"/>
                    </pic:cNvPicPr>
                  </pic:nvPicPr>
                  <pic:blipFill>
                    <a:blip r:embed="rId29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-144780</wp:posOffset>
            </wp:positionV>
            <wp:extent cx="8255" cy="8255"/>
            <wp:wrapNone/>
            <wp:docPr id="2934" name="Picture 2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4"/>
                    <pic:cNvPicPr>
                      <a:picLocks noChangeAspect="1" noChangeArrowheads="1"/>
                    </pic:cNvPicPr>
                  </pic:nvPicPr>
                  <pic:blipFill>
                    <a:blip r:embed="rId29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-144780</wp:posOffset>
            </wp:positionV>
            <wp:extent cx="8255" cy="8255"/>
            <wp:wrapNone/>
            <wp:docPr id="2935" name="Picture 2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5"/>
                    <pic:cNvPicPr>
                      <a:picLocks noChangeAspect="1" noChangeArrowheads="1"/>
                    </pic:cNvPicPr>
                  </pic:nvPicPr>
                  <pic:blipFill>
                    <a:blip r:embed="rId29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-144780</wp:posOffset>
            </wp:positionV>
            <wp:extent cx="8255" cy="8255"/>
            <wp:wrapNone/>
            <wp:docPr id="2936" name="Picture 2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6"/>
                    <pic:cNvPicPr>
                      <a:picLocks noChangeAspect="1" noChangeArrowheads="1"/>
                    </pic:cNvPicPr>
                  </pic:nvPicPr>
                  <pic:blipFill>
                    <a:blip r:embed="rId29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-144780</wp:posOffset>
            </wp:positionV>
            <wp:extent cx="8890" cy="8255"/>
            <wp:wrapNone/>
            <wp:docPr id="2937" name="Picture 2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7"/>
                    <pic:cNvPicPr>
                      <a:picLocks noChangeAspect="1" noChangeArrowheads="1"/>
                    </pic:cNvPicPr>
                  </pic:nvPicPr>
                  <pic:blipFill>
                    <a:blip r:embed="rId29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-144780</wp:posOffset>
            </wp:positionV>
            <wp:extent cx="8890" cy="8255"/>
            <wp:wrapNone/>
            <wp:docPr id="2938" name="Picture 2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8"/>
                    <pic:cNvPicPr>
                      <a:picLocks noChangeAspect="1" noChangeArrowheads="1"/>
                    </pic:cNvPicPr>
                  </pic:nvPicPr>
                  <pic:blipFill>
                    <a:blip r:embed="rId29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-144780</wp:posOffset>
            </wp:positionV>
            <wp:extent cx="8255" cy="8255"/>
            <wp:wrapNone/>
            <wp:docPr id="2939" name="Picture 2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9"/>
                    <pic:cNvPicPr>
                      <a:picLocks noChangeAspect="1" noChangeArrowheads="1"/>
                    </pic:cNvPicPr>
                  </pic:nvPicPr>
                  <pic:blipFill>
                    <a:blip r:embed="rId29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-144780</wp:posOffset>
            </wp:positionV>
            <wp:extent cx="8255" cy="8255"/>
            <wp:wrapNone/>
            <wp:docPr id="2940" name="Picture 2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0"/>
                    <pic:cNvPicPr>
                      <a:picLocks noChangeAspect="1" noChangeArrowheads="1"/>
                    </pic:cNvPicPr>
                  </pic:nvPicPr>
                  <pic:blipFill>
                    <a:blip r:embed="rId29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-144780</wp:posOffset>
            </wp:positionV>
            <wp:extent cx="8255" cy="8255"/>
            <wp:wrapNone/>
            <wp:docPr id="2941" name="Picture 2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1"/>
                    <pic:cNvPicPr>
                      <a:picLocks noChangeAspect="1" noChangeArrowheads="1"/>
                    </pic:cNvPicPr>
                  </pic:nvPicPr>
                  <pic:blipFill>
                    <a:blip r:embed="rId29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-144780</wp:posOffset>
            </wp:positionV>
            <wp:extent cx="8890" cy="8255"/>
            <wp:wrapNone/>
            <wp:docPr id="2942" name="Picture 2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2"/>
                    <pic:cNvPicPr>
                      <a:picLocks noChangeAspect="1" noChangeArrowheads="1"/>
                    </pic:cNvPicPr>
                  </pic:nvPicPr>
                  <pic:blipFill>
                    <a:blip r:embed="rId29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-144780</wp:posOffset>
            </wp:positionV>
            <wp:extent cx="8890" cy="8255"/>
            <wp:wrapNone/>
            <wp:docPr id="2943" name="Picture 2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3"/>
                    <pic:cNvPicPr>
                      <a:picLocks noChangeAspect="1" noChangeArrowheads="1"/>
                    </pic:cNvPicPr>
                  </pic:nvPicPr>
                  <pic:blipFill>
                    <a:blip r:embed="rId29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-144780</wp:posOffset>
            </wp:positionV>
            <wp:extent cx="8255" cy="8255"/>
            <wp:wrapNone/>
            <wp:docPr id="2944" name="Picture 2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4"/>
                    <pic:cNvPicPr>
                      <a:picLocks noChangeAspect="1" noChangeArrowheads="1"/>
                    </pic:cNvPicPr>
                  </pic:nvPicPr>
                  <pic:blipFill>
                    <a:blip r:embed="rId29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-144780</wp:posOffset>
            </wp:positionV>
            <wp:extent cx="8255" cy="8255"/>
            <wp:wrapNone/>
            <wp:docPr id="2945" name="Picture 2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5"/>
                    <pic:cNvPicPr>
                      <a:picLocks noChangeAspect="1" noChangeArrowheads="1"/>
                    </pic:cNvPicPr>
                  </pic:nvPicPr>
                  <pic:blipFill>
                    <a:blip r:embed="rId29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-144780</wp:posOffset>
            </wp:positionV>
            <wp:extent cx="8255" cy="8255"/>
            <wp:wrapNone/>
            <wp:docPr id="2946" name="Picture 2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6"/>
                    <pic:cNvPicPr>
                      <a:picLocks noChangeAspect="1" noChangeArrowheads="1"/>
                    </pic:cNvPicPr>
                  </pic:nvPicPr>
                  <pic:blipFill>
                    <a:blip r:embed="rId29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-144780</wp:posOffset>
            </wp:positionV>
            <wp:extent cx="8890" cy="8255"/>
            <wp:wrapNone/>
            <wp:docPr id="2947" name="Picture 2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7"/>
                    <pic:cNvPicPr>
                      <a:picLocks noChangeAspect="1" noChangeArrowheads="1"/>
                    </pic:cNvPicPr>
                  </pic:nvPicPr>
                  <pic:blipFill>
                    <a:blip r:embed="rId29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-144780</wp:posOffset>
            </wp:positionV>
            <wp:extent cx="8890" cy="8255"/>
            <wp:wrapNone/>
            <wp:docPr id="2948" name="Picture 2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8"/>
                    <pic:cNvPicPr>
                      <a:picLocks noChangeAspect="1" noChangeArrowheads="1"/>
                    </pic:cNvPicPr>
                  </pic:nvPicPr>
                  <pic:blipFill>
                    <a:blip r:embed="rId29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-144780</wp:posOffset>
            </wp:positionV>
            <wp:extent cx="8255" cy="8255"/>
            <wp:wrapNone/>
            <wp:docPr id="2949" name="Picture 2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9"/>
                    <pic:cNvPicPr>
                      <a:picLocks noChangeAspect="1" noChangeArrowheads="1"/>
                    </pic:cNvPicPr>
                  </pic:nvPicPr>
                  <pic:blipFill>
                    <a:blip r:embed="rId29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-144780</wp:posOffset>
            </wp:positionV>
            <wp:extent cx="8255" cy="8255"/>
            <wp:wrapNone/>
            <wp:docPr id="2950" name="Picture 2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0"/>
                    <pic:cNvPicPr>
                      <a:picLocks noChangeAspect="1" noChangeArrowheads="1"/>
                    </pic:cNvPicPr>
                  </pic:nvPicPr>
                  <pic:blipFill>
                    <a:blip r:embed="rId29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-144780</wp:posOffset>
            </wp:positionV>
            <wp:extent cx="8255" cy="8255"/>
            <wp:wrapNone/>
            <wp:docPr id="2951" name="Picture 2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1"/>
                    <pic:cNvPicPr>
                      <a:picLocks noChangeAspect="1" noChangeArrowheads="1"/>
                    </pic:cNvPicPr>
                  </pic:nvPicPr>
                  <pic:blipFill>
                    <a:blip r:embed="rId29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-144780</wp:posOffset>
            </wp:positionV>
            <wp:extent cx="8890" cy="8255"/>
            <wp:wrapNone/>
            <wp:docPr id="2952" name="Picture 2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2"/>
                    <pic:cNvPicPr>
                      <a:picLocks noChangeAspect="1" noChangeArrowheads="1"/>
                    </pic:cNvPicPr>
                  </pic:nvPicPr>
                  <pic:blipFill>
                    <a:blip r:embed="rId29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-144780</wp:posOffset>
            </wp:positionV>
            <wp:extent cx="8890" cy="8255"/>
            <wp:wrapNone/>
            <wp:docPr id="2953" name="Picture 2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3"/>
                    <pic:cNvPicPr>
                      <a:picLocks noChangeAspect="1" noChangeArrowheads="1"/>
                    </pic:cNvPicPr>
                  </pic:nvPicPr>
                  <pic:blipFill>
                    <a:blip r:embed="rId29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-144780</wp:posOffset>
            </wp:positionV>
            <wp:extent cx="8255" cy="8255"/>
            <wp:wrapNone/>
            <wp:docPr id="2954" name="Picture 2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4"/>
                    <pic:cNvPicPr>
                      <a:picLocks noChangeAspect="1" noChangeArrowheads="1"/>
                    </pic:cNvPicPr>
                  </pic:nvPicPr>
                  <pic:blipFill>
                    <a:blip r:embed="rId29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-144780</wp:posOffset>
            </wp:positionV>
            <wp:extent cx="8255" cy="8255"/>
            <wp:wrapNone/>
            <wp:docPr id="2955" name="Picture 2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5"/>
                    <pic:cNvPicPr>
                      <a:picLocks noChangeAspect="1" noChangeArrowheads="1"/>
                    </pic:cNvPicPr>
                  </pic:nvPicPr>
                  <pic:blipFill>
                    <a:blip r:embed="rId29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-144780</wp:posOffset>
            </wp:positionV>
            <wp:extent cx="8255" cy="8255"/>
            <wp:wrapNone/>
            <wp:docPr id="2956" name="Picture 2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6"/>
                    <pic:cNvPicPr>
                      <a:picLocks noChangeAspect="1" noChangeArrowheads="1"/>
                    </pic:cNvPicPr>
                  </pic:nvPicPr>
                  <pic:blipFill>
                    <a:blip r:embed="rId29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-144780</wp:posOffset>
            </wp:positionV>
            <wp:extent cx="8890" cy="8255"/>
            <wp:wrapNone/>
            <wp:docPr id="2957" name="Picture 2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7"/>
                    <pic:cNvPicPr>
                      <a:picLocks noChangeAspect="1" noChangeArrowheads="1"/>
                    </pic:cNvPicPr>
                  </pic:nvPicPr>
                  <pic:blipFill>
                    <a:blip r:embed="rId29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-144780</wp:posOffset>
            </wp:positionV>
            <wp:extent cx="8890" cy="8255"/>
            <wp:wrapNone/>
            <wp:docPr id="2958" name="Picture 2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8"/>
                    <pic:cNvPicPr>
                      <a:picLocks noChangeAspect="1" noChangeArrowheads="1"/>
                    </pic:cNvPicPr>
                  </pic:nvPicPr>
                  <pic:blipFill>
                    <a:blip r:embed="rId29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-144780</wp:posOffset>
            </wp:positionV>
            <wp:extent cx="8255" cy="8255"/>
            <wp:wrapNone/>
            <wp:docPr id="2959" name="Picture 2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9"/>
                    <pic:cNvPicPr>
                      <a:picLocks noChangeAspect="1" noChangeArrowheads="1"/>
                    </pic:cNvPicPr>
                  </pic:nvPicPr>
                  <pic:blipFill>
                    <a:blip r:embed="rId29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-144780</wp:posOffset>
            </wp:positionV>
            <wp:extent cx="8255" cy="8255"/>
            <wp:wrapNone/>
            <wp:docPr id="2960" name="Picture 2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0"/>
                    <pic:cNvPicPr>
                      <a:picLocks noChangeAspect="1" noChangeArrowheads="1"/>
                    </pic:cNvPicPr>
                  </pic:nvPicPr>
                  <pic:blipFill>
                    <a:blip r:embed="rId29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-144780</wp:posOffset>
            </wp:positionV>
            <wp:extent cx="8890" cy="8255"/>
            <wp:wrapNone/>
            <wp:docPr id="2961" name="Picture 2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1"/>
                    <pic:cNvPicPr>
                      <a:picLocks noChangeAspect="1" noChangeArrowheads="1"/>
                    </pic:cNvPicPr>
                  </pic:nvPicPr>
                  <pic:blipFill>
                    <a:blip r:embed="rId29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-144780</wp:posOffset>
            </wp:positionV>
            <wp:extent cx="8890" cy="8255"/>
            <wp:wrapNone/>
            <wp:docPr id="2962" name="Picture 2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2"/>
                    <pic:cNvPicPr>
                      <a:picLocks noChangeAspect="1" noChangeArrowheads="1"/>
                    </pic:cNvPicPr>
                  </pic:nvPicPr>
                  <pic:blipFill>
                    <a:blip r:embed="rId29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-144780</wp:posOffset>
            </wp:positionV>
            <wp:extent cx="8255" cy="8255"/>
            <wp:wrapNone/>
            <wp:docPr id="2963" name="Picture 2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3"/>
                    <pic:cNvPicPr>
                      <a:picLocks noChangeAspect="1" noChangeArrowheads="1"/>
                    </pic:cNvPicPr>
                  </pic:nvPicPr>
                  <pic:blipFill>
                    <a:blip r:embed="rId29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-144780</wp:posOffset>
            </wp:positionV>
            <wp:extent cx="8255" cy="8255"/>
            <wp:wrapNone/>
            <wp:docPr id="2964" name="Picture 2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4"/>
                    <pic:cNvPicPr>
                      <a:picLocks noChangeAspect="1" noChangeArrowheads="1"/>
                    </pic:cNvPicPr>
                  </pic:nvPicPr>
                  <pic:blipFill>
                    <a:blip r:embed="rId29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-144780</wp:posOffset>
            </wp:positionV>
            <wp:extent cx="8255" cy="8255"/>
            <wp:wrapNone/>
            <wp:docPr id="2965" name="Picture 2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5"/>
                    <pic:cNvPicPr>
                      <a:picLocks noChangeAspect="1" noChangeArrowheads="1"/>
                    </pic:cNvPicPr>
                  </pic:nvPicPr>
                  <pic:blipFill>
                    <a:blip r:embed="rId29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-144780</wp:posOffset>
            </wp:positionV>
            <wp:extent cx="8890" cy="8255"/>
            <wp:wrapNone/>
            <wp:docPr id="2966" name="Picture 2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6"/>
                    <pic:cNvPicPr>
                      <a:picLocks noChangeAspect="1" noChangeArrowheads="1"/>
                    </pic:cNvPicPr>
                  </pic:nvPicPr>
                  <pic:blipFill>
                    <a:blip r:embed="rId29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-144780</wp:posOffset>
            </wp:positionV>
            <wp:extent cx="8890" cy="8255"/>
            <wp:wrapNone/>
            <wp:docPr id="2967" name="Picture 2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7"/>
                    <pic:cNvPicPr>
                      <a:picLocks noChangeAspect="1" noChangeArrowheads="1"/>
                    </pic:cNvPicPr>
                  </pic:nvPicPr>
                  <pic:blipFill>
                    <a:blip r:embed="rId29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-144780</wp:posOffset>
            </wp:positionV>
            <wp:extent cx="8255" cy="8255"/>
            <wp:wrapNone/>
            <wp:docPr id="2968" name="Picture 2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8"/>
                    <pic:cNvPicPr>
                      <a:picLocks noChangeAspect="1" noChangeArrowheads="1"/>
                    </pic:cNvPicPr>
                  </pic:nvPicPr>
                  <pic:blipFill>
                    <a:blip r:embed="rId29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-144780</wp:posOffset>
            </wp:positionV>
            <wp:extent cx="8255" cy="8255"/>
            <wp:wrapNone/>
            <wp:docPr id="2969" name="Picture 2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9"/>
                    <pic:cNvPicPr>
                      <a:picLocks noChangeAspect="1" noChangeArrowheads="1"/>
                    </pic:cNvPicPr>
                  </pic:nvPicPr>
                  <pic:blipFill>
                    <a:blip r:embed="rId29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-144780</wp:posOffset>
            </wp:positionV>
            <wp:extent cx="8255" cy="8255"/>
            <wp:wrapNone/>
            <wp:docPr id="2970" name="Picture 2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0"/>
                    <pic:cNvPicPr>
                      <a:picLocks noChangeAspect="1" noChangeArrowheads="1"/>
                    </pic:cNvPicPr>
                  </pic:nvPicPr>
                  <pic:blipFill>
                    <a:blip r:embed="rId29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-144780</wp:posOffset>
            </wp:positionV>
            <wp:extent cx="8890" cy="8255"/>
            <wp:wrapNone/>
            <wp:docPr id="2971" name="Picture 2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1"/>
                    <pic:cNvPicPr>
                      <a:picLocks noChangeAspect="1" noChangeArrowheads="1"/>
                    </pic:cNvPicPr>
                  </pic:nvPicPr>
                  <pic:blipFill>
                    <a:blip r:embed="rId29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-144780</wp:posOffset>
            </wp:positionV>
            <wp:extent cx="8890" cy="8255"/>
            <wp:wrapNone/>
            <wp:docPr id="2972" name="Picture 2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2"/>
                    <pic:cNvPicPr>
                      <a:picLocks noChangeAspect="1" noChangeArrowheads="1"/>
                    </pic:cNvPicPr>
                  </pic:nvPicPr>
                  <pic:blipFill>
                    <a:blip r:embed="rId29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-144780</wp:posOffset>
            </wp:positionV>
            <wp:extent cx="8255" cy="8255"/>
            <wp:wrapNone/>
            <wp:docPr id="2973" name="Picture 2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3"/>
                    <pic:cNvPicPr>
                      <a:picLocks noChangeAspect="1" noChangeArrowheads="1"/>
                    </pic:cNvPicPr>
                  </pic:nvPicPr>
                  <pic:blipFill>
                    <a:blip r:embed="rId29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-144780</wp:posOffset>
            </wp:positionV>
            <wp:extent cx="8255" cy="8255"/>
            <wp:wrapNone/>
            <wp:docPr id="2974" name="Picture 2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4"/>
                    <pic:cNvPicPr>
                      <a:picLocks noChangeAspect="1" noChangeArrowheads="1"/>
                    </pic:cNvPicPr>
                  </pic:nvPicPr>
                  <pic:blipFill>
                    <a:blip r:embed="rId29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-144780</wp:posOffset>
            </wp:positionV>
            <wp:extent cx="8255" cy="8255"/>
            <wp:wrapNone/>
            <wp:docPr id="2975" name="Picture 2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5"/>
                    <pic:cNvPicPr>
                      <a:picLocks noChangeAspect="1" noChangeArrowheads="1"/>
                    </pic:cNvPicPr>
                  </pic:nvPicPr>
                  <pic:blipFill>
                    <a:blip r:embed="rId29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-144780</wp:posOffset>
            </wp:positionV>
            <wp:extent cx="8890" cy="8255"/>
            <wp:wrapNone/>
            <wp:docPr id="2976" name="Picture 2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6"/>
                    <pic:cNvPicPr>
                      <a:picLocks noChangeAspect="1" noChangeArrowheads="1"/>
                    </pic:cNvPicPr>
                  </pic:nvPicPr>
                  <pic:blipFill>
                    <a:blip r:embed="rId29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-144780</wp:posOffset>
            </wp:positionV>
            <wp:extent cx="8890" cy="8255"/>
            <wp:wrapNone/>
            <wp:docPr id="2977" name="Picture 2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7"/>
                    <pic:cNvPicPr>
                      <a:picLocks noChangeAspect="1" noChangeArrowheads="1"/>
                    </pic:cNvPicPr>
                  </pic:nvPicPr>
                  <pic:blipFill>
                    <a:blip r:embed="rId29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-144780</wp:posOffset>
            </wp:positionV>
            <wp:extent cx="8255" cy="8255"/>
            <wp:wrapNone/>
            <wp:docPr id="2978" name="Picture 2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8"/>
                    <pic:cNvPicPr>
                      <a:picLocks noChangeAspect="1" noChangeArrowheads="1"/>
                    </pic:cNvPicPr>
                  </pic:nvPicPr>
                  <pic:blipFill>
                    <a:blip r:embed="rId29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-144780</wp:posOffset>
            </wp:positionV>
            <wp:extent cx="8255" cy="8255"/>
            <wp:wrapNone/>
            <wp:docPr id="2979" name="Picture 2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9"/>
                    <pic:cNvPicPr>
                      <a:picLocks noChangeAspect="1" noChangeArrowheads="1"/>
                    </pic:cNvPicPr>
                  </pic:nvPicPr>
                  <pic:blipFill>
                    <a:blip r:embed="rId29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-144780</wp:posOffset>
            </wp:positionV>
            <wp:extent cx="8255" cy="8255"/>
            <wp:wrapNone/>
            <wp:docPr id="2980" name="Picture 2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0"/>
                    <pic:cNvPicPr>
                      <a:picLocks noChangeAspect="1" noChangeArrowheads="1"/>
                    </pic:cNvPicPr>
                  </pic:nvPicPr>
                  <pic:blipFill>
                    <a:blip r:embed="rId29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-144780</wp:posOffset>
            </wp:positionV>
            <wp:extent cx="8890" cy="8255"/>
            <wp:wrapNone/>
            <wp:docPr id="2981" name="Picture 2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1"/>
                    <pic:cNvPicPr>
                      <a:picLocks noChangeAspect="1" noChangeArrowheads="1"/>
                    </pic:cNvPicPr>
                  </pic:nvPicPr>
                  <pic:blipFill>
                    <a:blip r:embed="rId29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-144780</wp:posOffset>
            </wp:positionV>
            <wp:extent cx="8890" cy="8255"/>
            <wp:wrapNone/>
            <wp:docPr id="2982" name="Picture 2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2"/>
                    <pic:cNvPicPr>
                      <a:picLocks noChangeAspect="1" noChangeArrowheads="1"/>
                    </pic:cNvPicPr>
                  </pic:nvPicPr>
                  <pic:blipFill>
                    <a:blip r:embed="rId29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-144780</wp:posOffset>
            </wp:positionV>
            <wp:extent cx="8255" cy="8255"/>
            <wp:wrapNone/>
            <wp:docPr id="2983" name="Picture 2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3"/>
                    <pic:cNvPicPr>
                      <a:picLocks noChangeAspect="1" noChangeArrowheads="1"/>
                    </pic:cNvPicPr>
                  </pic:nvPicPr>
                  <pic:blipFill>
                    <a:blip r:embed="rId29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-144780</wp:posOffset>
            </wp:positionV>
            <wp:extent cx="8255" cy="8255"/>
            <wp:wrapNone/>
            <wp:docPr id="2984" name="Picture 2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4"/>
                    <pic:cNvPicPr>
                      <a:picLocks noChangeAspect="1" noChangeArrowheads="1"/>
                    </pic:cNvPicPr>
                  </pic:nvPicPr>
                  <pic:blipFill>
                    <a:blip r:embed="rId29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-144780</wp:posOffset>
            </wp:positionV>
            <wp:extent cx="8255" cy="8255"/>
            <wp:wrapNone/>
            <wp:docPr id="2985" name="Picture 2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5"/>
                    <pic:cNvPicPr>
                      <a:picLocks noChangeAspect="1" noChangeArrowheads="1"/>
                    </pic:cNvPicPr>
                  </pic:nvPicPr>
                  <pic:blipFill>
                    <a:blip r:embed="rId29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-144780</wp:posOffset>
            </wp:positionV>
            <wp:extent cx="8890" cy="8255"/>
            <wp:wrapNone/>
            <wp:docPr id="2986" name="Picture 2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6"/>
                    <pic:cNvPicPr>
                      <a:picLocks noChangeAspect="1" noChangeArrowheads="1"/>
                    </pic:cNvPicPr>
                  </pic:nvPicPr>
                  <pic:blipFill>
                    <a:blip r:embed="rId29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-144780</wp:posOffset>
            </wp:positionV>
            <wp:extent cx="8890" cy="8255"/>
            <wp:wrapNone/>
            <wp:docPr id="2987" name="Picture 2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7"/>
                    <pic:cNvPicPr>
                      <a:picLocks noChangeAspect="1" noChangeArrowheads="1"/>
                    </pic:cNvPicPr>
                  </pic:nvPicPr>
                  <pic:blipFill>
                    <a:blip r:embed="rId29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-144780</wp:posOffset>
            </wp:positionV>
            <wp:extent cx="8255" cy="8255"/>
            <wp:wrapNone/>
            <wp:docPr id="2988" name="Picture 2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8"/>
                    <pic:cNvPicPr>
                      <a:picLocks noChangeAspect="1" noChangeArrowheads="1"/>
                    </pic:cNvPicPr>
                  </pic:nvPicPr>
                  <pic:blipFill>
                    <a:blip r:embed="rId29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-144780</wp:posOffset>
            </wp:positionV>
            <wp:extent cx="8255" cy="8255"/>
            <wp:wrapNone/>
            <wp:docPr id="2989" name="Picture 2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9"/>
                    <pic:cNvPicPr>
                      <a:picLocks noChangeAspect="1" noChangeArrowheads="1"/>
                    </pic:cNvPicPr>
                  </pic:nvPicPr>
                  <pic:blipFill>
                    <a:blip r:embed="rId29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-144780</wp:posOffset>
            </wp:positionV>
            <wp:extent cx="8255" cy="8255"/>
            <wp:wrapNone/>
            <wp:docPr id="2990" name="Picture 2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0"/>
                    <pic:cNvPicPr>
                      <a:picLocks noChangeAspect="1" noChangeArrowheads="1"/>
                    </pic:cNvPicPr>
                  </pic:nvPicPr>
                  <pic:blipFill>
                    <a:blip r:embed="rId29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-144780</wp:posOffset>
            </wp:positionV>
            <wp:extent cx="8890" cy="8255"/>
            <wp:wrapNone/>
            <wp:docPr id="2991" name="Picture 2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1"/>
                    <pic:cNvPicPr>
                      <a:picLocks noChangeAspect="1" noChangeArrowheads="1"/>
                    </pic:cNvPicPr>
                  </pic:nvPicPr>
                  <pic:blipFill>
                    <a:blip r:embed="rId29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-144780</wp:posOffset>
            </wp:positionV>
            <wp:extent cx="8890" cy="8255"/>
            <wp:wrapNone/>
            <wp:docPr id="2992" name="Picture 2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2"/>
                    <pic:cNvPicPr>
                      <a:picLocks noChangeAspect="1" noChangeArrowheads="1"/>
                    </pic:cNvPicPr>
                  </pic:nvPicPr>
                  <pic:blipFill>
                    <a:blip r:embed="rId29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-144780</wp:posOffset>
            </wp:positionV>
            <wp:extent cx="8255" cy="8255"/>
            <wp:wrapNone/>
            <wp:docPr id="2993" name="Picture 2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3"/>
                    <pic:cNvPicPr>
                      <a:picLocks noChangeAspect="1" noChangeArrowheads="1"/>
                    </pic:cNvPicPr>
                  </pic:nvPicPr>
                  <pic:blipFill>
                    <a:blip r:embed="rId30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-144780</wp:posOffset>
            </wp:positionV>
            <wp:extent cx="8255" cy="8255"/>
            <wp:wrapNone/>
            <wp:docPr id="2994" name="Picture 2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4"/>
                    <pic:cNvPicPr>
                      <a:picLocks noChangeAspect="1" noChangeArrowheads="1"/>
                    </pic:cNvPicPr>
                  </pic:nvPicPr>
                  <pic:blipFill>
                    <a:blip r:embed="rId30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-144780</wp:posOffset>
            </wp:positionV>
            <wp:extent cx="8255" cy="8255"/>
            <wp:wrapNone/>
            <wp:docPr id="2995" name="Picture 2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5"/>
                    <pic:cNvPicPr>
                      <a:picLocks noChangeAspect="1" noChangeArrowheads="1"/>
                    </pic:cNvPicPr>
                  </pic:nvPicPr>
                  <pic:blipFill>
                    <a:blip r:embed="rId30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-144780</wp:posOffset>
            </wp:positionV>
            <wp:extent cx="8890" cy="8255"/>
            <wp:wrapNone/>
            <wp:docPr id="2996" name="Picture 2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6"/>
                    <pic:cNvPicPr>
                      <a:picLocks noChangeAspect="1" noChangeArrowheads="1"/>
                    </pic:cNvPicPr>
                  </pic:nvPicPr>
                  <pic:blipFill>
                    <a:blip r:embed="rId30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-144780</wp:posOffset>
            </wp:positionV>
            <wp:extent cx="8890" cy="8255"/>
            <wp:wrapNone/>
            <wp:docPr id="2997" name="Picture 2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7"/>
                    <pic:cNvPicPr>
                      <a:picLocks noChangeAspect="1" noChangeArrowheads="1"/>
                    </pic:cNvPicPr>
                  </pic:nvPicPr>
                  <pic:blipFill>
                    <a:blip r:embed="rId30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-144780</wp:posOffset>
            </wp:positionV>
            <wp:extent cx="8255" cy="8255"/>
            <wp:wrapNone/>
            <wp:docPr id="2998" name="Picture 2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8"/>
                    <pic:cNvPicPr>
                      <a:picLocks noChangeAspect="1" noChangeArrowheads="1"/>
                    </pic:cNvPicPr>
                  </pic:nvPicPr>
                  <pic:blipFill>
                    <a:blip r:embed="rId30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-144780</wp:posOffset>
            </wp:positionV>
            <wp:extent cx="8255" cy="8255"/>
            <wp:wrapNone/>
            <wp:docPr id="2999" name="Picture 2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9"/>
                    <pic:cNvPicPr>
                      <a:picLocks noChangeAspect="1" noChangeArrowheads="1"/>
                    </pic:cNvPicPr>
                  </pic:nvPicPr>
                  <pic:blipFill>
                    <a:blip r:embed="rId30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-144780</wp:posOffset>
            </wp:positionV>
            <wp:extent cx="8255" cy="8255"/>
            <wp:wrapNone/>
            <wp:docPr id="3000" name="Picture 3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0"/>
                    <pic:cNvPicPr>
                      <a:picLocks noChangeAspect="1" noChangeArrowheads="1"/>
                    </pic:cNvPicPr>
                  </pic:nvPicPr>
                  <pic:blipFill>
                    <a:blip r:embed="rId30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-144780</wp:posOffset>
            </wp:positionV>
            <wp:extent cx="8890" cy="8255"/>
            <wp:wrapNone/>
            <wp:docPr id="3001" name="Picture 3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1"/>
                    <pic:cNvPicPr>
                      <a:picLocks noChangeAspect="1" noChangeArrowheads="1"/>
                    </pic:cNvPicPr>
                  </pic:nvPicPr>
                  <pic:blipFill>
                    <a:blip r:embed="rId30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-144780</wp:posOffset>
            </wp:positionV>
            <wp:extent cx="8255" cy="8255"/>
            <wp:wrapNone/>
            <wp:docPr id="3002" name="Picture 3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2"/>
                    <pic:cNvPicPr>
                      <a:picLocks noChangeAspect="1" noChangeArrowheads="1"/>
                    </pic:cNvPicPr>
                  </pic:nvPicPr>
                  <pic:blipFill>
                    <a:blip r:embed="rId30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-144780</wp:posOffset>
            </wp:positionV>
            <wp:extent cx="8255" cy="8255"/>
            <wp:wrapNone/>
            <wp:docPr id="3003" name="Picture 3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3"/>
                    <pic:cNvPicPr>
                      <a:picLocks noChangeAspect="1" noChangeArrowheads="1"/>
                    </pic:cNvPicPr>
                  </pic:nvPicPr>
                  <pic:blipFill>
                    <a:blip r:embed="rId30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-144780</wp:posOffset>
            </wp:positionV>
            <wp:extent cx="8255" cy="8255"/>
            <wp:wrapNone/>
            <wp:docPr id="3004" name="Picture 3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4"/>
                    <pic:cNvPicPr>
                      <a:picLocks noChangeAspect="1" noChangeArrowheads="1"/>
                    </pic:cNvPicPr>
                  </pic:nvPicPr>
                  <pic:blipFill>
                    <a:blip r:embed="rId30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-144780</wp:posOffset>
            </wp:positionV>
            <wp:extent cx="8890" cy="8255"/>
            <wp:wrapNone/>
            <wp:docPr id="3005" name="Picture 3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5"/>
                    <pic:cNvPicPr>
                      <a:picLocks noChangeAspect="1" noChangeArrowheads="1"/>
                    </pic:cNvPicPr>
                  </pic:nvPicPr>
                  <pic:blipFill>
                    <a:blip r:embed="rId30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-144780</wp:posOffset>
            </wp:positionV>
            <wp:extent cx="8890" cy="8255"/>
            <wp:wrapNone/>
            <wp:docPr id="3006" name="Picture 3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6"/>
                    <pic:cNvPicPr>
                      <a:picLocks noChangeAspect="1" noChangeArrowheads="1"/>
                    </pic:cNvPicPr>
                  </pic:nvPicPr>
                  <pic:blipFill>
                    <a:blip r:embed="rId30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-144780</wp:posOffset>
            </wp:positionV>
            <wp:extent cx="8255" cy="8255"/>
            <wp:wrapNone/>
            <wp:docPr id="3007" name="Picture 3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7"/>
                    <pic:cNvPicPr>
                      <a:picLocks noChangeAspect="1" noChangeArrowheads="1"/>
                    </pic:cNvPicPr>
                  </pic:nvPicPr>
                  <pic:blipFill>
                    <a:blip r:embed="rId30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-144780</wp:posOffset>
            </wp:positionV>
            <wp:extent cx="8255" cy="8255"/>
            <wp:wrapNone/>
            <wp:docPr id="3008" name="Picture 3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8"/>
                    <pic:cNvPicPr>
                      <a:picLocks noChangeAspect="1" noChangeArrowheads="1"/>
                    </pic:cNvPicPr>
                  </pic:nvPicPr>
                  <pic:blipFill>
                    <a:blip r:embed="rId30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-144780</wp:posOffset>
            </wp:positionV>
            <wp:extent cx="8255" cy="8255"/>
            <wp:wrapNone/>
            <wp:docPr id="3009" name="Picture 3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9"/>
                    <pic:cNvPicPr>
                      <a:picLocks noChangeAspect="1" noChangeArrowheads="1"/>
                    </pic:cNvPicPr>
                  </pic:nvPicPr>
                  <pic:blipFill>
                    <a:blip r:embed="rId30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-144780</wp:posOffset>
            </wp:positionV>
            <wp:extent cx="8890" cy="8255"/>
            <wp:wrapNone/>
            <wp:docPr id="3010" name="Picture 3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0"/>
                    <pic:cNvPicPr>
                      <a:picLocks noChangeAspect="1" noChangeArrowheads="1"/>
                    </pic:cNvPicPr>
                  </pic:nvPicPr>
                  <pic:blipFill>
                    <a:blip r:embed="rId30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-144780</wp:posOffset>
            </wp:positionV>
            <wp:extent cx="8890" cy="8255"/>
            <wp:wrapNone/>
            <wp:docPr id="3011" name="Picture 3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1"/>
                    <pic:cNvPicPr>
                      <a:picLocks noChangeAspect="1" noChangeArrowheads="1"/>
                    </pic:cNvPicPr>
                  </pic:nvPicPr>
                  <pic:blipFill>
                    <a:blip r:embed="rId30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-144780</wp:posOffset>
            </wp:positionV>
            <wp:extent cx="8255" cy="8255"/>
            <wp:wrapNone/>
            <wp:docPr id="3012" name="Picture 3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2"/>
                    <pic:cNvPicPr>
                      <a:picLocks noChangeAspect="1" noChangeArrowheads="1"/>
                    </pic:cNvPicPr>
                  </pic:nvPicPr>
                  <pic:blipFill>
                    <a:blip r:embed="rId30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-144780</wp:posOffset>
            </wp:positionV>
            <wp:extent cx="8255" cy="8255"/>
            <wp:wrapNone/>
            <wp:docPr id="3013" name="Picture 3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3"/>
                    <pic:cNvPicPr>
                      <a:picLocks noChangeAspect="1" noChangeArrowheads="1"/>
                    </pic:cNvPicPr>
                  </pic:nvPicPr>
                  <pic:blipFill>
                    <a:blip r:embed="rId30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-144780</wp:posOffset>
            </wp:positionV>
            <wp:extent cx="8255" cy="8255"/>
            <wp:wrapNone/>
            <wp:docPr id="3014" name="Picture 3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4"/>
                    <pic:cNvPicPr>
                      <a:picLocks noChangeAspect="1" noChangeArrowheads="1"/>
                    </pic:cNvPicPr>
                  </pic:nvPicPr>
                  <pic:blipFill>
                    <a:blip r:embed="rId30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-144780</wp:posOffset>
            </wp:positionV>
            <wp:extent cx="8890" cy="8255"/>
            <wp:wrapNone/>
            <wp:docPr id="3015" name="Picture 3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5"/>
                    <pic:cNvPicPr>
                      <a:picLocks noChangeAspect="1" noChangeArrowheads="1"/>
                    </pic:cNvPicPr>
                  </pic:nvPicPr>
                  <pic:blipFill>
                    <a:blip r:embed="rId30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-144780</wp:posOffset>
            </wp:positionV>
            <wp:extent cx="8890" cy="8255"/>
            <wp:wrapNone/>
            <wp:docPr id="3016" name="Picture 3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6"/>
                    <pic:cNvPicPr>
                      <a:picLocks noChangeAspect="1" noChangeArrowheads="1"/>
                    </pic:cNvPicPr>
                  </pic:nvPicPr>
                  <pic:blipFill>
                    <a:blip r:embed="rId30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-144780</wp:posOffset>
            </wp:positionV>
            <wp:extent cx="8255" cy="8255"/>
            <wp:wrapNone/>
            <wp:docPr id="3017" name="Picture 3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7"/>
                    <pic:cNvPicPr>
                      <a:picLocks noChangeAspect="1" noChangeArrowheads="1"/>
                    </pic:cNvPicPr>
                  </pic:nvPicPr>
                  <pic:blipFill>
                    <a:blip r:embed="rId30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-144780</wp:posOffset>
            </wp:positionV>
            <wp:extent cx="8255" cy="8255"/>
            <wp:wrapNone/>
            <wp:docPr id="3018" name="Picture 3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8"/>
                    <pic:cNvPicPr>
                      <a:picLocks noChangeAspect="1" noChangeArrowheads="1"/>
                    </pic:cNvPicPr>
                  </pic:nvPicPr>
                  <pic:blipFill>
                    <a:blip r:embed="rId30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-144780</wp:posOffset>
            </wp:positionV>
            <wp:extent cx="8255" cy="8255"/>
            <wp:wrapNone/>
            <wp:docPr id="3019" name="Picture 3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9"/>
                    <pic:cNvPicPr>
                      <a:picLocks noChangeAspect="1" noChangeArrowheads="1"/>
                    </pic:cNvPicPr>
                  </pic:nvPicPr>
                  <pic:blipFill>
                    <a:blip r:embed="rId30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-144780</wp:posOffset>
            </wp:positionV>
            <wp:extent cx="8890" cy="8255"/>
            <wp:wrapNone/>
            <wp:docPr id="3020" name="Picture 3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0"/>
                    <pic:cNvPicPr>
                      <a:picLocks noChangeAspect="1" noChangeArrowheads="1"/>
                    </pic:cNvPicPr>
                  </pic:nvPicPr>
                  <pic:blipFill>
                    <a:blip r:embed="rId30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-144780</wp:posOffset>
            </wp:positionV>
            <wp:extent cx="8890" cy="8255"/>
            <wp:wrapNone/>
            <wp:docPr id="3021" name="Picture 3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1"/>
                    <pic:cNvPicPr>
                      <a:picLocks noChangeAspect="1" noChangeArrowheads="1"/>
                    </pic:cNvPicPr>
                  </pic:nvPicPr>
                  <pic:blipFill>
                    <a:blip r:embed="rId30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-144780</wp:posOffset>
            </wp:positionV>
            <wp:extent cx="8255" cy="8255"/>
            <wp:wrapNone/>
            <wp:docPr id="3022" name="Picture 3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2"/>
                    <pic:cNvPicPr>
                      <a:picLocks noChangeAspect="1" noChangeArrowheads="1"/>
                    </pic:cNvPicPr>
                  </pic:nvPicPr>
                  <pic:blipFill>
                    <a:blip r:embed="rId30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-144780</wp:posOffset>
            </wp:positionV>
            <wp:extent cx="8255" cy="8255"/>
            <wp:wrapNone/>
            <wp:docPr id="3023" name="Picture 3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3"/>
                    <pic:cNvPicPr>
                      <a:picLocks noChangeAspect="1" noChangeArrowheads="1"/>
                    </pic:cNvPicPr>
                  </pic:nvPicPr>
                  <pic:blipFill>
                    <a:blip r:embed="rId30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-144780</wp:posOffset>
            </wp:positionV>
            <wp:extent cx="8255" cy="8255"/>
            <wp:wrapNone/>
            <wp:docPr id="3024" name="Picture 3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4"/>
                    <pic:cNvPicPr>
                      <a:picLocks noChangeAspect="1" noChangeArrowheads="1"/>
                    </pic:cNvPicPr>
                  </pic:nvPicPr>
                  <pic:blipFill>
                    <a:blip r:embed="rId30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-144780</wp:posOffset>
            </wp:positionV>
            <wp:extent cx="8890" cy="8255"/>
            <wp:wrapNone/>
            <wp:docPr id="3025" name="Picture 3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5"/>
                    <pic:cNvPicPr>
                      <a:picLocks noChangeAspect="1" noChangeArrowheads="1"/>
                    </pic:cNvPicPr>
                  </pic:nvPicPr>
                  <pic:blipFill>
                    <a:blip r:embed="rId30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-144780</wp:posOffset>
            </wp:positionV>
            <wp:extent cx="8890" cy="8255"/>
            <wp:wrapNone/>
            <wp:docPr id="3026" name="Picture 3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6"/>
                    <pic:cNvPicPr>
                      <a:picLocks noChangeAspect="1" noChangeArrowheads="1"/>
                    </pic:cNvPicPr>
                  </pic:nvPicPr>
                  <pic:blipFill>
                    <a:blip r:embed="rId30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-144780</wp:posOffset>
            </wp:positionV>
            <wp:extent cx="8255" cy="8255"/>
            <wp:wrapNone/>
            <wp:docPr id="3027" name="Picture 3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7"/>
                    <pic:cNvPicPr>
                      <a:picLocks noChangeAspect="1" noChangeArrowheads="1"/>
                    </pic:cNvPicPr>
                  </pic:nvPicPr>
                  <pic:blipFill>
                    <a:blip r:embed="rId30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-144780</wp:posOffset>
            </wp:positionV>
            <wp:extent cx="8255" cy="8255"/>
            <wp:wrapNone/>
            <wp:docPr id="3028" name="Picture 3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8"/>
                    <pic:cNvPicPr>
                      <a:picLocks noChangeAspect="1" noChangeArrowheads="1"/>
                    </pic:cNvPicPr>
                  </pic:nvPicPr>
                  <pic:blipFill>
                    <a:blip r:embed="rId30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-144780</wp:posOffset>
            </wp:positionV>
            <wp:extent cx="8255" cy="8255"/>
            <wp:wrapNone/>
            <wp:docPr id="3029" name="Picture 3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9"/>
                    <pic:cNvPicPr>
                      <a:picLocks noChangeAspect="1" noChangeArrowheads="1"/>
                    </pic:cNvPicPr>
                  </pic:nvPicPr>
                  <pic:blipFill>
                    <a:blip r:embed="rId30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-144780</wp:posOffset>
            </wp:positionV>
            <wp:extent cx="8890" cy="8255"/>
            <wp:wrapNone/>
            <wp:docPr id="3030" name="Picture 3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0"/>
                    <pic:cNvPicPr>
                      <a:picLocks noChangeAspect="1" noChangeArrowheads="1"/>
                    </pic:cNvPicPr>
                  </pic:nvPicPr>
                  <pic:blipFill>
                    <a:blip r:embed="rId30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-144780</wp:posOffset>
            </wp:positionV>
            <wp:extent cx="8890" cy="8255"/>
            <wp:wrapNone/>
            <wp:docPr id="3031" name="Picture 3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1"/>
                    <pic:cNvPicPr>
                      <a:picLocks noChangeAspect="1" noChangeArrowheads="1"/>
                    </pic:cNvPicPr>
                  </pic:nvPicPr>
                  <pic:blipFill>
                    <a:blip r:embed="rId30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-144780</wp:posOffset>
            </wp:positionV>
            <wp:extent cx="8255" cy="8255"/>
            <wp:wrapNone/>
            <wp:docPr id="3032" name="Picture 3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2"/>
                    <pic:cNvPicPr>
                      <a:picLocks noChangeAspect="1" noChangeArrowheads="1"/>
                    </pic:cNvPicPr>
                  </pic:nvPicPr>
                  <pic:blipFill>
                    <a:blip r:embed="rId30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-144780</wp:posOffset>
            </wp:positionV>
            <wp:extent cx="8255" cy="8255"/>
            <wp:wrapNone/>
            <wp:docPr id="3033" name="Picture 3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3"/>
                    <pic:cNvPicPr>
                      <a:picLocks noChangeAspect="1" noChangeArrowheads="1"/>
                    </pic:cNvPicPr>
                  </pic:nvPicPr>
                  <pic:blipFill>
                    <a:blip r:embed="rId30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-144780</wp:posOffset>
            </wp:positionV>
            <wp:extent cx="8255" cy="8255"/>
            <wp:wrapNone/>
            <wp:docPr id="3034" name="Picture 3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4"/>
                    <pic:cNvPicPr>
                      <a:picLocks noChangeAspect="1" noChangeArrowheads="1"/>
                    </pic:cNvPicPr>
                  </pic:nvPicPr>
                  <pic:blipFill>
                    <a:blip r:embed="rId30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-144780</wp:posOffset>
            </wp:positionV>
            <wp:extent cx="8890" cy="8255"/>
            <wp:wrapNone/>
            <wp:docPr id="3035" name="Picture 3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5"/>
                    <pic:cNvPicPr>
                      <a:picLocks noChangeAspect="1" noChangeArrowheads="1"/>
                    </pic:cNvPicPr>
                  </pic:nvPicPr>
                  <pic:blipFill>
                    <a:blip r:embed="rId30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-144780</wp:posOffset>
            </wp:positionV>
            <wp:extent cx="8890" cy="8255"/>
            <wp:wrapNone/>
            <wp:docPr id="3036" name="Picture 3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6"/>
                    <pic:cNvPicPr>
                      <a:picLocks noChangeAspect="1" noChangeArrowheads="1"/>
                    </pic:cNvPicPr>
                  </pic:nvPicPr>
                  <pic:blipFill>
                    <a:blip r:embed="rId30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-144780</wp:posOffset>
            </wp:positionV>
            <wp:extent cx="8255" cy="8255"/>
            <wp:wrapNone/>
            <wp:docPr id="3037" name="Picture 3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7"/>
                    <pic:cNvPicPr>
                      <a:picLocks noChangeAspect="1" noChangeArrowheads="1"/>
                    </pic:cNvPicPr>
                  </pic:nvPicPr>
                  <pic:blipFill>
                    <a:blip r:embed="rId30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-144780</wp:posOffset>
            </wp:positionV>
            <wp:extent cx="8255" cy="8255"/>
            <wp:wrapNone/>
            <wp:docPr id="3038" name="Picture 3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8"/>
                    <pic:cNvPicPr>
                      <a:picLocks noChangeAspect="1" noChangeArrowheads="1"/>
                    </pic:cNvPicPr>
                  </pic:nvPicPr>
                  <pic:blipFill>
                    <a:blip r:embed="rId30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-144780</wp:posOffset>
            </wp:positionV>
            <wp:extent cx="8255" cy="8255"/>
            <wp:wrapNone/>
            <wp:docPr id="3039" name="Picture 3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9"/>
                    <pic:cNvPicPr>
                      <a:picLocks noChangeAspect="1" noChangeArrowheads="1"/>
                    </pic:cNvPicPr>
                  </pic:nvPicPr>
                  <pic:blipFill>
                    <a:blip r:embed="rId30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-144780</wp:posOffset>
            </wp:positionV>
            <wp:extent cx="8890" cy="8255"/>
            <wp:wrapNone/>
            <wp:docPr id="3040" name="Picture 3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0"/>
                    <pic:cNvPicPr>
                      <a:picLocks noChangeAspect="1" noChangeArrowheads="1"/>
                    </pic:cNvPicPr>
                  </pic:nvPicPr>
                  <pic:blipFill>
                    <a:blip r:embed="rId30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-144780</wp:posOffset>
            </wp:positionV>
            <wp:extent cx="8255" cy="8255"/>
            <wp:wrapNone/>
            <wp:docPr id="3041" name="Picture 3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1"/>
                    <pic:cNvPicPr>
                      <a:picLocks noChangeAspect="1" noChangeArrowheads="1"/>
                    </pic:cNvPicPr>
                  </pic:nvPicPr>
                  <pic:blipFill>
                    <a:blip r:embed="rId30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-144780</wp:posOffset>
            </wp:positionV>
            <wp:extent cx="8255" cy="8255"/>
            <wp:wrapNone/>
            <wp:docPr id="3042" name="Picture 3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2"/>
                    <pic:cNvPicPr>
                      <a:picLocks noChangeAspect="1" noChangeArrowheads="1"/>
                    </pic:cNvPicPr>
                  </pic:nvPicPr>
                  <pic:blipFill>
                    <a:blip r:embed="rId30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-144780</wp:posOffset>
            </wp:positionV>
            <wp:extent cx="8255" cy="8255"/>
            <wp:wrapNone/>
            <wp:docPr id="3043" name="Picture 3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3"/>
                    <pic:cNvPicPr>
                      <a:picLocks noChangeAspect="1" noChangeArrowheads="1"/>
                    </pic:cNvPicPr>
                  </pic:nvPicPr>
                  <pic:blipFill>
                    <a:blip r:embed="rId30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-144780</wp:posOffset>
            </wp:positionV>
            <wp:extent cx="8890" cy="8255"/>
            <wp:wrapNone/>
            <wp:docPr id="3044" name="Picture 3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4"/>
                    <pic:cNvPicPr>
                      <a:picLocks noChangeAspect="1" noChangeArrowheads="1"/>
                    </pic:cNvPicPr>
                  </pic:nvPicPr>
                  <pic:blipFill>
                    <a:blip r:embed="rId30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-144780</wp:posOffset>
            </wp:positionV>
            <wp:extent cx="8890" cy="8255"/>
            <wp:wrapNone/>
            <wp:docPr id="3045" name="Picture 3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5"/>
                    <pic:cNvPicPr>
                      <a:picLocks noChangeAspect="1" noChangeArrowheads="1"/>
                    </pic:cNvPicPr>
                  </pic:nvPicPr>
                  <pic:blipFill>
                    <a:blip r:embed="rId30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-144780</wp:posOffset>
            </wp:positionV>
            <wp:extent cx="8255" cy="8255"/>
            <wp:wrapNone/>
            <wp:docPr id="3046" name="Picture 3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6"/>
                    <pic:cNvPicPr>
                      <a:picLocks noChangeAspect="1" noChangeArrowheads="1"/>
                    </pic:cNvPicPr>
                  </pic:nvPicPr>
                  <pic:blipFill>
                    <a:blip r:embed="rId30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-144780</wp:posOffset>
            </wp:positionV>
            <wp:extent cx="8255" cy="8255"/>
            <wp:wrapNone/>
            <wp:docPr id="3047" name="Picture 3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7"/>
                    <pic:cNvPicPr>
                      <a:picLocks noChangeAspect="1" noChangeArrowheads="1"/>
                    </pic:cNvPicPr>
                  </pic:nvPicPr>
                  <pic:blipFill>
                    <a:blip r:embed="rId30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-144780</wp:posOffset>
            </wp:positionV>
            <wp:extent cx="8255" cy="8255"/>
            <wp:wrapNone/>
            <wp:docPr id="3048" name="Picture 3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8"/>
                    <pic:cNvPicPr>
                      <a:picLocks noChangeAspect="1" noChangeArrowheads="1"/>
                    </pic:cNvPicPr>
                  </pic:nvPicPr>
                  <pic:blipFill>
                    <a:blip r:embed="rId30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-144780</wp:posOffset>
            </wp:positionV>
            <wp:extent cx="8890" cy="8255"/>
            <wp:wrapNone/>
            <wp:docPr id="3049" name="Picture 3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9"/>
                    <pic:cNvPicPr>
                      <a:picLocks noChangeAspect="1" noChangeArrowheads="1"/>
                    </pic:cNvPicPr>
                  </pic:nvPicPr>
                  <pic:blipFill>
                    <a:blip r:embed="rId30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-144780</wp:posOffset>
            </wp:positionV>
            <wp:extent cx="8890" cy="8255"/>
            <wp:wrapNone/>
            <wp:docPr id="3050" name="Picture 3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0"/>
                    <pic:cNvPicPr>
                      <a:picLocks noChangeAspect="1" noChangeArrowheads="1"/>
                    </pic:cNvPicPr>
                  </pic:nvPicPr>
                  <pic:blipFill>
                    <a:blip r:embed="rId30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-144780</wp:posOffset>
            </wp:positionV>
            <wp:extent cx="8255" cy="8255"/>
            <wp:wrapNone/>
            <wp:docPr id="3051" name="Picture 3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1"/>
                    <pic:cNvPicPr>
                      <a:picLocks noChangeAspect="1" noChangeArrowheads="1"/>
                    </pic:cNvPicPr>
                  </pic:nvPicPr>
                  <pic:blipFill>
                    <a:blip r:embed="rId30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-144780</wp:posOffset>
            </wp:positionV>
            <wp:extent cx="8255" cy="8255"/>
            <wp:wrapNone/>
            <wp:docPr id="3052" name="Picture 3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2"/>
                    <pic:cNvPicPr>
                      <a:picLocks noChangeAspect="1" noChangeArrowheads="1"/>
                    </pic:cNvPicPr>
                  </pic:nvPicPr>
                  <pic:blipFill>
                    <a:blip r:embed="rId30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-144780</wp:posOffset>
            </wp:positionV>
            <wp:extent cx="8255" cy="8255"/>
            <wp:wrapNone/>
            <wp:docPr id="3053" name="Picture 3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3"/>
                    <pic:cNvPicPr>
                      <a:picLocks noChangeAspect="1" noChangeArrowheads="1"/>
                    </pic:cNvPicPr>
                  </pic:nvPicPr>
                  <pic:blipFill>
                    <a:blip r:embed="rId30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-144780</wp:posOffset>
            </wp:positionV>
            <wp:extent cx="8890" cy="8255"/>
            <wp:wrapNone/>
            <wp:docPr id="3054" name="Picture 3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4"/>
                    <pic:cNvPicPr>
                      <a:picLocks noChangeAspect="1" noChangeArrowheads="1"/>
                    </pic:cNvPicPr>
                  </pic:nvPicPr>
                  <pic:blipFill>
                    <a:blip r:embed="rId30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-144780</wp:posOffset>
            </wp:positionV>
            <wp:extent cx="8890" cy="8255"/>
            <wp:wrapNone/>
            <wp:docPr id="3055" name="Picture 3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5"/>
                    <pic:cNvPicPr>
                      <a:picLocks noChangeAspect="1" noChangeArrowheads="1"/>
                    </pic:cNvPicPr>
                  </pic:nvPicPr>
                  <pic:blipFill>
                    <a:blip r:embed="rId30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-144780</wp:posOffset>
            </wp:positionV>
            <wp:extent cx="8255" cy="8255"/>
            <wp:wrapNone/>
            <wp:docPr id="3056" name="Picture 3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6"/>
                    <pic:cNvPicPr>
                      <a:picLocks noChangeAspect="1" noChangeArrowheads="1"/>
                    </pic:cNvPicPr>
                  </pic:nvPicPr>
                  <pic:blipFill>
                    <a:blip r:embed="rId30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-144780</wp:posOffset>
            </wp:positionV>
            <wp:extent cx="8255" cy="8255"/>
            <wp:wrapNone/>
            <wp:docPr id="3057" name="Picture 3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7"/>
                    <pic:cNvPicPr>
                      <a:picLocks noChangeAspect="1" noChangeArrowheads="1"/>
                    </pic:cNvPicPr>
                  </pic:nvPicPr>
                  <pic:blipFill>
                    <a:blip r:embed="rId30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-144780</wp:posOffset>
            </wp:positionV>
            <wp:extent cx="8255" cy="8255"/>
            <wp:wrapNone/>
            <wp:docPr id="3058" name="Picture 3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8"/>
                    <pic:cNvPicPr>
                      <a:picLocks noChangeAspect="1" noChangeArrowheads="1"/>
                    </pic:cNvPicPr>
                  </pic:nvPicPr>
                  <pic:blipFill>
                    <a:blip r:embed="rId30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-144780</wp:posOffset>
            </wp:positionV>
            <wp:extent cx="8890" cy="8255"/>
            <wp:wrapNone/>
            <wp:docPr id="3059" name="Picture 3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9"/>
                    <pic:cNvPicPr>
                      <a:picLocks noChangeAspect="1" noChangeArrowheads="1"/>
                    </pic:cNvPicPr>
                  </pic:nvPicPr>
                  <pic:blipFill>
                    <a:blip r:embed="rId30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-144780</wp:posOffset>
            </wp:positionV>
            <wp:extent cx="8890" cy="8255"/>
            <wp:wrapNone/>
            <wp:docPr id="3060" name="Picture 3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0"/>
                    <pic:cNvPicPr>
                      <a:picLocks noChangeAspect="1" noChangeArrowheads="1"/>
                    </pic:cNvPicPr>
                  </pic:nvPicPr>
                  <pic:blipFill>
                    <a:blip r:embed="rId30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-144780</wp:posOffset>
            </wp:positionV>
            <wp:extent cx="8255" cy="8255"/>
            <wp:wrapNone/>
            <wp:docPr id="3061" name="Picture 3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1"/>
                    <pic:cNvPicPr>
                      <a:picLocks noChangeAspect="1" noChangeArrowheads="1"/>
                    </pic:cNvPicPr>
                  </pic:nvPicPr>
                  <pic:blipFill>
                    <a:blip r:embed="rId30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-144780</wp:posOffset>
            </wp:positionV>
            <wp:extent cx="8255" cy="8255"/>
            <wp:wrapNone/>
            <wp:docPr id="3062" name="Picture 3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2"/>
                    <pic:cNvPicPr>
                      <a:picLocks noChangeAspect="1" noChangeArrowheads="1"/>
                    </pic:cNvPicPr>
                  </pic:nvPicPr>
                  <pic:blipFill>
                    <a:blip r:embed="rId30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-144780</wp:posOffset>
            </wp:positionV>
            <wp:extent cx="8255" cy="8255"/>
            <wp:wrapNone/>
            <wp:docPr id="3063" name="Picture 3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3"/>
                    <pic:cNvPicPr>
                      <a:picLocks noChangeAspect="1" noChangeArrowheads="1"/>
                    </pic:cNvPicPr>
                  </pic:nvPicPr>
                  <pic:blipFill>
                    <a:blip r:embed="rId30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-144780</wp:posOffset>
            </wp:positionV>
            <wp:extent cx="8890" cy="8255"/>
            <wp:wrapNone/>
            <wp:docPr id="3064" name="Picture 3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4"/>
                    <pic:cNvPicPr>
                      <a:picLocks noChangeAspect="1" noChangeArrowheads="1"/>
                    </pic:cNvPicPr>
                  </pic:nvPicPr>
                  <pic:blipFill>
                    <a:blip r:embed="rId30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-144780</wp:posOffset>
            </wp:positionV>
            <wp:extent cx="8890" cy="8255"/>
            <wp:wrapNone/>
            <wp:docPr id="3065" name="Picture 3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5"/>
                    <pic:cNvPicPr>
                      <a:picLocks noChangeAspect="1" noChangeArrowheads="1"/>
                    </pic:cNvPicPr>
                  </pic:nvPicPr>
                  <pic:blipFill>
                    <a:blip r:embed="rId30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-144780</wp:posOffset>
            </wp:positionV>
            <wp:extent cx="8255" cy="8255"/>
            <wp:wrapNone/>
            <wp:docPr id="3066" name="Picture 3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6"/>
                    <pic:cNvPicPr>
                      <a:picLocks noChangeAspect="1" noChangeArrowheads="1"/>
                    </pic:cNvPicPr>
                  </pic:nvPicPr>
                  <pic:blipFill>
                    <a:blip r:embed="rId30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-144780</wp:posOffset>
            </wp:positionV>
            <wp:extent cx="8255" cy="8255"/>
            <wp:wrapNone/>
            <wp:docPr id="3067" name="Picture 3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7"/>
                    <pic:cNvPicPr>
                      <a:picLocks noChangeAspect="1" noChangeArrowheads="1"/>
                    </pic:cNvPicPr>
                  </pic:nvPicPr>
                  <pic:blipFill>
                    <a:blip r:embed="rId30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-144780</wp:posOffset>
            </wp:positionV>
            <wp:extent cx="8255" cy="8255"/>
            <wp:wrapNone/>
            <wp:docPr id="3068" name="Picture 3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8"/>
                    <pic:cNvPicPr>
                      <a:picLocks noChangeAspect="1" noChangeArrowheads="1"/>
                    </pic:cNvPicPr>
                  </pic:nvPicPr>
                  <pic:blipFill>
                    <a:blip r:embed="rId30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-144780</wp:posOffset>
            </wp:positionV>
            <wp:extent cx="8890" cy="8255"/>
            <wp:wrapNone/>
            <wp:docPr id="3069" name="Picture 3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9"/>
                    <pic:cNvPicPr>
                      <a:picLocks noChangeAspect="1" noChangeArrowheads="1"/>
                    </pic:cNvPicPr>
                  </pic:nvPicPr>
                  <pic:blipFill>
                    <a:blip r:embed="rId30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-144780</wp:posOffset>
            </wp:positionV>
            <wp:extent cx="8890" cy="8255"/>
            <wp:wrapNone/>
            <wp:docPr id="3070" name="Picture 3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0"/>
                    <pic:cNvPicPr>
                      <a:picLocks noChangeAspect="1" noChangeArrowheads="1"/>
                    </pic:cNvPicPr>
                  </pic:nvPicPr>
                  <pic:blipFill>
                    <a:blip r:embed="rId30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-144780</wp:posOffset>
            </wp:positionV>
            <wp:extent cx="8255" cy="8255"/>
            <wp:wrapNone/>
            <wp:docPr id="3071" name="Picture 3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1"/>
                    <pic:cNvPicPr>
                      <a:picLocks noChangeAspect="1" noChangeArrowheads="1"/>
                    </pic:cNvPicPr>
                  </pic:nvPicPr>
                  <pic:blipFill>
                    <a:blip r:embed="rId30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-144780</wp:posOffset>
            </wp:positionV>
            <wp:extent cx="8255" cy="8255"/>
            <wp:wrapNone/>
            <wp:docPr id="3072" name="Picture 3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2"/>
                    <pic:cNvPicPr>
                      <a:picLocks noChangeAspect="1" noChangeArrowheads="1"/>
                    </pic:cNvPicPr>
                  </pic:nvPicPr>
                  <pic:blipFill>
                    <a:blip r:embed="rId30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-144780</wp:posOffset>
            </wp:positionV>
            <wp:extent cx="8255" cy="8255"/>
            <wp:wrapNone/>
            <wp:docPr id="3073" name="Picture 3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3"/>
                    <pic:cNvPicPr>
                      <a:picLocks noChangeAspect="1" noChangeArrowheads="1"/>
                    </pic:cNvPicPr>
                  </pic:nvPicPr>
                  <pic:blipFill>
                    <a:blip r:embed="rId30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-144780</wp:posOffset>
            </wp:positionV>
            <wp:extent cx="8890" cy="8255"/>
            <wp:wrapNone/>
            <wp:docPr id="3074" name="Picture 3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4"/>
                    <pic:cNvPicPr>
                      <a:picLocks noChangeAspect="1" noChangeArrowheads="1"/>
                    </pic:cNvPicPr>
                  </pic:nvPicPr>
                  <pic:blipFill>
                    <a:blip r:embed="rId30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-144780</wp:posOffset>
            </wp:positionV>
            <wp:extent cx="857250" cy="8255"/>
            <wp:wrapNone/>
            <wp:docPr id="3075" name="Picture 3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5"/>
                    <pic:cNvPicPr>
                      <a:picLocks noChangeAspect="1" noChangeArrowheads="1"/>
                    </pic:cNvPicPr>
                  </pic:nvPicPr>
                  <pic:blipFill>
                    <a:blip r:embed="rId3082">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25"/>
          <w:szCs w:val="25"/>
          <w:color w:val="0233A1"/>
        </w:rPr>
        <w:t>Retiree Medical</w:t>
      </w:r>
    </w:p>
    <w:p>
      <w:pPr>
        <w:spacing w:after="0" w:line="2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Subject to satisfying certain age, service, and contribution requirements, most U.S. employees, including NEOs in the United States, are eligible to participate in a retiree medical program. Generally, this program provides comprehensive medical, prescription drug, and vision benefits for retirees and their dependents until attaining age 65. The program also provides annual contributions to a health reimbursement arrangement that can be used to purchase medical coverage or Medicare supplemental coverage and other tax-deductible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471170" cy="282575"/>
            <wp:wrapNone/>
            <wp:docPr id="3076" name="Picture 3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6"/>
                    <pic:cNvPicPr>
                      <a:picLocks noChangeAspect="1" noChangeArrowheads="1"/>
                    </pic:cNvPicPr>
                  </pic:nvPicPr>
                  <pic:blipFill>
                    <a:blip r:embed="rId3083">
                      <a:extLst>
                        <a:ext uri="{28A0092B-C50C-407E-A947-70E740481C1C}"/>
                      </a:extLst>
                    </a:blip>
                    <a:srcRect/>
                    <a:stretch>
                      <a:fillRect/>
                    </a:stretch>
                  </pic:blipFill>
                  <pic:spPr bwMode="auto">
                    <a:xfrm>
                      <a:off x="0" y="0"/>
                      <a:ext cx="471170" cy="282575"/>
                    </a:xfrm>
                    <a:prstGeom prst="rect">
                      <a:avLst/>
                    </a:prstGeom>
                    <a:noFill/>
                  </pic:spPr>
                </pic:pic>
              </a:graphicData>
            </a:graphic>
          </wp:anchor>
        </w:drawing>
      </w:r>
    </w:p>
    <w:p>
      <w:pPr>
        <w:spacing w:after="0" w:line="347" w:lineRule="exact"/>
        <w:rPr>
          <w:sz w:val="20"/>
          <w:szCs w:val="20"/>
          <w:color w:val="auto"/>
        </w:rPr>
      </w:pPr>
    </w:p>
    <w:p>
      <w:pPr>
        <w:jc w:val="both"/>
        <w:ind w:left="5540"/>
        <w:spacing w:after="0"/>
        <w:tabs>
          <w:tab w:leader="none" w:pos="9540" w:val="left"/>
        </w:tabs>
        <w:rPr>
          <w:sz w:val="20"/>
          <w:szCs w:val="20"/>
          <w:color w:val="auto"/>
        </w:rPr>
      </w:pPr>
      <w:r>
        <w:rPr>
          <w:rFonts w:ascii="Arial" w:cs="Arial" w:eastAsia="Arial" w:hAnsi="Arial"/>
          <w:sz w:val="16"/>
          <w:szCs w:val="16"/>
          <w:b w:val="1"/>
          <w:bCs w:val="1"/>
          <w:color w:val="auto"/>
        </w:rPr>
        <w:t>58</w:t>
      </w:r>
      <w:r>
        <w:rPr>
          <w:sz w:val="20"/>
          <w:szCs w:val="20"/>
          <w:color w:val="auto"/>
        </w:rPr>
        <w:tab/>
      </w:r>
      <w:r>
        <w:rPr>
          <w:rFonts w:ascii="Arial" w:cs="Arial" w:eastAsia="Arial" w:hAnsi="Arial"/>
          <w:sz w:val="16"/>
          <w:szCs w:val="16"/>
          <w:b w:val="1"/>
          <w:bCs w:val="1"/>
          <w:color w:val="636466"/>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-29845</wp:posOffset>
            </wp:positionV>
            <wp:extent cx="5417820" cy="17145"/>
            <wp:wrapNone/>
            <wp:docPr id="3077" name="Picture 3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7"/>
                    <pic:cNvPicPr>
                      <a:picLocks noChangeAspect="1" noChangeArrowheads="1"/>
                    </pic:cNvPicPr>
                  </pic:nvPicPr>
                  <pic:blipFill>
                    <a:blip r:embed="rId3084">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34290"/>
            <wp:wrapNone/>
            <wp:docPr id="3078" name="Picture 3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8"/>
                    <pic:cNvPicPr>
                      <a:picLocks noChangeAspect="1" noChangeArrowheads="1"/>
                    </pic:cNvPicPr>
                  </pic:nvPicPr>
                  <pic:blipFill>
                    <a:blip r:embed="rId308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63" w:name="page64"/>
    <w:bookmarkEnd w:id="63"/>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color w:val="16458B"/>
        </w:rPr>
        <w:t>Equity Compensation Plan Information</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information as of December 31, 2023 for all equity compensation plans approved and not approved by our shareholders.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080" w:type="dxa"/>
            <w:vAlign w:val="bottom"/>
          </w:tcPr>
          <w:p>
            <w:pPr>
              <w:jc w:val="right"/>
              <w:ind w:right="140"/>
              <w:spacing w:after="0"/>
              <w:rPr>
                <w:sz w:val="20"/>
                <w:szCs w:val="20"/>
                <w:color w:val="auto"/>
              </w:rPr>
            </w:pPr>
            <w:r>
              <w:rPr>
                <w:rFonts w:ascii="Arial" w:cs="Arial" w:eastAsia="Arial" w:hAnsi="Arial"/>
                <w:sz w:val="16"/>
                <w:szCs w:val="16"/>
                <w:b w:val="1"/>
                <w:bCs w:val="1"/>
                <w:color w:val="0233A1"/>
              </w:rPr>
              <w:t>(c)</w:t>
            </w:r>
          </w:p>
        </w:tc>
      </w:tr>
      <w:tr>
        <w:trPr>
          <w:trHeight w:val="189"/>
        </w:trPr>
        <w:tc>
          <w:tcPr>
            <w:tcW w:w="4940" w:type="dxa"/>
            <w:vAlign w:val="bottom"/>
          </w:tcPr>
          <w:p>
            <w:pPr>
              <w:spacing w:after="0"/>
              <w:rPr>
                <w:sz w:val="16"/>
                <w:szCs w:val="16"/>
                <w:color w:val="auto"/>
              </w:rPr>
            </w:pPr>
          </w:p>
        </w:tc>
        <w:tc>
          <w:tcPr>
            <w:tcW w:w="2140" w:type="dxa"/>
            <w:vAlign w:val="bottom"/>
          </w:tcPr>
          <w:p>
            <w:pPr>
              <w:jc w:val="right"/>
              <w:ind w:right="299"/>
              <w:spacing w:after="0"/>
              <w:rPr>
                <w:sz w:val="20"/>
                <w:szCs w:val="20"/>
                <w:color w:val="auto"/>
              </w:rPr>
            </w:pPr>
            <w:r>
              <w:rPr>
                <w:rFonts w:ascii="Arial" w:cs="Arial" w:eastAsia="Arial" w:hAnsi="Arial"/>
                <w:sz w:val="16"/>
                <w:szCs w:val="16"/>
                <w:b w:val="1"/>
                <w:bCs w:val="1"/>
                <w:color w:val="0233A1"/>
              </w:rPr>
              <w:t>(a)</w:t>
            </w:r>
          </w:p>
        </w:tc>
        <w:tc>
          <w:tcPr>
            <w:tcW w:w="2080" w:type="dxa"/>
            <w:vAlign w:val="bottom"/>
          </w:tcPr>
          <w:p>
            <w:pPr>
              <w:jc w:val="right"/>
              <w:ind w:right="259"/>
              <w:spacing w:after="0"/>
              <w:rPr>
                <w:sz w:val="20"/>
                <w:szCs w:val="20"/>
                <w:color w:val="auto"/>
              </w:rPr>
            </w:pPr>
            <w:r>
              <w:rPr>
                <w:rFonts w:ascii="Arial" w:cs="Arial" w:eastAsia="Arial" w:hAnsi="Arial"/>
                <w:sz w:val="16"/>
                <w:szCs w:val="16"/>
                <w:b w:val="1"/>
                <w:bCs w:val="1"/>
                <w:color w:val="0233A1"/>
              </w:rPr>
              <w:t>(b)</w:t>
            </w:r>
          </w:p>
        </w:tc>
        <w:tc>
          <w:tcPr>
            <w:tcW w:w="2080" w:type="dxa"/>
            <w:vAlign w:val="bottom"/>
          </w:tcPr>
          <w:p>
            <w:pPr>
              <w:jc w:val="right"/>
              <w:ind w:right="140"/>
              <w:spacing w:after="0"/>
              <w:rPr>
                <w:sz w:val="20"/>
                <w:szCs w:val="20"/>
                <w:color w:val="auto"/>
              </w:rPr>
            </w:pPr>
            <w:r>
              <w:rPr>
                <w:rFonts w:ascii="Arial" w:cs="Arial" w:eastAsia="Arial" w:hAnsi="Arial"/>
                <w:sz w:val="16"/>
                <w:szCs w:val="16"/>
                <w:b w:val="1"/>
                <w:bCs w:val="1"/>
                <w:color w:val="0233A1"/>
              </w:rPr>
              <w:t>Number of securities</w:t>
            </w:r>
          </w:p>
        </w:tc>
      </w:tr>
      <w:tr>
        <w:trPr>
          <w:trHeight w:val="189"/>
        </w:trPr>
        <w:tc>
          <w:tcPr>
            <w:tcW w:w="4940" w:type="dxa"/>
            <w:vAlign w:val="bottom"/>
          </w:tcPr>
          <w:p>
            <w:pPr>
              <w:spacing w:after="0"/>
              <w:rPr>
                <w:sz w:val="16"/>
                <w:szCs w:val="16"/>
                <w:color w:val="auto"/>
              </w:rPr>
            </w:pPr>
          </w:p>
        </w:tc>
        <w:tc>
          <w:tcPr>
            <w:tcW w:w="2140" w:type="dxa"/>
            <w:vAlign w:val="bottom"/>
          </w:tcPr>
          <w:p>
            <w:pPr>
              <w:jc w:val="right"/>
              <w:ind w:right="299"/>
              <w:spacing w:after="0"/>
              <w:rPr>
                <w:sz w:val="20"/>
                <w:szCs w:val="20"/>
                <w:color w:val="auto"/>
              </w:rPr>
            </w:pPr>
            <w:r>
              <w:rPr>
                <w:rFonts w:ascii="Arial" w:cs="Arial" w:eastAsia="Arial" w:hAnsi="Arial"/>
                <w:sz w:val="16"/>
                <w:szCs w:val="16"/>
                <w:b w:val="1"/>
                <w:bCs w:val="1"/>
                <w:color w:val="0233A1"/>
              </w:rPr>
              <w:t>Number of</w:t>
            </w:r>
          </w:p>
        </w:tc>
        <w:tc>
          <w:tcPr>
            <w:tcW w:w="2080" w:type="dxa"/>
            <w:vAlign w:val="bottom"/>
          </w:tcPr>
          <w:p>
            <w:pPr>
              <w:jc w:val="right"/>
              <w:ind w:right="259"/>
              <w:spacing w:after="0"/>
              <w:rPr>
                <w:sz w:val="20"/>
                <w:szCs w:val="20"/>
                <w:color w:val="auto"/>
              </w:rPr>
            </w:pPr>
            <w:r>
              <w:rPr>
                <w:rFonts w:ascii="Arial" w:cs="Arial" w:eastAsia="Arial" w:hAnsi="Arial"/>
                <w:sz w:val="16"/>
                <w:szCs w:val="16"/>
                <w:b w:val="1"/>
                <w:bCs w:val="1"/>
                <w:color w:val="0233A1"/>
              </w:rPr>
              <w:t>Weighted-</w:t>
            </w:r>
          </w:p>
        </w:tc>
        <w:tc>
          <w:tcPr>
            <w:tcW w:w="2080" w:type="dxa"/>
            <w:vAlign w:val="bottom"/>
          </w:tcPr>
          <w:p>
            <w:pPr>
              <w:jc w:val="right"/>
              <w:ind w:right="140"/>
              <w:spacing w:after="0"/>
              <w:rPr>
                <w:sz w:val="20"/>
                <w:szCs w:val="20"/>
                <w:color w:val="auto"/>
              </w:rPr>
            </w:pPr>
            <w:r>
              <w:rPr>
                <w:rFonts w:ascii="Arial" w:cs="Arial" w:eastAsia="Arial" w:hAnsi="Arial"/>
                <w:sz w:val="16"/>
                <w:szCs w:val="16"/>
                <w:b w:val="1"/>
                <w:bCs w:val="1"/>
                <w:color w:val="0233A1"/>
              </w:rPr>
              <w:t>remaining available</w:t>
            </w:r>
          </w:p>
        </w:tc>
      </w:tr>
      <w:tr>
        <w:trPr>
          <w:trHeight w:val="189"/>
        </w:trPr>
        <w:tc>
          <w:tcPr>
            <w:tcW w:w="4940" w:type="dxa"/>
            <w:vAlign w:val="bottom"/>
          </w:tcPr>
          <w:p>
            <w:pPr>
              <w:spacing w:after="0"/>
              <w:rPr>
                <w:sz w:val="16"/>
                <w:szCs w:val="16"/>
                <w:color w:val="auto"/>
              </w:rPr>
            </w:pPr>
          </w:p>
        </w:tc>
        <w:tc>
          <w:tcPr>
            <w:tcW w:w="2140" w:type="dxa"/>
            <w:vAlign w:val="bottom"/>
          </w:tcPr>
          <w:p>
            <w:pPr>
              <w:jc w:val="right"/>
              <w:ind w:right="299"/>
              <w:spacing w:after="0"/>
              <w:rPr>
                <w:sz w:val="20"/>
                <w:szCs w:val="20"/>
                <w:color w:val="auto"/>
              </w:rPr>
            </w:pPr>
            <w:r>
              <w:rPr>
                <w:rFonts w:ascii="Arial" w:cs="Arial" w:eastAsia="Arial" w:hAnsi="Arial"/>
                <w:sz w:val="16"/>
                <w:szCs w:val="16"/>
                <w:b w:val="1"/>
                <w:bCs w:val="1"/>
                <w:color w:val="0233A1"/>
              </w:rPr>
              <w:t>securities to</w:t>
            </w:r>
          </w:p>
        </w:tc>
        <w:tc>
          <w:tcPr>
            <w:tcW w:w="2080" w:type="dxa"/>
            <w:vAlign w:val="bottom"/>
          </w:tcPr>
          <w:p>
            <w:pPr>
              <w:jc w:val="right"/>
              <w:ind w:right="259"/>
              <w:spacing w:after="0"/>
              <w:rPr>
                <w:sz w:val="20"/>
                <w:szCs w:val="20"/>
                <w:color w:val="auto"/>
              </w:rPr>
            </w:pPr>
            <w:r>
              <w:rPr>
                <w:rFonts w:ascii="Arial" w:cs="Arial" w:eastAsia="Arial" w:hAnsi="Arial"/>
                <w:sz w:val="16"/>
                <w:szCs w:val="16"/>
                <w:b w:val="1"/>
                <w:bCs w:val="1"/>
                <w:color w:val="0233A1"/>
              </w:rPr>
              <w:t>average</w:t>
            </w:r>
          </w:p>
        </w:tc>
        <w:tc>
          <w:tcPr>
            <w:tcW w:w="2080" w:type="dxa"/>
            <w:vAlign w:val="bottom"/>
          </w:tcPr>
          <w:p>
            <w:pPr>
              <w:jc w:val="right"/>
              <w:ind w:right="140"/>
              <w:spacing w:after="0"/>
              <w:rPr>
                <w:sz w:val="20"/>
                <w:szCs w:val="20"/>
                <w:color w:val="auto"/>
              </w:rPr>
            </w:pPr>
            <w:r>
              <w:rPr>
                <w:rFonts w:ascii="Arial" w:cs="Arial" w:eastAsia="Arial" w:hAnsi="Arial"/>
                <w:sz w:val="16"/>
                <w:szCs w:val="16"/>
                <w:b w:val="1"/>
                <w:bCs w:val="1"/>
                <w:color w:val="0233A1"/>
              </w:rPr>
              <w:t>for future issuance</w:t>
            </w:r>
          </w:p>
        </w:tc>
      </w:tr>
      <w:tr>
        <w:trPr>
          <w:trHeight w:val="189"/>
        </w:trPr>
        <w:tc>
          <w:tcPr>
            <w:tcW w:w="4940" w:type="dxa"/>
            <w:vAlign w:val="bottom"/>
          </w:tcPr>
          <w:p>
            <w:pPr>
              <w:spacing w:after="0"/>
              <w:rPr>
                <w:sz w:val="16"/>
                <w:szCs w:val="16"/>
                <w:color w:val="auto"/>
              </w:rPr>
            </w:pPr>
          </w:p>
        </w:tc>
        <w:tc>
          <w:tcPr>
            <w:tcW w:w="2140" w:type="dxa"/>
            <w:vAlign w:val="bottom"/>
          </w:tcPr>
          <w:p>
            <w:pPr>
              <w:jc w:val="right"/>
              <w:ind w:right="299"/>
              <w:spacing w:after="0"/>
              <w:rPr>
                <w:sz w:val="20"/>
                <w:szCs w:val="20"/>
                <w:color w:val="auto"/>
              </w:rPr>
            </w:pPr>
            <w:r>
              <w:rPr>
                <w:rFonts w:ascii="Arial" w:cs="Arial" w:eastAsia="Arial" w:hAnsi="Arial"/>
                <w:sz w:val="16"/>
                <w:szCs w:val="16"/>
                <w:b w:val="1"/>
                <w:bCs w:val="1"/>
                <w:color w:val="0233A1"/>
              </w:rPr>
              <w:t>be issued upon</w:t>
            </w:r>
          </w:p>
        </w:tc>
        <w:tc>
          <w:tcPr>
            <w:tcW w:w="2080" w:type="dxa"/>
            <w:vAlign w:val="bottom"/>
          </w:tcPr>
          <w:p>
            <w:pPr>
              <w:jc w:val="right"/>
              <w:ind w:right="259"/>
              <w:spacing w:after="0"/>
              <w:rPr>
                <w:sz w:val="20"/>
                <w:szCs w:val="20"/>
                <w:color w:val="auto"/>
              </w:rPr>
            </w:pPr>
            <w:r>
              <w:rPr>
                <w:rFonts w:ascii="Arial" w:cs="Arial" w:eastAsia="Arial" w:hAnsi="Arial"/>
                <w:sz w:val="16"/>
                <w:szCs w:val="16"/>
                <w:b w:val="1"/>
                <w:bCs w:val="1"/>
                <w:color w:val="0233A1"/>
              </w:rPr>
              <w:t>exercise price of</w:t>
            </w:r>
          </w:p>
        </w:tc>
        <w:tc>
          <w:tcPr>
            <w:tcW w:w="2080" w:type="dxa"/>
            <w:vAlign w:val="bottom"/>
          </w:tcPr>
          <w:p>
            <w:pPr>
              <w:jc w:val="right"/>
              <w:ind w:right="140"/>
              <w:spacing w:after="0"/>
              <w:rPr>
                <w:sz w:val="20"/>
                <w:szCs w:val="20"/>
                <w:color w:val="auto"/>
              </w:rPr>
            </w:pPr>
            <w:r>
              <w:rPr>
                <w:rFonts w:ascii="Arial" w:cs="Arial" w:eastAsia="Arial" w:hAnsi="Arial"/>
                <w:sz w:val="16"/>
                <w:szCs w:val="16"/>
                <w:b w:val="1"/>
                <w:bCs w:val="1"/>
                <w:color w:val="0233A1"/>
              </w:rPr>
              <w:t>under equity</w:t>
            </w:r>
          </w:p>
        </w:tc>
      </w:tr>
      <w:tr>
        <w:trPr>
          <w:trHeight w:val="189"/>
        </w:trPr>
        <w:tc>
          <w:tcPr>
            <w:tcW w:w="4940" w:type="dxa"/>
            <w:vAlign w:val="bottom"/>
          </w:tcPr>
          <w:p>
            <w:pPr>
              <w:spacing w:after="0"/>
              <w:rPr>
                <w:sz w:val="16"/>
                <w:szCs w:val="16"/>
                <w:color w:val="auto"/>
              </w:rPr>
            </w:pPr>
          </w:p>
        </w:tc>
        <w:tc>
          <w:tcPr>
            <w:tcW w:w="2140" w:type="dxa"/>
            <w:vAlign w:val="bottom"/>
          </w:tcPr>
          <w:p>
            <w:pPr>
              <w:jc w:val="right"/>
              <w:ind w:right="299"/>
              <w:spacing w:after="0"/>
              <w:rPr>
                <w:sz w:val="20"/>
                <w:szCs w:val="20"/>
                <w:color w:val="auto"/>
              </w:rPr>
            </w:pPr>
            <w:r>
              <w:rPr>
                <w:rFonts w:ascii="Arial" w:cs="Arial" w:eastAsia="Arial" w:hAnsi="Arial"/>
                <w:sz w:val="16"/>
                <w:szCs w:val="16"/>
                <w:b w:val="1"/>
                <w:bCs w:val="1"/>
                <w:color w:val="0233A1"/>
              </w:rPr>
              <w:t>exercise of</w:t>
            </w:r>
          </w:p>
        </w:tc>
        <w:tc>
          <w:tcPr>
            <w:tcW w:w="2080" w:type="dxa"/>
            <w:vAlign w:val="bottom"/>
          </w:tcPr>
          <w:p>
            <w:pPr>
              <w:jc w:val="right"/>
              <w:ind w:right="259"/>
              <w:spacing w:after="0"/>
              <w:rPr>
                <w:sz w:val="20"/>
                <w:szCs w:val="20"/>
                <w:color w:val="auto"/>
              </w:rPr>
            </w:pPr>
            <w:r>
              <w:rPr>
                <w:rFonts w:ascii="Arial" w:cs="Arial" w:eastAsia="Arial" w:hAnsi="Arial"/>
                <w:sz w:val="16"/>
                <w:szCs w:val="16"/>
                <w:b w:val="1"/>
                <w:bCs w:val="1"/>
                <w:color w:val="0233A1"/>
              </w:rPr>
              <w:t>such outstanding</w:t>
            </w:r>
          </w:p>
        </w:tc>
        <w:tc>
          <w:tcPr>
            <w:tcW w:w="2080" w:type="dxa"/>
            <w:vAlign w:val="bottom"/>
          </w:tcPr>
          <w:p>
            <w:pPr>
              <w:jc w:val="right"/>
              <w:ind w:right="140"/>
              <w:spacing w:after="0"/>
              <w:rPr>
                <w:sz w:val="20"/>
                <w:szCs w:val="20"/>
                <w:color w:val="auto"/>
              </w:rPr>
            </w:pPr>
            <w:r>
              <w:rPr>
                <w:rFonts w:ascii="Arial" w:cs="Arial" w:eastAsia="Arial" w:hAnsi="Arial"/>
                <w:sz w:val="16"/>
                <w:szCs w:val="16"/>
                <w:b w:val="1"/>
                <w:bCs w:val="1"/>
                <w:color w:val="0233A1"/>
              </w:rPr>
              <w:t>compensation</w:t>
            </w:r>
          </w:p>
        </w:tc>
      </w:tr>
      <w:tr>
        <w:trPr>
          <w:trHeight w:val="189"/>
        </w:trPr>
        <w:tc>
          <w:tcPr>
            <w:tcW w:w="4940" w:type="dxa"/>
            <w:vAlign w:val="bottom"/>
          </w:tcPr>
          <w:p>
            <w:pPr>
              <w:spacing w:after="0"/>
              <w:rPr>
                <w:sz w:val="16"/>
                <w:szCs w:val="16"/>
                <w:color w:val="auto"/>
              </w:rPr>
            </w:pPr>
          </w:p>
        </w:tc>
        <w:tc>
          <w:tcPr>
            <w:tcW w:w="2140" w:type="dxa"/>
            <w:vAlign w:val="bottom"/>
          </w:tcPr>
          <w:p>
            <w:pPr>
              <w:jc w:val="right"/>
              <w:ind w:right="299"/>
              <w:spacing w:after="0"/>
              <w:rPr>
                <w:sz w:val="20"/>
                <w:szCs w:val="20"/>
                <w:color w:val="auto"/>
              </w:rPr>
            </w:pPr>
            <w:r>
              <w:rPr>
                <w:rFonts w:ascii="Arial" w:cs="Arial" w:eastAsia="Arial" w:hAnsi="Arial"/>
                <w:sz w:val="16"/>
                <w:szCs w:val="16"/>
                <w:b w:val="1"/>
                <w:bCs w:val="1"/>
                <w:color w:val="0233A1"/>
              </w:rPr>
              <w:t>outstanding</w:t>
            </w:r>
          </w:p>
        </w:tc>
        <w:tc>
          <w:tcPr>
            <w:tcW w:w="2080" w:type="dxa"/>
            <w:vAlign w:val="bottom"/>
          </w:tcPr>
          <w:p>
            <w:pPr>
              <w:jc w:val="right"/>
              <w:ind w:right="259"/>
              <w:spacing w:after="0"/>
              <w:rPr>
                <w:sz w:val="20"/>
                <w:szCs w:val="20"/>
                <w:color w:val="auto"/>
              </w:rPr>
            </w:pPr>
            <w:r>
              <w:rPr>
                <w:rFonts w:ascii="Arial" w:cs="Arial" w:eastAsia="Arial" w:hAnsi="Arial"/>
                <w:sz w:val="16"/>
                <w:szCs w:val="16"/>
                <w:b w:val="1"/>
                <w:bCs w:val="1"/>
                <w:color w:val="0233A1"/>
              </w:rPr>
              <w:t>options, warrants</w:t>
            </w:r>
          </w:p>
        </w:tc>
        <w:tc>
          <w:tcPr>
            <w:tcW w:w="2080" w:type="dxa"/>
            <w:vAlign w:val="bottom"/>
          </w:tcPr>
          <w:p>
            <w:pPr>
              <w:jc w:val="right"/>
              <w:ind w:right="140"/>
              <w:spacing w:after="0"/>
              <w:rPr>
                <w:sz w:val="20"/>
                <w:szCs w:val="20"/>
                <w:color w:val="auto"/>
              </w:rPr>
            </w:pPr>
            <w:r>
              <w:rPr>
                <w:rFonts w:ascii="Arial" w:cs="Arial" w:eastAsia="Arial" w:hAnsi="Arial"/>
                <w:sz w:val="16"/>
                <w:szCs w:val="16"/>
                <w:b w:val="1"/>
                <w:bCs w:val="1"/>
                <w:color w:val="0233A1"/>
              </w:rPr>
              <w:t>plans (excluding</w:t>
            </w:r>
          </w:p>
        </w:tc>
      </w:tr>
      <w:tr>
        <w:trPr>
          <w:trHeight w:val="163"/>
        </w:trPr>
        <w:tc>
          <w:tcPr>
            <w:tcW w:w="4940" w:type="dxa"/>
            <w:vAlign w:val="bottom"/>
          </w:tcPr>
          <w:p>
            <w:pPr>
              <w:spacing w:after="0"/>
              <w:rPr>
                <w:sz w:val="14"/>
                <w:szCs w:val="14"/>
                <w:color w:val="auto"/>
              </w:rPr>
            </w:pPr>
          </w:p>
        </w:tc>
        <w:tc>
          <w:tcPr>
            <w:tcW w:w="2140" w:type="dxa"/>
            <w:vAlign w:val="bottom"/>
          </w:tcPr>
          <w:p>
            <w:pPr>
              <w:jc w:val="right"/>
              <w:ind w:right="299"/>
              <w:spacing w:after="0" w:line="163" w:lineRule="exact"/>
              <w:rPr>
                <w:sz w:val="20"/>
                <w:szCs w:val="20"/>
                <w:color w:val="auto"/>
              </w:rPr>
            </w:pPr>
            <w:r>
              <w:rPr>
                <w:rFonts w:ascii="Arial" w:cs="Arial" w:eastAsia="Arial" w:hAnsi="Arial"/>
                <w:sz w:val="16"/>
                <w:szCs w:val="16"/>
                <w:b w:val="1"/>
                <w:bCs w:val="1"/>
                <w:color w:val="0233A1"/>
              </w:rPr>
              <w:t>options, warrants</w:t>
            </w:r>
          </w:p>
        </w:tc>
        <w:tc>
          <w:tcPr>
            <w:tcW w:w="2080" w:type="dxa"/>
            <w:vAlign w:val="bottom"/>
          </w:tcPr>
          <w:p>
            <w:pPr>
              <w:jc w:val="right"/>
              <w:ind w:right="259"/>
              <w:spacing w:after="0" w:line="163" w:lineRule="exact"/>
              <w:rPr>
                <w:sz w:val="20"/>
                <w:szCs w:val="20"/>
                <w:color w:val="auto"/>
              </w:rPr>
            </w:pPr>
            <w:r>
              <w:rPr>
                <w:rFonts w:ascii="Arial" w:cs="Arial" w:eastAsia="Arial" w:hAnsi="Arial"/>
                <w:sz w:val="16"/>
                <w:szCs w:val="16"/>
                <w:b w:val="1"/>
                <w:bCs w:val="1"/>
                <w:color w:val="0233A1"/>
              </w:rPr>
              <w:t>and rights</w:t>
            </w:r>
          </w:p>
        </w:tc>
        <w:tc>
          <w:tcPr>
            <w:tcW w:w="2080" w:type="dxa"/>
            <w:vAlign w:val="bottom"/>
          </w:tcPr>
          <w:p>
            <w:pPr>
              <w:jc w:val="right"/>
              <w:ind w:right="140"/>
              <w:spacing w:after="0" w:line="163" w:lineRule="exact"/>
              <w:rPr>
                <w:sz w:val="20"/>
                <w:szCs w:val="20"/>
                <w:color w:val="auto"/>
              </w:rPr>
            </w:pPr>
            <w:r>
              <w:rPr>
                <w:rFonts w:ascii="Arial" w:cs="Arial" w:eastAsia="Arial" w:hAnsi="Arial"/>
                <w:sz w:val="16"/>
                <w:szCs w:val="16"/>
                <w:b w:val="1"/>
                <w:bCs w:val="1"/>
                <w:color w:val="0233A1"/>
              </w:rPr>
              <w:t>securities reflected in</w:t>
            </w:r>
          </w:p>
        </w:tc>
      </w:tr>
      <w:tr>
        <w:trPr>
          <w:trHeight w:val="230"/>
        </w:trPr>
        <w:tc>
          <w:tcPr>
            <w:tcW w:w="4940" w:type="dxa"/>
            <w:vAlign w:val="bottom"/>
            <w:tcBorders>
              <w:bottom w:val="single" w:sz="8" w:color="0233A1"/>
            </w:tcBorders>
          </w:tcPr>
          <w:p>
            <w:pPr>
              <w:ind w:left="40"/>
              <w:spacing w:after="0"/>
              <w:rPr>
                <w:sz w:val="20"/>
                <w:szCs w:val="20"/>
                <w:color w:val="auto"/>
              </w:rPr>
            </w:pPr>
            <w:r>
              <w:rPr>
                <w:rFonts w:ascii="Arial" w:cs="Arial" w:eastAsia="Arial" w:hAnsi="Arial"/>
                <w:sz w:val="16"/>
                <w:szCs w:val="16"/>
                <w:b w:val="1"/>
                <w:bCs w:val="1"/>
                <w:color w:val="0233A1"/>
              </w:rPr>
              <w:t>Plan category</w:t>
            </w:r>
          </w:p>
        </w:tc>
        <w:tc>
          <w:tcPr>
            <w:tcW w:w="2140" w:type="dxa"/>
            <w:vAlign w:val="bottom"/>
            <w:tcBorders>
              <w:bottom w:val="single" w:sz="8" w:color="0233A1"/>
            </w:tcBorders>
          </w:tcPr>
          <w:p>
            <w:pPr>
              <w:jc w:val="right"/>
              <w:ind w:right="299"/>
              <w:spacing w:after="0"/>
              <w:rPr>
                <w:sz w:val="20"/>
                <w:szCs w:val="20"/>
                <w:color w:val="auto"/>
              </w:rPr>
            </w:pPr>
            <w:r>
              <w:rPr>
                <w:rFonts w:ascii="Arial" w:cs="Arial" w:eastAsia="Arial" w:hAnsi="Arial"/>
                <w:sz w:val="16"/>
                <w:szCs w:val="16"/>
                <w:b w:val="1"/>
                <w:bCs w:val="1"/>
                <w:color w:val="0233A1"/>
              </w:rPr>
              <w:t>and rights</w:t>
            </w:r>
          </w:p>
        </w:tc>
        <w:tc>
          <w:tcPr>
            <w:tcW w:w="2080" w:type="dxa"/>
            <w:vAlign w:val="bottom"/>
            <w:tcBorders>
              <w:bottom w:val="single" w:sz="8" w:color="0233A1"/>
            </w:tcBorders>
          </w:tcPr>
          <w:p>
            <w:pPr>
              <w:jc w:val="right"/>
              <w:ind w:right="99"/>
              <w:spacing w:after="0" w:line="230" w:lineRule="exact"/>
              <w:rPr>
                <w:sz w:val="20"/>
                <w:szCs w:val="20"/>
                <w:color w:val="auto"/>
              </w:rPr>
            </w:pPr>
            <w:r>
              <w:rPr>
                <w:rFonts w:ascii="Arial" w:cs="Arial" w:eastAsia="Arial" w:hAnsi="Arial"/>
                <w:sz w:val="16"/>
                <w:szCs w:val="16"/>
                <w:b w:val="1"/>
                <w:bCs w:val="1"/>
                <w:color w:val="0233A1"/>
              </w:rPr>
              <w:t>($)</w:t>
            </w:r>
            <w:r>
              <w:rPr>
                <w:rFonts w:ascii="Arial" w:cs="Arial" w:eastAsia="Arial" w:hAnsi="Arial"/>
                <w:sz w:val="26"/>
                <w:szCs w:val="26"/>
                <w:color w:val="0233A1"/>
                <w:vertAlign w:val="superscript"/>
              </w:rPr>
              <w:t>(1)</w:t>
            </w:r>
          </w:p>
        </w:tc>
        <w:tc>
          <w:tcPr>
            <w:tcW w:w="2080" w:type="dxa"/>
            <w:vAlign w:val="bottom"/>
            <w:tcBorders>
              <w:bottom w:val="single" w:sz="8" w:color="0233A1"/>
            </w:tcBorders>
          </w:tcPr>
          <w:p>
            <w:pPr>
              <w:jc w:val="right"/>
              <w:ind w:right="140"/>
              <w:spacing w:after="0"/>
              <w:rPr>
                <w:sz w:val="20"/>
                <w:szCs w:val="20"/>
                <w:color w:val="auto"/>
              </w:rPr>
            </w:pPr>
            <w:r>
              <w:rPr>
                <w:rFonts w:ascii="Arial" w:cs="Arial" w:eastAsia="Arial" w:hAnsi="Arial"/>
                <w:sz w:val="16"/>
                <w:szCs w:val="16"/>
                <w:b w:val="1"/>
                <w:bCs w:val="1"/>
                <w:color w:val="0233A1"/>
              </w:rPr>
              <w:t>column (a))</w:t>
            </w:r>
          </w:p>
        </w:tc>
      </w:tr>
      <w:tr>
        <w:trPr>
          <w:trHeight w:val="224"/>
        </w:trPr>
        <w:tc>
          <w:tcPr>
            <w:tcW w:w="4940" w:type="dxa"/>
            <w:vAlign w:val="bottom"/>
          </w:tcPr>
          <w:p>
            <w:pPr>
              <w:ind w:left="40"/>
              <w:spacing w:after="0"/>
              <w:rPr>
                <w:sz w:val="20"/>
                <w:szCs w:val="20"/>
                <w:color w:val="auto"/>
              </w:rPr>
            </w:pPr>
            <w:r>
              <w:rPr>
                <w:rFonts w:ascii="Arial" w:cs="Arial" w:eastAsia="Arial" w:hAnsi="Arial"/>
                <w:sz w:val="16"/>
                <w:szCs w:val="16"/>
                <w:color w:val="auto"/>
              </w:rPr>
              <w:t>Equity compensation plans approved by security holders</w:t>
            </w:r>
          </w:p>
        </w:tc>
        <w:tc>
          <w:tcPr>
            <w:tcW w:w="2140" w:type="dxa"/>
            <w:vAlign w:val="bottom"/>
          </w:tcPr>
          <w:p>
            <w:pPr>
              <w:jc w:val="right"/>
              <w:ind w:right="299"/>
              <w:spacing w:after="0"/>
              <w:rPr>
                <w:sz w:val="20"/>
                <w:szCs w:val="20"/>
                <w:color w:val="auto"/>
              </w:rPr>
            </w:pPr>
            <w:r>
              <w:rPr>
                <w:rFonts w:ascii="Arial" w:cs="Arial" w:eastAsia="Arial" w:hAnsi="Arial"/>
                <w:sz w:val="16"/>
                <w:szCs w:val="16"/>
                <w:color w:val="auto"/>
              </w:rPr>
              <w:t>26,994,176</w:t>
            </w:r>
          </w:p>
        </w:tc>
        <w:tc>
          <w:tcPr>
            <w:tcW w:w="2080" w:type="dxa"/>
            <w:vAlign w:val="bottom"/>
          </w:tcPr>
          <w:p>
            <w:pPr>
              <w:jc w:val="right"/>
              <w:ind w:right="259"/>
              <w:spacing w:after="0"/>
              <w:rPr>
                <w:sz w:val="20"/>
                <w:szCs w:val="20"/>
                <w:color w:val="auto"/>
              </w:rPr>
            </w:pPr>
            <w:r>
              <w:rPr>
                <w:rFonts w:ascii="Arial" w:cs="Arial" w:eastAsia="Arial" w:hAnsi="Arial"/>
                <w:sz w:val="16"/>
                <w:szCs w:val="16"/>
                <w:color w:val="auto"/>
              </w:rPr>
              <w:t>72.55</w:t>
            </w:r>
          </w:p>
        </w:tc>
        <w:tc>
          <w:tcPr>
            <w:tcW w:w="2080" w:type="dxa"/>
            <w:vAlign w:val="bottom"/>
          </w:tcPr>
          <w:p>
            <w:pPr>
              <w:jc w:val="right"/>
              <w:spacing w:after="0" w:line="223" w:lineRule="exact"/>
              <w:rPr>
                <w:sz w:val="20"/>
                <w:szCs w:val="20"/>
                <w:color w:val="auto"/>
              </w:rPr>
            </w:pPr>
            <w:r>
              <w:rPr>
                <w:rFonts w:ascii="Arial" w:cs="Arial" w:eastAsia="Arial" w:hAnsi="Arial"/>
                <w:sz w:val="16"/>
                <w:szCs w:val="16"/>
                <w:color w:val="auto"/>
              </w:rPr>
              <w:t>32,190,471</w:t>
            </w:r>
            <w:r>
              <w:rPr>
                <w:rFonts w:ascii="Arial" w:cs="Arial" w:eastAsia="Arial" w:hAnsi="Arial"/>
                <w:sz w:val="25"/>
                <w:szCs w:val="25"/>
                <w:color w:val="auto"/>
                <w:vertAlign w:val="superscript"/>
              </w:rPr>
              <w:t>(2)</w:t>
            </w:r>
          </w:p>
        </w:tc>
      </w:tr>
      <w:tr>
        <w:trPr>
          <w:trHeight w:val="242"/>
        </w:trPr>
        <w:tc>
          <w:tcPr>
            <w:tcW w:w="4940" w:type="dxa"/>
            <w:vAlign w:val="bottom"/>
            <w:tcBorders>
              <w:bottom w:val="single" w:sz="8" w:color="0233A1"/>
            </w:tcBorders>
          </w:tcPr>
          <w:p>
            <w:pPr>
              <w:ind w:left="40"/>
              <w:spacing w:after="0" w:line="242" w:lineRule="exact"/>
              <w:rPr>
                <w:sz w:val="20"/>
                <w:szCs w:val="20"/>
                <w:color w:val="auto"/>
              </w:rPr>
            </w:pPr>
            <w:r>
              <w:rPr>
                <w:rFonts w:ascii="Arial" w:cs="Arial" w:eastAsia="Arial" w:hAnsi="Arial"/>
                <w:sz w:val="16"/>
                <w:szCs w:val="16"/>
                <w:color w:val="auto"/>
              </w:rPr>
              <w:t>Equity compensation plans not approved by security holders</w:t>
            </w:r>
            <w:r>
              <w:rPr>
                <w:rFonts w:ascii="Arial" w:cs="Arial" w:eastAsia="Arial" w:hAnsi="Arial"/>
                <w:sz w:val="26"/>
                <w:szCs w:val="26"/>
                <w:color w:val="auto"/>
                <w:vertAlign w:val="superscript"/>
              </w:rPr>
              <w:t>(3)</w:t>
            </w:r>
          </w:p>
        </w:tc>
        <w:tc>
          <w:tcPr>
            <w:tcW w:w="2140" w:type="dxa"/>
            <w:vAlign w:val="bottom"/>
            <w:tcBorders>
              <w:bottom w:val="single" w:sz="8" w:color="0233A1"/>
            </w:tcBorders>
          </w:tcPr>
          <w:p>
            <w:pPr>
              <w:jc w:val="right"/>
              <w:ind w:right="299"/>
              <w:spacing w:after="0"/>
              <w:rPr>
                <w:sz w:val="20"/>
                <w:szCs w:val="20"/>
                <w:color w:val="auto"/>
              </w:rPr>
            </w:pPr>
            <w:r>
              <w:rPr>
                <w:rFonts w:ascii="Arial" w:cs="Arial" w:eastAsia="Arial" w:hAnsi="Arial"/>
                <w:sz w:val="16"/>
                <w:szCs w:val="16"/>
                <w:color w:val="auto"/>
              </w:rPr>
              <w:t>1,056,419</w:t>
            </w:r>
          </w:p>
        </w:tc>
        <w:tc>
          <w:tcPr>
            <w:tcW w:w="2080" w:type="dxa"/>
            <w:vAlign w:val="bottom"/>
            <w:tcBorders>
              <w:bottom w:val="single" w:sz="8" w:color="0233A1"/>
            </w:tcBorders>
          </w:tcPr>
          <w:p>
            <w:pPr>
              <w:jc w:val="right"/>
              <w:ind w:right="259"/>
              <w:spacing w:after="0"/>
              <w:rPr>
                <w:sz w:val="20"/>
                <w:szCs w:val="20"/>
                <w:color w:val="auto"/>
              </w:rPr>
            </w:pPr>
            <w:r>
              <w:rPr>
                <w:rFonts w:ascii="Arial" w:cs="Arial" w:eastAsia="Arial" w:hAnsi="Arial"/>
                <w:sz w:val="16"/>
                <w:szCs w:val="16"/>
                <w:color w:val="auto"/>
              </w:rPr>
              <w:t>66.91</w:t>
            </w:r>
          </w:p>
        </w:tc>
        <w:tc>
          <w:tcPr>
            <w:tcW w:w="2080" w:type="dxa"/>
            <w:vAlign w:val="bottom"/>
            <w:tcBorders>
              <w:bottom w:val="single" w:sz="8" w:color="0233A1"/>
            </w:tcBorders>
          </w:tcPr>
          <w:p>
            <w:pPr>
              <w:jc w:val="right"/>
              <w:ind w:right="140"/>
              <w:spacing w:after="0"/>
              <w:rPr>
                <w:sz w:val="20"/>
                <w:szCs w:val="20"/>
                <w:color w:val="auto"/>
              </w:rPr>
            </w:pPr>
            <w:r>
              <w:rPr>
                <w:rFonts w:ascii="Arial" w:cs="Arial" w:eastAsia="Arial" w:hAnsi="Arial"/>
                <w:sz w:val="16"/>
                <w:szCs w:val="16"/>
                <w:color w:val="auto"/>
              </w:rPr>
              <w:t>—</w:t>
            </w:r>
          </w:p>
        </w:tc>
      </w:tr>
      <w:tr>
        <w:trPr>
          <w:trHeight w:val="189"/>
        </w:trPr>
        <w:tc>
          <w:tcPr>
            <w:tcW w:w="4940" w:type="dxa"/>
            <w:vAlign w:val="bottom"/>
            <w:tcBorders>
              <w:bottom w:val="single" w:sz="8" w:color="0233A1"/>
            </w:tcBorders>
            <w:shd w:val="clear" w:color="auto" w:fill="EBECEE"/>
          </w:tcPr>
          <w:p>
            <w:pPr>
              <w:ind w:left="40"/>
              <w:spacing w:after="0" w:line="183" w:lineRule="exact"/>
              <w:rPr>
                <w:sz w:val="20"/>
                <w:szCs w:val="20"/>
                <w:color w:val="auto"/>
              </w:rPr>
            </w:pPr>
            <w:r>
              <w:rPr>
                <w:rFonts w:ascii="Arial" w:cs="Arial" w:eastAsia="Arial" w:hAnsi="Arial"/>
                <w:sz w:val="16"/>
                <w:szCs w:val="16"/>
                <w:b w:val="1"/>
                <w:bCs w:val="1"/>
                <w:color w:val="auto"/>
              </w:rPr>
              <w:t>Total</w:t>
            </w:r>
          </w:p>
        </w:tc>
        <w:tc>
          <w:tcPr>
            <w:tcW w:w="2140" w:type="dxa"/>
            <w:vAlign w:val="bottom"/>
            <w:tcBorders>
              <w:bottom w:val="single" w:sz="8" w:color="0233A1"/>
            </w:tcBorders>
            <w:shd w:val="clear" w:color="auto" w:fill="EBECEE"/>
          </w:tcPr>
          <w:p>
            <w:pPr>
              <w:jc w:val="right"/>
              <w:ind w:right="299"/>
              <w:spacing w:after="0" w:line="183" w:lineRule="exact"/>
              <w:rPr>
                <w:sz w:val="20"/>
                <w:szCs w:val="20"/>
                <w:color w:val="auto"/>
              </w:rPr>
            </w:pPr>
            <w:r>
              <w:rPr>
                <w:rFonts w:ascii="Arial" w:cs="Arial" w:eastAsia="Arial" w:hAnsi="Arial"/>
                <w:sz w:val="16"/>
                <w:szCs w:val="16"/>
                <w:b w:val="1"/>
                <w:bCs w:val="1"/>
                <w:color w:val="auto"/>
              </w:rPr>
              <w:t>28,050,595</w:t>
            </w:r>
          </w:p>
        </w:tc>
        <w:tc>
          <w:tcPr>
            <w:tcW w:w="2080" w:type="dxa"/>
            <w:vAlign w:val="bottom"/>
            <w:tcBorders>
              <w:bottom w:val="single" w:sz="8" w:color="0233A1"/>
            </w:tcBorders>
            <w:shd w:val="clear" w:color="auto" w:fill="EBECEE"/>
          </w:tcPr>
          <w:p>
            <w:pPr>
              <w:jc w:val="right"/>
              <w:ind w:right="259"/>
              <w:spacing w:after="0" w:line="183" w:lineRule="exact"/>
              <w:rPr>
                <w:sz w:val="20"/>
                <w:szCs w:val="20"/>
                <w:color w:val="auto"/>
              </w:rPr>
            </w:pPr>
            <w:r>
              <w:rPr>
                <w:rFonts w:ascii="Arial" w:cs="Arial" w:eastAsia="Arial" w:hAnsi="Arial"/>
                <w:sz w:val="16"/>
                <w:szCs w:val="16"/>
                <w:b w:val="1"/>
                <w:bCs w:val="1"/>
                <w:color w:val="auto"/>
              </w:rPr>
              <w:t>72.33</w:t>
            </w:r>
          </w:p>
        </w:tc>
        <w:tc>
          <w:tcPr>
            <w:tcW w:w="2080" w:type="dxa"/>
            <w:vAlign w:val="bottom"/>
            <w:tcBorders>
              <w:bottom w:val="single" w:sz="8" w:color="0233A1"/>
            </w:tcBorders>
            <w:shd w:val="clear" w:color="auto" w:fill="EBECEE"/>
          </w:tcPr>
          <w:p>
            <w:pPr>
              <w:jc w:val="right"/>
              <w:spacing w:after="0" w:line="183" w:lineRule="exact"/>
              <w:rPr>
                <w:sz w:val="20"/>
                <w:szCs w:val="20"/>
                <w:color w:val="auto"/>
              </w:rPr>
            </w:pPr>
            <w:r>
              <w:rPr>
                <w:rFonts w:ascii="Arial" w:cs="Arial" w:eastAsia="Arial" w:hAnsi="Arial"/>
                <w:sz w:val="14"/>
                <w:szCs w:val="14"/>
                <w:b w:val="1"/>
                <w:bCs w:val="1"/>
                <w:color w:val="auto"/>
              </w:rPr>
              <w:t>32,190,471</w:t>
            </w:r>
            <w:r>
              <w:rPr>
                <w:rFonts w:ascii="Arial" w:cs="Arial" w:eastAsia="Arial" w:hAnsi="Arial"/>
                <w:sz w:val="21"/>
                <w:szCs w:val="21"/>
                <w:b w:val="1"/>
                <w:bCs w:val="1"/>
                <w:color w:val="auto"/>
                <w:vertAlign w:val="superscript"/>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8890" cy="8255"/>
            <wp:wrapNone/>
            <wp:docPr id="3079" name="Picture 3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9"/>
                    <pic:cNvPicPr>
                      <a:picLocks noChangeAspect="1" noChangeArrowheads="1"/>
                    </pic:cNvPicPr>
                  </pic:nvPicPr>
                  <pic:blipFill>
                    <a:blip r:embed="rId30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-299720</wp:posOffset>
            </wp:positionV>
            <wp:extent cx="8890" cy="8255"/>
            <wp:wrapNone/>
            <wp:docPr id="3080" name="Picture 3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0"/>
                    <pic:cNvPicPr>
                      <a:picLocks noChangeAspect="1" noChangeArrowheads="1"/>
                    </pic:cNvPicPr>
                  </pic:nvPicPr>
                  <pic:blipFill>
                    <a:blip r:embed="rId30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-299720</wp:posOffset>
            </wp:positionV>
            <wp:extent cx="8255" cy="8255"/>
            <wp:wrapNone/>
            <wp:docPr id="3081" name="Picture 3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1"/>
                    <pic:cNvPicPr>
                      <a:picLocks noChangeAspect="1" noChangeArrowheads="1"/>
                    </pic:cNvPicPr>
                  </pic:nvPicPr>
                  <pic:blipFill>
                    <a:blip r:embed="rId30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-299720</wp:posOffset>
            </wp:positionV>
            <wp:extent cx="8255" cy="8255"/>
            <wp:wrapNone/>
            <wp:docPr id="3082" name="Picture 3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2"/>
                    <pic:cNvPicPr>
                      <a:picLocks noChangeAspect="1" noChangeArrowheads="1"/>
                    </pic:cNvPicPr>
                  </pic:nvPicPr>
                  <pic:blipFill>
                    <a:blip r:embed="rId30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-299720</wp:posOffset>
            </wp:positionV>
            <wp:extent cx="8890" cy="8255"/>
            <wp:wrapNone/>
            <wp:docPr id="3083" name="Picture 3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3"/>
                    <pic:cNvPicPr>
                      <a:picLocks noChangeAspect="1" noChangeArrowheads="1"/>
                    </pic:cNvPicPr>
                  </pic:nvPicPr>
                  <pic:blipFill>
                    <a:blip r:embed="rId30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-299720</wp:posOffset>
            </wp:positionV>
            <wp:extent cx="8255" cy="8255"/>
            <wp:wrapNone/>
            <wp:docPr id="3084" name="Picture 3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4"/>
                    <pic:cNvPicPr>
                      <a:picLocks noChangeAspect="1" noChangeArrowheads="1"/>
                    </pic:cNvPicPr>
                  </pic:nvPicPr>
                  <pic:blipFill>
                    <a:blip r:embed="rId30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-299720</wp:posOffset>
            </wp:positionV>
            <wp:extent cx="8255" cy="8255"/>
            <wp:wrapNone/>
            <wp:docPr id="3085" name="Picture 3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5"/>
                    <pic:cNvPicPr>
                      <a:picLocks noChangeAspect="1" noChangeArrowheads="1"/>
                    </pic:cNvPicPr>
                  </pic:nvPicPr>
                  <pic:blipFill>
                    <a:blip r:embed="rId30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-299720</wp:posOffset>
            </wp:positionV>
            <wp:extent cx="8255" cy="8255"/>
            <wp:wrapNone/>
            <wp:docPr id="3086" name="Picture 3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6"/>
                    <pic:cNvPicPr>
                      <a:picLocks noChangeAspect="1" noChangeArrowheads="1"/>
                    </pic:cNvPicPr>
                  </pic:nvPicPr>
                  <pic:blipFill>
                    <a:blip r:embed="rId30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-299720</wp:posOffset>
            </wp:positionV>
            <wp:extent cx="8890" cy="8255"/>
            <wp:wrapNone/>
            <wp:docPr id="3087" name="Picture 3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7"/>
                    <pic:cNvPicPr>
                      <a:picLocks noChangeAspect="1" noChangeArrowheads="1"/>
                    </pic:cNvPicPr>
                  </pic:nvPicPr>
                  <pic:blipFill>
                    <a:blip r:embed="rId30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-299720</wp:posOffset>
            </wp:positionV>
            <wp:extent cx="8255" cy="8255"/>
            <wp:wrapNone/>
            <wp:docPr id="3088" name="Picture 3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8"/>
                    <pic:cNvPicPr>
                      <a:picLocks noChangeAspect="1" noChangeArrowheads="1"/>
                    </pic:cNvPicPr>
                  </pic:nvPicPr>
                  <pic:blipFill>
                    <a:blip r:embed="rId30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-299720</wp:posOffset>
            </wp:positionV>
            <wp:extent cx="8255" cy="8255"/>
            <wp:wrapNone/>
            <wp:docPr id="3089" name="Picture 3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9"/>
                    <pic:cNvPicPr>
                      <a:picLocks noChangeAspect="1" noChangeArrowheads="1"/>
                    </pic:cNvPicPr>
                  </pic:nvPicPr>
                  <pic:blipFill>
                    <a:blip r:embed="rId30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-299720</wp:posOffset>
            </wp:positionV>
            <wp:extent cx="8890" cy="8255"/>
            <wp:wrapNone/>
            <wp:docPr id="3090" name="Picture 3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0"/>
                    <pic:cNvPicPr>
                      <a:picLocks noChangeAspect="1" noChangeArrowheads="1"/>
                    </pic:cNvPicPr>
                  </pic:nvPicPr>
                  <pic:blipFill>
                    <a:blip r:embed="rId30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-299720</wp:posOffset>
            </wp:positionV>
            <wp:extent cx="8255" cy="8255"/>
            <wp:wrapNone/>
            <wp:docPr id="3091" name="Picture 3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1"/>
                    <pic:cNvPicPr>
                      <a:picLocks noChangeAspect="1" noChangeArrowheads="1"/>
                    </pic:cNvPicPr>
                  </pic:nvPicPr>
                  <pic:blipFill>
                    <a:blip r:embed="rId30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-299720</wp:posOffset>
            </wp:positionV>
            <wp:extent cx="8255" cy="8255"/>
            <wp:wrapNone/>
            <wp:docPr id="3092" name="Picture 3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2"/>
                    <pic:cNvPicPr>
                      <a:picLocks noChangeAspect="1" noChangeArrowheads="1"/>
                    </pic:cNvPicPr>
                  </pic:nvPicPr>
                  <pic:blipFill>
                    <a:blip r:embed="rId30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-299720</wp:posOffset>
            </wp:positionV>
            <wp:extent cx="8255" cy="8255"/>
            <wp:wrapNone/>
            <wp:docPr id="3093" name="Picture 3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3"/>
                    <pic:cNvPicPr>
                      <a:picLocks noChangeAspect="1" noChangeArrowheads="1"/>
                    </pic:cNvPicPr>
                  </pic:nvPicPr>
                  <pic:blipFill>
                    <a:blip r:embed="rId3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-299720</wp:posOffset>
            </wp:positionV>
            <wp:extent cx="8255" cy="8255"/>
            <wp:wrapNone/>
            <wp:docPr id="3094" name="Picture 3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4"/>
                    <pic:cNvPicPr>
                      <a:picLocks noChangeAspect="1" noChangeArrowheads="1"/>
                    </pic:cNvPicPr>
                  </pic:nvPicPr>
                  <pic:blipFill>
                    <a:blip r:embed="rId31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-299720</wp:posOffset>
            </wp:positionV>
            <wp:extent cx="8255" cy="8255"/>
            <wp:wrapNone/>
            <wp:docPr id="3095" name="Picture 3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5"/>
                    <pic:cNvPicPr>
                      <a:picLocks noChangeAspect="1" noChangeArrowheads="1"/>
                    </pic:cNvPicPr>
                  </pic:nvPicPr>
                  <pic:blipFill>
                    <a:blip r:embed="rId31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-299720</wp:posOffset>
            </wp:positionV>
            <wp:extent cx="8890" cy="8255"/>
            <wp:wrapNone/>
            <wp:docPr id="3096" name="Picture 3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6"/>
                    <pic:cNvPicPr>
                      <a:picLocks noChangeAspect="1" noChangeArrowheads="1"/>
                    </pic:cNvPicPr>
                  </pic:nvPicPr>
                  <pic:blipFill>
                    <a:blip r:embed="rId31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-299720</wp:posOffset>
            </wp:positionV>
            <wp:extent cx="8255" cy="8255"/>
            <wp:wrapNone/>
            <wp:docPr id="3097" name="Picture 3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7"/>
                    <pic:cNvPicPr>
                      <a:picLocks noChangeAspect="1" noChangeArrowheads="1"/>
                    </pic:cNvPicPr>
                  </pic:nvPicPr>
                  <pic:blipFill>
                    <a:blip r:embed="rId3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-299720</wp:posOffset>
            </wp:positionV>
            <wp:extent cx="8255" cy="8255"/>
            <wp:wrapNone/>
            <wp:docPr id="3098" name="Picture 3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8"/>
                    <pic:cNvPicPr>
                      <a:picLocks noChangeAspect="1" noChangeArrowheads="1"/>
                    </pic:cNvPicPr>
                  </pic:nvPicPr>
                  <pic:blipFill>
                    <a:blip r:embed="rId3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-299720</wp:posOffset>
            </wp:positionV>
            <wp:extent cx="8890" cy="8255"/>
            <wp:wrapNone/>
            <wp:docPr id="3099" name="Picture 3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9"/>
                    <pic:cNvPicPr>
                      <a:picLocks noChangeAspect="1" noChangeArrowheads="1"/>
                    </pic:cNvPicPr>
                  </pic:nvPicPr>
                  <pic:blipFill>
                    <a:blip r:embed="rId31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-299720</wp:posOffset>
            </wp:positionV>
            <wp:extent cx="8255" cy="8255"/>
            <wp:wrapNone/>
            <wp:docPr id="3100" name="Picture 3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0"/>
                    <pic:cNvPicPr>
                      <a:picLocks noChangeAspect="1" noChangeArrowheads="1"/>
                    </pic:cNvPicPr>
                  </pic:nvPicPr>
                  <pic:blipFill>
                    <a:blip r:embed="rId3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-299720</wp:posOffset>
            </wp:positionV>
            <wp:extent cx="8255" cy="8255"/>
            <wp:wrapNone/>
            <wp:docPr id="3101" name="Picture 3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1"/>
                    <pic:cNvPicPr>
                      <a:picLocks noChangeAspect="1" noChangeArrowheads="1"/>
                    </pic:cNvPicPr>
                  </pic:nvPicPr>
                  <pic:blipFill>
                    <a:blip r:embed="rId31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-299720</wp:posOffset>
            </wp:positionV>
            <wp:extent cx="8255" cy="8255"/>
            <wp:wrapNone/>
            <wp:docPr id="3102" name="Picture 3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2"/>
                    <pic:cNvPicPr>
                      <a:picLocks noChangeAspect="1" noChangeArrowheads="1"/>
                    </pic:cNvPicPr>
                  </pic:nvPicPr>
                  <pic:blipFill>
                    <a:blip r:embed="rId3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-299720</wp:posOffset>
            </wp:positionV>
            <wp:extent cx="8255" cy="8255"/>
            <wp:wrapNone/>
            <wp:docPr id="3103" name="Picture 3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3"/>
                    <pic:cNvPicPr>
                      <a:picLocks noChangeAspect="1" noChangeArrowheads="1"/>
                    </pic:cNvPicPr>
                  </pic:nvPicPr>
                  <pic:blipFill>
                    <a:blip r:embed="rId31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-299720</wp:posOffset>
            </wp:positionV>
            <wp:extent cx="8255" cy="8255"/>
            <wp:wrapNone/>
            <wp:docPr id="3104" name="Picture 3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4"/>
                    <pic:cNvPicPr>
                      <a:picLocks noChangeAspect="1" noChangeArrowheads="1"/>
                    </pic:cNvPicPr>
                  </pic:nvPicPr>
                  <pic:blipFill>
                    <a:blip r:embed="rId31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-299720</wp:posOffset>
            </wp:positionV>
            <wp:extent cx="8255" cy="8255"/>
            <wp:wrapNone/>
            <wp:docPr id="3105" name="Picture 3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5"/>
                    <pic:cNvPicPr>
                      <a:picLocks noChangeAspect="1" noChangeArrowheads="1"/>
                    </pic:cNvPicPr>
                  </pic:nvPicPr>
                  <pic:blipFill>
                    <a:blip r:embed="rId31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-299720</wp:posOffset>
            </wp:positionV>
            <wp:extent cx="8255" cy="8255"/>
            <wp:wrapNone/>
            <wp:docPr id="3106" name="Picture 3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6"/>
                    <pic:cNvPicPr>
                      <a:picLocks noChangeAspect="1" noChangeArrowheads="1"/>
                    </pic:cNvPicPr>
                  </pic:nvPicPr>
                  <pic:blipFill>
                    <a:blip r:embed="rId3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-299720</wp:posOffset>
            </wp:positionV>
            <wp:extent cx="8255" cy="8255"/>
            <wp:wrapNone/>
            <wp:docPr id="3107" name="Picture 3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7"/>
                    <pic:cNvPicPr>
                      <a:picLocks noChangeAspect="1" noChangeArrowheads="1"/>
                    </pic:cNvPicPr>
                  </pic:nvPicPr>
                  <pic:blipFill>
                    <a:blip r:embed="rId3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-299720</wp:posOffset>
            </wp:positionV>
            <wp:extent cx="8255" cy="8255"/>
            <wp:wrapNone/>
            <wp:docPr id="3108" name="Picture 3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8"/>
                    <pic:cNvPicPr>
                      <a:picLocks noChangeAspect="1" noChangeArrowheads="1"/>
                    </pic:cNvPicPr>
                  </pic:nvPicPr>
                  <pic:blipFill>
                    <a:blip r:embed="rId31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-299720</wp:posOffset>
            </wp:positionV>
            <wp:extent cx="8255" cy="8255"/>
            <wp:wrapNone/>
            <wp:docPr id="3109" name="Picture 3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9"/>
                    <pic:cNvPicPr>
                      <a:picLocks noChangeAspect="1" noChangeArrowheads="1"/>
                    </pic:cNvPicPr>
                  </pic:nvPicPr>
                  <pic:blipFill>
                    <a:blip r:embed="rId31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-299720</wp:posOffset>
            </wp:positionV>
            <wp:extent cx="8890" cy="8255"/>
            <wp:wrapNone/>
            <wp:docPr id="3110" name="Picture 3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0"/>
                    <pic:cNvPicPr>
                      <a:picLocks noChangeAspect="1" noChangeArrowheads="1"/>
                    </pic:cNvPicPr>
                  </pic:nvPicPr>
                  <pic:blipFill>
                    <a:blip r:embed="rId31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-299720</wp:posOffset>
            </wp:positionV>
            <wp:extent cx="8255" cy="8255"/>
            <wp:wrapNone/>
            <wp:docPr id="3111" name="Picture 3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1"/>
                    <pic:cNvPicPr>
                      <a:picLocks noChangeAspect="1" noChangeArrowheads="1"/>
                    </pic:cNvPicPr>
                  </pic:nvPicPr>
                  <pic:blipFill>
                    <a:blip r:embed="rId3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-299720</wp:posOffset>
            </wp:positionV>
            <wp:extent cx="8255" cy="8255"/>
            <wp:wrapNone/>
            <wp:docPr id="3112" name="Picture 3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2"/>
                    <pic:cNvPicPr>
                      <a:picLocks noChangeAspect="1" noChangeArrowheads="1"/>
                    </pic:cNvPicPr>
                  </pic:nvPicPr>
                  <pic:blipFill>
                    <a:blip r:embed="rId3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-299720</wp:posOffset>
            </wp:positionV>
            <wp:extent cx="8890" cy="8255"/>
            <wp:wrapNone/>
            <wp:docPr id="3113" name="Picture 3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3"/>
                    <pic:cNvPicPr>
                      <a:picLocks noChangeAspect="1" noChangeArrowheads="1"/>
                    </pic:cNvPicPr>
                  </pic:nvPicPr>
                  <pic:blipFill>
                    <a:blip r:embed="rId31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-299720</wp:posOffset>
            </wp:positionV>
            <wp:extent cx="8890" cy="8255"/>
            <wp:wrapNone/>
            <wp:docPr id="3114" name="Picture 3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4"/>
                    <pic:cNvPicPr>
                      <a:picLocks noChangeAspect="1" noChangeArrowheads="1"/>
                    </pic:cNvPicPr>
                  </pic:nvPicPr>
                  <pic:blipFill>
                    <a:blip r:embed="rId31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-299720</wp:posOffset>
            </wp:positionV>
            <wp:extent cx="8890" cy="8255"/>
            <wp:wrapNone/>
            <wp:docPr id="3115" name="Picture 3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5"/>
                    <pic:cNvPicPr>
                      <a:picLocks noChangeAspect="1" noChangeArrowheads="1"/>
                    </pic:cNvPicPr>
                  </pic:nvPicPr>
                  <pic:blipFill>
                    <a:blip r:embed="rId31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-299720</wp:posOffset>
            </wp:positionV>
            <wp:extent cx="8890" cy="8255"/>
            <wp:wrapNone/>
            <wp:docPr id="3116" name="Picture 3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6"/>
                    <pic:cNvPicPr>
                      <a:picLocks noChangeAspect="1" noChangeArrowheads="1"/>
                    </pic:cNvPicPr>
                  </pic:nvPicPr>
                  <pic:blipFill>
                    <a:blip r:embed="rId31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-299720</wp:posOffset>
            </wp:positionV>
            <wp:extent cx="8890" cy="8255"/>
            <wp:wrapNone/>
            <wp:docPr id="3117" name="Picture 3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7"/>
                    <pic:cNvPicPr>
                      <a:picLocks noChangeAspect="1" noChangeArrowheads="1"/>
                    </pic:cNvPicPr>
                  </pic:nvPicPr>
                  <pic:blipFill>
                    <a:blip r:embed="rId3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-299720</wp:posOffset>
            </wp:positionV>
            <wp:extent cx="8255" cy="8255"/>
            <wp:wrapNone/>
            <wp:docPr id="3118" name="Picture 3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8"/>
                    <pic:cNvPicPr>
                      <a:picLocks noChangeAspect="1" noChangeArrowheads="1"/>
                    </pic:cNvPicPr>
                  </pic:nvPicPr>
                  <pic:blipFill>
                    <a:blip r:embed="rId31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-299720</wp:posOffset>
            </wp:positionV>
            <wp:extent cx="8255" cy="8255"/>
            <wp:wrapNone/>
            <wp:docPr id="3119" name="Picture 3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9"/>
                    <pic:cNvPicPr>
                      <a:picLocks noChangeAspect="1" noChangeArrowheads="1"/>
                    </pic:cNvPicPr>
                  </pic:nvPicPr>
                  <pic:blipFill>
                    <a:blip r:embed="rId31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-299720</wp:posOffset>
            </wp:positionV>
            <wp:extent cx="8890" cy="8255"/>
            <wp:wrapNone/>
            <wp:docPr id="3120" name="Picture 3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0"/>
                    <pic:cNvPicPr>
                      <a:picLocks noChangeAspect="1" noChangeArrowheads="1"/>
                    </pic:cNvPicPr>
                  </pic:nvPicPr>
                  <pic:blipFill>
                    <a:blip r:embed="rId31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-299720</wp:posOffset>
            </wp:positionV>
            <wp:extent cx="8890" cy="8255"/>
            <wp:wrapNone/>
            <wp:docPr id="3121" name="Picture 3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1"/>
                    <pic:cNvPicPr>
                      <a:picLocks noChangeAspect="1" noChangeArrowheads="1"/>
                    </pic:cNvPicPr>
                  </pic:nvPicPr>
                  <pic:blipFill>
                    <a:blip r:embed="rId31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-299720</wp:posOffset>
            </wp:positionV>
            <wp:extent cx="8890" cy="8255"/>
            <wp:wrapNone/>
            <wp:docPr id="3122" name="Picture 3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2"/>
                    <pic:cNvPicPr>
                      <a:picLocks noChangeAspect="1" noChangeArrowheads="1"/>
                    </pic:cNvPicPr>
                  </pic:nvPicPr>
                  <pic:blipFill>
                    <a:blip r:embed="rId3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-299720</wp:posOffset>
            </wp:positionV>
            <wp:extent cx="8255" cy="8255"/>
            <wp:wrapNone/>
            <wp:docPr id="3123" name="Picture 3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3"/>
                    <pic:cNvPicPr>
                      <a:picLocks noChangeAspect="1" noChangeArrowheads="1"/>
                    </pic:cNvPicPr>
                  </pic:nvPicPr>
                  <pic:blipFill>
                    <a:blip r:embed="rId3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-299720</wp:posOffset>
            </wp:positionV>
            <wp:extent cx="8255" cy="8255"/>
            <wp:wrapNone/>
            <wp:docPr id="3124" name="Picture 3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4"/>
                    <pic:cNvPicPr>
                      <a:picLocks noChangeAspect="1" noChangeArrowheads="1"/>
                    </pic:cNvPicPr>
                  </pic:nvPicPr>
                  <pic:blipFill>
                    <a:blip r:embed="rId31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-299720</wp:posOffset>
            </wp:positionV>
            <wp:extent cx="8255" cy="8255"/>
            <wp:wrapNone/>
            <wp:docPr id="3125" name="Picture 3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5"/>
                    <pic:cNvPicPr>
                      <a:picLocks noChangeAspect="1" noChangeArrowheads="1"/>
                    </pic:cNvPicPr>
                  </pic:nvPicPr>
                  <pic:blipFill>
                    <a:blip r:embed="rId3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-299720</wp:posOffset>
            </wp:positionV>
            <wp:extent cx="8890" cy="8255"/>
            <wp:wrapNone/>
            <wp:docPr id="3126" name="Picture 3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6"/>
                    <pic:cNvPicPr>
                      <a:picLocks noChangeAspect="1" noChangeArrowheads="1"/>
                    </pic:cNvPicPr>
                  </pic:nvPicPr>
                  <pic:blipFill>
                    <a:blip r:embed="rId31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-299720</wp:posOffset>
            </wp:positionV>
            <wp:extent cx="8890" cy="8255"/>
            <wp:wrapNone/>
            <wp:docPr id="3127" name="Picture 3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7"/>
                    <pic:cNvPicPr>
                      <a:picLocks noChangeAspect="1" noChangeArrowheads="1"/>
                    </pic:cNvPicPr>
                  </pic:nvPicPr>
                  <pic:blipFill>
                    <a:blip r:embed="rId3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-299720</wp:posOffset>
            </wp:positionV>
            <wp:extent cx="8890" cy="8255"/>
            <wp:wrapNone/>
            <wp:docPr id="3128" name="Picture 3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8"/>
                    <pic:cNvPicPr>
                      <a:picLocks noChangeAspect="1" noChangeArrowheads="1"/>
                    </pic:cNvPicPr>
                  </pic:nvPicPr>
                  <pic:blipFill>
                    <a:blip r:embed="rId3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-299720</wp:posOffset>
            </wp:positionV>
            <wp:extent cx="8255" cy="8255"/>
            <wp:wrapNone/>
            <wp:docPr id="3129" name="Picture 3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9"/>
                    <pic:cNvPicPr>
                      <a:picLocks noChangeAspect="1" noChangeArrowheads="1"/>
                    </pic:cNvPicPr>
                  </pic:nvPicPr>
                  <pic:blipFill>
                    <a:blip r:embed="rId31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-299720</wp:posOffset>
            </wp:positionV>
            <wp:extent cx="8255" cy="8255"/>
            <wp:wrapNone/>
            <wp:docPr id="3130" name="Picture 3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0"/>
                    <pic:cNvPicPr>
                      <a:picLocks noChangeAspect="1" noChangeArrowheads="1"/>
                    </pic:cNvPicPr>
                  </pic:nvPicPr>
                  <pic:blipFill>
                    <a:blip r:embed="rId31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-299720</wp:posOffset>
            </wp:positionV>
            <wp:extent cx="8890" cy="8255"/>
            <wp:wrapNone/>
            <wp:docPr id="3131" name="Picture 3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1"/>
                    <pic:cNvPicPr>
                      <a:picLocks noChangeAspect="1" noChangeArrowheads="1"/>
                    </pic:cNvPicPr>
                  </pic:nvPicPr>
                  <pic:blipFill>
                    <a:blip r:embed="rId31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-299720</wp:posOffset>
            </wp:positionV>
            <wp:extent cx="8890" cy="8255"/>
            <wp:wrapNone/>
            <wp:docPr id="3132" name="Picture 3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2"/>
                    <pic:cNvPicPr>
                      <a:picLocks noChangeAspect="1" noChangeArrowheads="1"/>
                    </pic:cNvPicPr>
                  </pic:nvPicPr>
                  <pic:blipFill>
                    <a:blip r:embed="rId3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-299720</wp:posOffset>
            </wp:positionV>
            <wp:extent cx="8890" cy="8255"/>
            <wp:wrapNone/>
            <wp:docPr id="3133" name="Picture 3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3"/>
                    <pic:cNvPicPr>
                      <a:picLocks noChangeAspect="1" noChangeArrowheads="1"/>
                    </pic:cNvPicPr>
                  </pic:nvPicPr>
                  <pic:blipFill>
                    <a:blip r:embed="rId3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-299720</wp:posOffset>
            </wp:positionV>
            <wp:extent cx="8255" cy="8255"/>
            <wp:wrapNone/>
            <wp:docPr id="3134" name="Picture 3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4"/>
                    <pic:cNvPicPr>
                      <a:picLocks noChangeAspect="1" noChangeArrowheads="1"/>
                    </pic:cNvPicPr>
                  </pic:nvPicPr>
                  <pic:blipFill>
                    <a:blip r:embed="rId31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-299720</wp:posOffset>
            </wp:positionV>
            <wp:extent cx="8255" cy="8255"/>
            <wp:wrapNone/>
            <wp:docPr id="3135" name="Picture 3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5"/>
                    <pic:cNvPicPr>
                      <a:picLocks noChangeAspect="1" noChangeArrowheads="1"/>
                    </pic:cNvPicPr>
                  </pic:nvPicPr>
                  <pic:blipFill>
                    <a:blip r:embed="rId31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-299720</wp:posOffset>
            </wp:positionV>
            <wp:extent cx="8255" cy="8255"/>
            <wp:wrapNone/>
            <wp:docPr id="3136" name="Picture 3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6"/>
                    <pic:cNvPicPr>
                      <a:picLocks noChangeAspect="1" noChangeArrowheads="1"/>
                    </pic:cNvPicPr>
                  </pic:nvPicPr>
                  <pic:blipFill>
                    <a:blip r:embed="rId3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-299720</wp:posOffset>
            </wp:positionV>
            <wp:extent cx="8890" cy="8255"/>
            <wp:wrapNone/>
            <wp:docPr id="3137" name="Picture 3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7"/>
                    <pic:cNvPicPr>
                      <a:picLocks noChangeAspect="1" noChangeArrowheads="1"/>
                    </pic:cNvPicPr>
                  </pic:nvPicPr>
                  <pic:blipFill>
                    <a:blip r:embed="rId3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-299720</wp:posOffset>
            </wp:positionV>
            <wp:extent cx="8890" cy="8255"/>
            <wp:wrapNone/>
            <wp:docPr id="3138" name="Picture 3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8"/>
                    <pic:cNvPicPr>
                      <a:picLocks noChangeAspect="1" noChangeArrowheads="1"/>
                    </pic:cNvPicPr>
                  </pic:nvPicPr>
                  <pic:blipFill>
                    <a:blip r:embed="rId31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-299720</wp:posOffset>
            </wp:positionV>
            <wp:extent cx="8890" cy="8255"/>
            <wp:wrapNone/>
            <wp:docPr id="3139" name="Picture 3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9"/>
                    <pic:cNvPicPr>
                      <a:picLocks noChangeAspect="1" noChangeArrowheads="1"/>
                    </pic:cNvPicPr>
                  </pic:nvPicPr>
                  <pic:blipFill>
                    <a:blip r:embed="rId31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-299720</wp:posOffset>
            </wp:positionV>
            <wp:extent cx="8255" cy="8255"/>
            <wp:wrapNone/>
            <wp:docPr id="3140" name="Picture 3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0"/>
                    <pic:cNvPicPr>
                      <a:picLocks noChangeAspect="1" noChangeArrowheads="1"/>
                    </pic:cNvPicPr>
                  </pic:nvPicPr>
                  <pic:blipFill>
                    <a:blip r:embed="rId31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-299720</wp:posOffset>
            </wp:positionV>
            <wp:extent cx="8255" cy="8255"/>
            <wp:wrapNone/>
            <wp:docPr id="3141" name="Picture 3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1"/>
                    <pic:cNvPicPr>
                      <a:picLocks noChangeAspect="1" noChangeArrowheads="1"/>
                    </pic:cNvPicPr>
                  </pic:nvPicPr>
                  <pic:blipFill>
                    <a:blip r:embed="rId31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-299720</wp:posOffset>
            </wp:positionV>
            <wp:extent cx="8890" cy="8255"/>
            <wp:wrapNone/>
            <wp:docPr id="3142" name="Picture 3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2"/>
                    <pic:cNvPicPr>
                      <a:picLocks noChangeAspect="1" noChangeArrowheads="1"/>
                    </pic:cNvPicPr>
                  </pic:nvPicPr>
                  <pic:blipFill>
                    <a:blip r:embed="rId3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-299720</wp:posOffset>
            </wp:positionV>
            <wp:extent cx="8890" cy="8255"/>
            <wp:wrapNone/>
            <wp:docPr id="3143" name="Picture 3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3"/>
                    <pic:cNvPicPr>
                      <a:picLocks noChangeAspect="1" noChangeArrowheads="1"/>
                    </pic:cNvPicPr>
                  </pic:nvPicPr>
                  <pic:blipFill>
                    <a:blip r:embed="rId31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-299720</wp:posOffset>
            </wp:positionV>
            <wp:extent cx="8890" cy="8255"/>
            <wp:wrapNone/>
            <wp:docPr id="3144" name="Picture 3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4"/>
                    <pic:cNvPicPr>
                      <a:picLocks noChangeAspect="1" noChangeArrowheads="1"/>
                    </pic:cNvPicPr>
                  </pic:nvPicPr>
                  <pic:blipFill>
                    <a:blip r:embed="rId31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-299720</wp:posOffset>
            </wp:positionV>
            <wp:extent cx="8255" cy="8255"/>
            <wp:wrapNone/>
            <wp:docPr id="3145" name="Picture 3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5"/>
                    <pic:cNvPicPr>
                      <a:picLocks noChangeAspect="1" noChangeArrowheads="1"/>
                    </pic:cNvPicPr>
                  </pic:nvPicPr>
                  <pic:blipFill>
                    <a:blip r:embed="rId31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-299720</wp:posOffset>
            </wp:positionV>
            <wp:extent cx="8255" cy="8255"/>
            <wp:wrapNone/>
            <wp:docPr id="3146" name="Picture 3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6"/>
                    <pic:cNvPicPr>
                      <a:picLocks noChangeAspect="1" noChangeArrowheads="1"/>
                    </pic:cNvPicPr>
                  </pic:nvPicPr>
                  <pic:blipFill>
                    <a:blip r:embed="rId31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-299720</wp:posOffset>
            </wp:positionV>
            <wp:extent cx="8255" cy="8255"/>
            <wp:wrapNone/>
            <wp:docPr id="3147" name="Picture 3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7"/>
                    <pic:cNvPicPr>
                      <a:picLocks noChangeAspect="1" noChangeArrowheads="1"/>
                    </pic:cNvPicPr>
                  </pic:nvPicPr>
                  <pic:blipFill>
                    <a:blip r:embed="rId31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-299720</wp:posOffset>
            </wp:positionV>
            <wp:extent cx="8890" cy="8255"/>
            <wp:wrapNone/>
            <wp:docPr id="3148" name="Picture 3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8"/>
                    <pic:cNvPicPr>
                      <a:picLocks noChangeAspect="1" noChangeArrowheads="1"/>
                    </pic:cNvPicPr>
                  </pic:nvPicPr>
                  <pic:blipFill>
                    <a:blip r:embed="rId31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-299720</wp:posOffset>
            </wp:positionV>
            <wp:extent cx="8890" cy="8255"/>
            <wp:wrapNone/>
            <wp:docPr id="3149" name="Picture 3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9"/>
                    <pic:cNvPicPr>
                      <a:picLocks noChangeAspect="1" noChangeArrowheads="1"/>
                    </pic:cNvPicPr>
                  </pic:nvPicPr>
                  <pic:blipFill>
                    <a:blip r:embed="rId31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-299720</wp:posOffset>
            </wp:positionV>
            <wp:extent cx="8890" cy="8255"/>
            <wp:wrapNone/>
            <wp:docPr id="3150" name="Picture 3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0"/>
                    <pic:cNvPicPr>
                      <a:picLocks noChangeAspect="1" noChangeArrowheads="1"/>
                    </pic:cNvPicPr>
                  </pic:nvPicPr>
                  <pic:blipFill>
                    <a:blip r:embed="rId31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-299720</wp:posOffset>
            </wp:positionV>
            <wp:extent cx="8255" cy="8255"/>
            <wp:wrapNone/>
            <wp:docPr id="3151" name="Picture 3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1"/>
                    <pic:cNvPicPr>
                      <a:picLocks noChangeAspect="1" noChangeArrowheads="1"/>
                    </pic:cNvPicPr>
                  </pic:nvPicPr>
                  <pic:blipFill>
                    <a:blip r:embed="rId31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-299720</wp:posOffset>
            </wp:positionV>
            <wp:extent cx="8255" cy="8255"/>
            <wp:wrapNone/>
            <wp:docPr id="3152" name="Picture 3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2"/>
                    <pic:cNvPicPr>
                      <a:picLocks noChangeAspect="1" noChangeArrowheads="1"/>
                    </pic:cNvPicPr>
                  </pic:nvPicPr>
                  <pic:blipFill>
                    <a:blip r:embed="rId31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-299720</wp:posOffset>
            </wp:positionV>
            <wp:extent cx="8890" cy="8255"/>
            <wp:wrapNone/>
            <wp:docPr id="3153" name="Picture 3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3"/>
                    <pic:cNvPicPr>
                      <a:picLocks noChangeAspect="1" noChangeArrowheads="1"/>
                    </pic:cNvPicPr>
                  </pic:nvPicPr>
                  <pic:blipFill>
                    <a:blip r:embed="rId31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-299720</wp:posOffset>
            </wp:positionV>
            <wp:extent cx="8890" cy="8255"/>
            <wp:wrapNone/>
            <wp:docPr id="3154" name="Picture 3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4"/>
                    <pic:cNvPicPr>
                      <a:picLocks noChangeAspect="1" noChangeArrowheads="1"/>
                    </pic:cNvPicPr>
                  </pic:nvPicPr>
                  <pic:blipFill>
                    <a:blip r:embed="rId31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-299720</wp:posOffset>
            </wp:positionV>
            <wp:extent cx="8890" cy="8255"/>
            <wp:wrapNone/>
            <wp:docPr id="3155" name="Picture 3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5"/>
                    <pic:cNvPicPr>
                      <a:picLocks noChangeAspect="1" noChangeArrowheads="1"/>
                    </pic:cNvPicPr>
                  </pic:nvPicPr>
                  <pic:blipFill>
                    <a:blip r:embed="rId31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-299720</wp:posOffset>
            </wp:positionV>
            <wp:extent cx="8890" cy="8255"/>
            <wp:wrapNone/>
            <wp:docPr id="3156" name="Picture 3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6"/>
                    <pic:cNvPicPr>
                      <a:picLocks noChangeAspect="1" noChangeArrowheads="1"/>
                    </pic:cNvPicPr>
                  </pic:nvPicPr>
                  <pic:blipFill>
                    <a:blip r:embed="rId3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-299720</wp:posOffset>
            </wp:positionV>
            <wp:extent cx="8255" cy="8255"/>
            <wp:wrapNone/>
            <wp:docPr id="3157" name="Picture 3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7"/>
                    <pic:cNvPicPr>
                      <a:picLocks noChangeAspect="1" noChangeArrowheads="1"/>
                    </pic:cNvPicPr>
                  </pic:nvPicPr>
                  <pic:blipFill>
                    <a:blip r:embed="rId31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-299720</wp:posOffset>
            </wp:positionV>
            <wp:extent cx="8255" cy="8255"/>
            <wp:wrapNone/>
            <wp:docPr id="3158" name="Picture 3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8"/>
                    <pic:cNvPicPr>
                      <a:picLocks noChangeAspect="1" noChangeArrowheads="1"/>
                    </pic:cNvPicPr>
                  </pic:nvPicPr>
                  <pic:blipFill>
                    <a:blip r:embed="rId31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-299720</wp:posOffset>
            </wp:positionV>
            <wp:extent cx="8890" cy="8255"/>
            <wp:wrapNone/>
            <wp:docPr id="3159" name="Picture 3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9"/>
                    <pic:cNvPicPr>
                      <a:picLocks noChangeAspect="1" noChangeArrowheads="1"/>
                    </pic:cNvPicPr>
                  </pic:nvPicPr>
                  <pic:blipFill>
                    <a:blip r:embed="rId31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-299720</wp:posOffset>
            </wp:positionV>
            <wp:extent cx="8890" cy="8255"/>
            <wp:wrapNone/>
            <wp:docPr id="3160" name="Picture 3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0"/>
                    <pic:cNvPicPr>
                      <a:picLocks noChangeAspect="1" noChangeArrowheads="1"/>
                    </pic:cNvPicPr>
                  </pic:nvPicPr>
                  <pic:blipFill>
                    <a:blip r:embed="rId31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-299720</wp:posOffset>
            </wp:positionV>
            <wp:extent cx="8890" cy="8255"/>
            <wp:wrapNone/>
            <wp:docPr id="3161" name="Picture 3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1"/>
                    <pic:cNvPicPr>
                      <a:picLocks noChangeAspect="1" noChangeArrowheads="1"/>
                    </pic:cNvPicPr>
                  </pic:nvPicPr>
                  <pic:blipFill>
                    <a:blip r:embed="rId3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-299720</wp:posOffset>
            </wp:positionV>
            <wp:extent cx="8890" cy="8255"/>
            <wp:wrapNone/>
            <wp:docPr id="3162" name="Picture 3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2"/>
                    <pic:cNvPicPr>
                      <a:picLocks noChangeAspect="1" noChangeArrowheads="1"/>
                    </pic:cNvPicPr>
                  </pic:nvPicPr>
                  <pic:blipFill>
                    <a:blip r:embed="rId31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-299720</wp:posOffset>
            </wp:positionV>
            <wp:extent cx="8890" cy="8255"/>
            <wp:wrapNone/>
            <wp:docPr id="3163" name="Picture 3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3"/>
                    <pic:cNvPicPr>
                      <a:picLocks noChangeAspect="1" noChangeArrowheads="1"/>
                    </pic:cNvPicPr>
                  </pic:nvPicPr>
                  <pic:blipFill>
                    <a:blip r:embed="rId31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-299720</wp:posOffset>
            </wp:positionV>
            <wp:extent cx="8890" cy="8255"/>
            <wp:wrapNone/>
            <wp:docPr id="3164" name="Picture 3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4"/>
                    <pic:cNvPicPr>
                      <a:picLocks noChangeAspect="1" noChangeArrowheads="1"/>
                    </pic:cNvPicPr>
                  </pic:nvPicPr>
                  <pic:blipFill>
                    <a:blip r:embed="rId3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-299720</wp:posOffset>
            </wp:positionV>
            <wp:extent cx="8890" cy="8255"/>
            <wp:wrapNone/>
            <wp:docPr id="3165" name="Picture 3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5"/>
                    <pic:cNvPicPr>
                      <a:picLocks noChangeAspect="1" noChangeArrowheads="1"/>
                    </pic:cNvPicPr>
                  </pic:nvPicPr>
                  <pic:blipFill>
                    <a:blip r:embed="rId31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-299720</wp:posOffset>
            </wp:positionV>
            <wp:extent cx="8255" cy="8255"/>
            <wp:wrapNone/>
            <wp:docPr id="3166" name="Picture 3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6"/>
                    <pic:cNvPicPr>
                      <a:picLocks noChangeAspect="1" noChangeArrowheads="1"/>
                    </pic:cNvPicPr>
                  </pic:nvPicPr>
                  <pic:blipFill>
                    <a:blip r:embed="rId31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-299720</wp:posOffset>
            </wp:positionV>
            <wp:extent cx="8890" cy="8255"/>
            <wp:wrapNone/>
            <wp:docPr id="3167" name="Picture 3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7"/>
                    <pic:cNvPicPr>
                      <a:picLocks noChangeAspect="1" noChangeArrowheads="1"/>
                    </pic:cNvPicPr>
                  </pic:nvPicPr>
                  <pic:blipFill>
                    <a:blip r:embed="rId31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-299720</wp:posOffset>
            </wp:positionV>
            <wp:extent cx="8890" cy="8255"/>
            <wp:wrapNone/>
            <wp:docPr id="3168" name="Picture 3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8"/>
                    <pic:cNvPicPr>
                      <a:picLocks noChangeAspect="1" noChangeArrowheads="1"/>
                    </pic:cNvPicPr>
                  </pic:nvPicPr>
                  <pic:blipFill>
                    <a:blip r:embed="rId31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-299720</wp:posOffset>
            </wp:positionV>
            <wp:extent cx="8890" cy="8255"/>
            <wp:wrapNone/>
            <wp:docPr id="3169" name="Picture 3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9"/>
                    <pic:cNvPicPr>
                      <a:picLocks noChangeAspect="1" noChangeArrowheads="1"/>
                    </pic:cNvPicPr>
                  </pic:nvPicPr>
                  <pic:blipFill>
                    <a:blip r:embed="rId31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-299720</wp:posOffset>
            </wp:positionV>
            <wp:extent cx="8890" cy="8255"/>
            <wp:wrapNone/>
            <wp:docPr id="3170" name="Picture 3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0"/>
                    <pic:cNvPicPr>
                      <a:picLocks noChangeAspect="1" noChangeArrowheads="1"/>
                    </pic:cNvPicPr>
                  </pic:nvPicPr>
                  <pic:blipFill>
                    <a:blip r:embed="rId31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-299720</wp:posOffset>
            </wp:positionV>
            <wp:extent cx="8255" cy="8255"/>
            <wp:wrapNone/>
            <wp:docPr id="3171" name="Picture 3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1"/>
                    <pic:cNvPicPr>
                      <a:picLocks noChangeAspect="1" noChangeArrowheads="1"/>
                    </pic:cNvPicPr>
                  </pic:nvPicPr>
                  <pic:blipFill>
                    <a:blip r:embed="rId31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-299720</wp:posOffset>
            </wp:positionV>
            <wp:extent cx="8890" cy="8255"/>
            <wp:wrapNone/>
            <wp:docPr id="3172" name="Picture 3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2"/>
                    <pic:cNvPicPr>
                      <a:picLocks noChangeAspect="1" noChangeArrowheads="1"/>
                    </pic:cNvPicPr>
                  </pic:nvPicPr>
                  <pic:blipFill>
                    <a:blip r:embed="rId31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-299720</wp:posOffset>
            </wp:positionV>
            <wp:extent cx="8890" cy="8255"/>
            <wp:wrapNone/>
            <wp:docPr id="3173" name="Picture 3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3"/>
                    <pic:cNvPicPr>
                      <a:picLocks noChangeAspect="1" noChangeArrowheads="1"/>
                    </pic:cNvPicPr>
                  </pic:nvPicPr>
                  <pic:blipFill>
                    <a:blip r:embed="rId31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-299720</wp:posOffset>
            </wp:positionV>
            <wp:extent cx="8890" cy="8255"/>
            <wp:wrapNone/>
            <wp:docPr id="3174" name="Picture 3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4"/>
                    <pic:cNvPicPr>
                      <a:picLocks noChangeAspect="1" noChangeArrowheads="1"/>
                    </pic:cNvPicPr>
                  </pic:nvPicPr>
                  <pic:blipFill>
                    <a:blip r:embed="rId3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-299720</wp:posOffset>
            </wp:positionV>
            <wp:extent cx="8890" cy="8255"/>
            <wp:wrapNone/>
            <wp:docPr id="3175" name="Picture 3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5"/>
                    <pic:cNvPicPr>
                      <a:picLocks noChangeAspect="1" noChangeArrowheads="1"/>
                    </pic:cNvPicPr>
                  </pic:nvPicPr>
                  <pic:blipFill>
                    <a:blip r:embed="rId31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-299720</wp:posOffset>
            </wp:positionV>
            <wp:extent cx="8255" cy="8255"/>
            <wp:wrapNone/>
            <wp:docPr id="3176" name="Picture 3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6"/>
                    <pic:cNvPicPr>
                      <a:picLocks noChangeAspect="1" noChangeArrowheads="1"/>
                    </pic:cNvPicPr>
                  </pic:nvPicPr>
                  <pic:blipFill>
                    <a:blip r:embed="rId31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-299720</wp:posOffset>
            </wp:positionV>
            <wp:extent cx="8890" cy="8255"/>
            <wp:wrapNone/>
            <wp:docPr id="3177" name="Picture 3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7"/>
                    <pic:cNvPicPr>
                      <a:picLocks noChangeAspect="1" noChangeArrowheads="1"/>
                    </pic:cNvPicPr>
                  </pic:nvPicPr>
                  <pic:blipFill>
                    <a:blip r:embed="rId31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-299720</wp:posOffset>
            </wp:positionV>
            <wp:extent cx="8890" cy="8255"/>
            <wp:wrapNone/>
            <wp:docPr id="3178" name="Picture 3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8"/>
                    <pic:cNvPicPr>
                      <a:picLocks noChangeAspect="1" noChangeArrowheads="1"/>
                    </pic:cNvPicPr>
                  </pic:nvPicPr>
                  <pic:blipFill>
                    <a:blip r:embed="rId31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-299720</wp:posOffset>
            </wp:positionV>
            <wp:extent cx="8890" cy="8255"/>
            <wp:wrapNone/>
            <wp:docPr id="3179" name="Picture 3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9"/>
                    <pic:cNvPicPr>
                      <a:picLocks noChangeAspect="1" noChangeArrowheads="1"/>
                    </pic:cNvPicPr>
                  </pic:nvPicPr>
                  <pic:blipFill>
                    <a:blip r:embed="rId31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-299720</wp:posOffset>
            </wp:positionV>
            <wp:extent cx="8890" cy="8255"/>
            <wp:wrapNone/>
            <wp:docPr id="3180" name="Picture 3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0"/>
                    <pic:cNvPicPr>
                      <a:picLocks noChangeAspect="1" noChangeArrowheads="1"/>
                    </pic:cNvPicPr>
                  </pic:nvPicPr>
                  <pic:blipFill>
                    <a:blip r:embed="rId31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-299720</wp:posOffset>
            </wp:positionV>
            <wp:extent cx="8890" cy="8255"/>
            <wp:wrapNone/>
            <wp:docPr id="3181" name="Picture 3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1"/>
                    <pic:cNvPicPr>
                      <a:picLocks noChangeAspect="1" noChangeArrowheads="1"/>
                    </pic:cNvPicPr>
                  </pic:nvPicPr>
                  <pic:blipFill>
                    <a:blip r:embed="rId31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-299720</wp:posOffset>
            </wp:positionV>
            <wp:extent cx="8890" cy="8255"/>
            <wp:wrapNone/>
            <wp:docPr id="3182" name="Picture 3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2"/>
                    <pic:cNvPicPr>
                      <a:picLocks noChangeAspect="1" noChangeArrowheads="1"/>
                    </pic:cNvPicPr>
                  </pic:nvPicPr>
                  <pic:blipFill>
                    <a:blip r:embed="rId31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-299720</wp:posOffset>
            </wp:positionV>
            <wp:extent cx="8255" cy="8255"/>
            <wp:wrapNone/>
            <wp:docPr id="3183" name="Picture 3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3"/>
                    <pic:cNvPicPr>
                      <a:picLocks noChangeAspect="1" noChangeArrowheads="1"/>
                    </pic:cNvPicPr>
                  </pic:nvPicPr>
                  <pic:blipFill>
                    <a:blip r:embed="rId31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-299720</wp:posOffset>
            </wp:positionV>
            <wp:extent cx="8890" cy="8255"/>
            <wp:wrapNone/>
            <wp:docPr id="3184" name="Picture 3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4"/>
                    <pic:cNvPicPr>
                      <a:picLocks noChangeAspect="1" noChangeArrowheads="1"/>
                    </pic:cNvPicPr>
                  </pic:nvPicPr>
                  <pic:blipFill>
                    <a:blip r:embed="rId31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-299720</wp:posOffset>
            </wp:positionV>
            <wp:extent cx="8890" cy="8255"/>
            <wp:wrapNone/>
            <wp:docPr id="3185" name="Picture 3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5"/>
                    <pic:cNvPicPr>
                      <a:picLocks noChangeAspect="1" noChangeArrowheads="1"/>
                    </pic:cNvPicPr>
                  </pic:nvPicPr>
                  <pic:blipFill>
                    <a:blip r:embed="rId31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-299720</wp:posOffset>
            </wp:positionV>
            <wp:extent cx="8890" cy="8255"/>
            <wp:wrapNone/>
            <wp:docPr id="3186" name="Picture 3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6"/>
                    <pic:cNvPicPr>
                      <a:picLocks noChangeAspect="1" noChangeArrowheads="1"/>
                    </pic:cNvPicPr>
                  </pic:nvPicPr>
                  <pic:blipFill>
                    <a:blip r:embed="rId31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-299720</wp:posOffset>
            </wp:positionV>
            <wp:extent cx="8890" cy="8255"/>
            <wp:wrapNone/>
            <wp:docPr id="3187" name="Picture 3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7"/>
                    <pic:cNvPicPr>
                      <a:picLocks noChangeAspect="1" noChangeArrowheads="1"/>
                    </pic:cNvPicPr>
                  </pic:nvPicPr>
                  <pic:blipFill>
                    <a:blip r:embed="rId31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-299720</wp:posOffset>
            </wp:positionV>
            <wp:extent cx="8255" cy="8255"/>
            <wp:wrapNone/>
            <wp:docPr id="3188" name="Picture 3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8"/>
                    <pic:cNvPicPr>
                      <a:picLocks noChangeAspect="1" noChangeArrowheads="1"/>
                    </pic:cNvPicPr>
                  </pic:nvPicPr>
                  <pic:blipFill>
                    <a:blip r:embed="rId31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-299720</wp:posOffset>
            </wp:positionV>
            <wp:extent cx="8890" cy="8255"/>
            <wp:wrapNone/>
            <wp:docPr id="3189" name="Picture 3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9"/>
                    <pic:cNvPicPr>
                      <a:picLocks noChangeAspect="1" noChangeArrowheads="1"/>
                    </pic:cNvPicPr>
                  </pic:nvPicPr>
                  <pic:blipFill>
                    <a:blip r:embed="rId3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-299720</wp:posOffset>
            </wp:positionV>
            <wp:extent cx="8890" cy="8255"/>
            <wp:wrapNone/>
            <wp:docPr id="3190" name="Picture 3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0"/>
                    <pic:cNvPicPr>
                      <a:picLocks noChangeAspect="1" noChangeArrowheads="1"/>
                    </pic:cNvPicPr>
                  </pic:nvPicPr>
                  <pic:blipFill>
                    <a:blip r:embed="rId31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-299720</wp:posOffset>
            </wp:positionV>
            <wp:extent cx="8890" cy="8255"/>
            <wp:wrapNone/>
            <wp:docPr id="3191" name="Picture 3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1"/>
                    <pic:cNvPicPr>
                      <a:picLocks noChangeAspect="1" noChangeArrowheads="1"/>
                    </pic:cNvPicPr>
                  </pic:nvPicPr>
                  <pic:blipFill>
                    <a:blip r:embed="rId31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-299720</wp:posOffset>
            </wp:positionV>
            <wp:extent cx="8890" cy="8255"/>
            <wp:wrapNone/>
            <wp:docPr id="3192" name="Picture 3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2"/>
                    <pic:cNvPicPr>
                      <a:picLocks noChangeAspect="1" noChangeArrowheads="1"/>
                    </pic:cNvPicPr>
                  </pic:nvPicPr>
                  <pic:blipFill>
                    <a:blip r:embed="rId31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-299720</wp:posOffset>
            </wp:positionV>
            <wp:extent cx="8255" cy="8255"/>
            <wp:wrapNone/>
            <wp:docPr id="3193" name="Picture 3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3"/>
                    <pic:cNvPicPr>
                      <a:picLocks noChangeAspect="1" noChangeArrowheads="1"/>
                    </pic:cNvPicPr>
                  </pic:nvPicPr>
                  <pic:blipFill>
                    <a:blip r:embed="rId32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-299720</wp:posOffset>
            </wp:positionV>
            <wp:extent cx="8890" cy="8255"/>
            <wp:wrapNone/>
            <wp:docPr id="3194" name="Picture 3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4"/>
                    <pic:cNvPicPr>
                      <a:picLocks noChangeAspect="1" noChangeArrowheads="1"/>
                    </pic:cNvPicPr>
                  </pic:nvPicPr>
                  <pic:blipFill>
                    <a:blip r:embed="rId32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-299720</wp:posOffset>
            </wp:positionV>
            <wp:extent cx="8890" cy="8255"/>
            <wp:wrapNone/>
            <wp:docPr id="3195" name="Picture 3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5"/>
                    <pic:cNvPicPr>
                      <a:picLocks noChangeAspect="1" noChangeArrowheads="1"/>
                    </pic:cNvPicPr>
                  </pic:nvPicPr>
                  <pic:blipFill>
                    <a:blip r:embed="rId32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-299720</wp:posOffset>
            </wp:positionV>
            <wp:extent cx="8890" cy="8255"/>
            <wp:wrapNone/>
            <wp:docPr id="3196" name="Picture 3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6"/>
                    <pic:cNvPicPr>
                      <a:picLocks noChangeAspect="1" noChangeArrowheads="1"/>
                    </pic:cNvPicPr>
                  </pic:nvPicPr>
                  <pic:blipFill>
                    <a:blip r:embed="rId32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-299720</wp:posOffset>
            </wp:positionV>
            <wp:extent cx="8890" cy="8255"/>
            <wp:wrapNone/>
            <wp:docPr id="3197" name="Picture 3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7"/>
                    <pic:cNvPicPr>
                      <a:picLocks noChangeAspect="1" noChangeArrowheads="1"/>
                    </pic:cNvPicPr>
                  </pic:nvPicPr>
                  <pic:blipFill>
                    <a:blip r:embed="rId32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-299720</wp:posOffset>
            </wp:positionV>
            <wp:extent cx="8255" cy="8255"/>
            <wp:wrapNone/>
            <wp:docPr id="3198" name="Picture 3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8"/>
                    <pic:cNvPicPr>
                      <a:picLocks noChangeAspect="1" noChangeArrowheads="1"/>
                    </pic:cNvPicPr>
                  </pic:nvPicPr>
                  <pic:blipFill>
                    <a:blip r:embed="rId3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-299720</wp:posOffset>
            </wp:positionV>
            <wp:extent cx="8890" cy="8255"/>
            <wp:wrapNone/>
            <wp:docPr id="3199" name="Picture 3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9"/>
                    <pic:cNvPicPr>
                      <a:picLocks noChangeAspect="1" noChangeArrowheads="1"/>
                    </pic:cNvPicPr>
                  </pic:nvPicPr>
                  <pic:blipFill>
                    <a:blip r:embed="rId32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-299720</wp:posOffset>
            </wp:positionV>
            <wp:extent cx="8255" cy="8255"/>
            <wp:wrapNone/>
            <wp:docPr id="3200" name="Picture 3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0"/>
                    <pic:cNvPicPr>
                      <a:picLocks noChangeAspect="1" noChangeArrowheads="1"/>
                    </pic:cNvPicPr>
                  </pic:nvPicPr>
                  <pic:blipFill>
                    <a:blip r:embed="rId32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-299720</wp:posOffset>
            </wp:positionV>
            <wp:extent cx="8890" cy="8255"/>
            <wp:wrapNone/>
            <wp:docPr id="3201" name="Picture 3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1"/>
                    <pic:cNvPicPr>
                      <a:picLocks noChangeAspect="1" noChangeArrowheads="1"/>
                    </pic:cNvPicPr>
                  </pic:nvPicPr>
                  <pic:blipFill>
                    <a:blip r:embed="rId32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-299720</wp:posOffset>
            </wp:positionV>
            <wp:extent cx="8890" cy="8255"/>
            <wp:wrapNone/>
            <wp:docPr id="3202" name="Picture 3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2"/>
                    <pic:cNvPicPr>
                      <a:picLocks noChangeAspect="1" noChangeArrowheads="1"/>
                    </pic:cNvPicPr>
                  </pic:nvPicPr>
                  <pic:blipFill>
                    <a:blip r:embed="rId32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-299720</wp:posOffset>
            </wp:positionV>
            <wp:extent cx="8890" cy="8255"/>
            <wp:wrapNone/>
            <wp:docPr id="3203" name="Picture 3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3"/>
                    <pic:cNvPicPr>
                      <a:picLocks noChangeAspect="1" noChangeArrowheads="1"/>
                    </pic:cNvPicPr>
                  </pic:nvPicPr>
                  <pic:blipFill>
                    <a:blip r:embed="rId32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-299720</wp:posOffset>
            </wp:positionV>
            <wp:extent cx="8890" cy="8255"/>
            <wp:wrapNone/>
            <wp:docPr id="3204" name="Picture 3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4"/>
                    <pic:cNvPicPr>
                      <a:picLocks noChangeAspect="1" noChangeArrowheads="1"/>
                    </pic:cNvPicPr>
                  </pic:nvPicPr>
                  <pic:blipFill>
                    <a:blip r:embed="rId32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-299720</wp:posOffset>
            </wp:positionV>
            <wp:extent cx="8255" cy="8255"/>
            <wp:wrapNone/>
            <wp:docPr id="3205" name="Picture 3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5"/>
                    <pic:cNvPicPr>
                      <a:picLocks noChangeAspect="1" noChangeArrowheads="1"/>
                    </pic:cNvPicPr>
                  </pic:nvPicPr>
                  <pic:blipFill>
                    <a:blip r:embed="rId32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-299720</wp:posOffset>
            </wp:positionV>
            <wp:extent cx="8890" cy="8255"/>
            <wp:wrapNone/>
            <wp:docPr id="3206" name="Picture 3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6"/>
                    <pic:cNvPicPr>
                      <a:picLocks noChangeAspect="1" noChangeArrowheads="1"/>
                    </pic:cNvPicPr>
                  </pic:nvPicPr>
                  <pic:blipFill>
                    <a:blip r:embed="rId3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-299720</wp:posOffset>
            </wp:positionV>
            <wp:extent cx="8890" cy="8255"/>
            <wp:wrapNone/>
            <wp:docPr id="3207" name="Picture 3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7"/>
                    <pic:cNvPicPr>
                      <a:picLocks noChangeAspect="1" noChangeArrowheads="1"/>
                    </pic:cNvPicPr>
                  </pic:nvPicPr>
                  <pic:blipFill>
                    <a:blip r:embed="rId32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-299720</wp:posOffset>
            </wp:positionV>
            <wp:extent cx="8890" cy="8255"/>
            <wp:wrapNone/>
            <wp:docPr id="3208" name="Picture 3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8"/>
                    <pic:cNvPicPr>
                      <a:picLocks noChangeAspect="1" noChangeArrowheads="1"/>
                    </pic:cNvPicPr>
                  </pic:nvPicPr>
                  <pic:blipFill>
                    <a:blip r:embed="rId32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-299720</wp:posOffset>
            </wp:positionV>
            <wp:extent cx="8890" cy="8255"/>
            <wp:wrapNone/>
            <wp:docPr id="3209" name="Picture 3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9"/>
                    <pic:cNvPicPr>
                      <a:picLocks noChangeAspect="1" noChangeArrowheads="1"/>
                    </pic:cNvPicPr>
                  </pic:nvPicPr>
                  <pic:blipFill>
                    <a:blip r:embed="rId32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-299720</wp:posOffset>
            </wp:positionV>
            <wp:extent cx="8255" cy="8255"/>
            <wp:wrapNone/>
            <wp:docPr id="3210" name="Picture 3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0"/>
                    <pic:cNvPicPr>
                      <a:picLocks noChangeAspect="1" noChangeArrowheads="1"/>
                    </pic:cNvPicPr>
                  </pic:nvPicPr>
                  <pic:blipFill>
                    <a:blip r:embed="rId32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-299720</wp:posOffset>
            </wp:positionV>
            <wp:extent cx="8890" cy="8255"/>
            <wp:wrapNone/>
            <wp:docPr id="3211" name="Picture 3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1"/>
                    <pic:cNvPicPr>
                      <a:picLocks noChangeAspect="1" noChangeArrowheads="1"/>
                    </pic:cNvPicPr>
                  </pic:nvPicPr>
                  <pic:blipFill>
                    <a:blip r:embed="rId3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-299720</wp:posOffset>
            </wp:positionV>
            <wp:extent cx="8890" cy="8255"/>
            <wp:wrapNone/>
            <wp:docPr id="3212" name="Picture 3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2"/>
                    <pic:cNvPicPr>
                      <a:picLocks noChangeAspect="1" noChangeArrowheads="1"/>
                    </pic:cNvPicPr>
                  </pic:nvPicPr>
                  <pic:blipFill>
                    <a:blip r:embed="rId32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-299720</wp:posOffset>
            </wp:positionV>
            <wp:extent cx="8890" cy="8255"/>
            <wp:wrapNone/>
            <wp:docPr id="3213" name="Picture 3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3"/>
                    <pic:cNvPicPr>
                      <a:picLocks noChangeAspect="1" noChangeArrowheads="1"/>
                    </pic:cNvPicPr>
                  </pic:nvPicPr>
                  <pic:blipFill>
                    <a:blip r:embed="rId32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-299720</wp:posOffset>
            </wp:positionV>
            <wp:extent cx="8890" cy="8255"/>
            <wp:wrapNone/>
            <wp:docPr id="3214" name="Picture 3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4"/>
                    <pic:cNvPicPr>
                      <a:picLocks noChangeAspect="1" noChangeArrowheads="1"/>
                    </pic:cNvPicPr>
                  </pic:nvPicPr>
                  <pic:blipFill>
                    <a:blip r:embed="rId32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-299720</wp:posOffset>
            </wp:positionV>
            <wp:extent cx="8255" cy="8255"/>
            <wp:wrapNone/>
            <wp:docPr id="3215" name="Picture 3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5"/>
                    <pic:cNvPicPr>
                      <a:picLocks noChangeAspect="1" noChangeArrowheads="1"/>
                    </pic:cNvPicPr>
                  </pic:nvPicPr>
                  <pic:blipFill>
                    <a:blip r:embed="rId3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-299720</wp:posOffset>
            </wp:positionV>
            <wp:extent cx="8890" cy="8255"/>
            <wp:wrapNone/>
            <wp:docPr id="3216" name="Picture 3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6"/>
                    <pic:cNvPicPr>
                      <a:picLocks noChangeAspect="1" noChangeArrowheads="1"/>
                    </pic:cNvPicPr>
                  </pic:nvPicPr>
                  <pic:blipFill>
                    <a:blip r:embed="rId32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-299720</wp:posOffset>
            </wp:positionV>
            <wp:extent cx="8890" cy="8255"/>
            <wp:wrapNone/>
            <wp:docPr id="3217" name="Picture 3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7"/>
                    <pic:cNvPicPr>
                      <a:picLocks noChangeAspect="1" noChangeArrowheads="1"/>
                    </pic:cNvPicPr>
                  </pic:nvPicPr>
                  <pic:blipFill>
                    <a:blip r:embed="rId32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-299720</wp:posOffset>
            </wp:positionV>
            <wp:extent cx="8890" cy="8255"/>
            <wp:wrapNone/>
            <wp:docPr id="3218" name="Picture 3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8"/>
                    <pic:cNvPicPr>
                      <a:picLocks noChangeAspect="1" noChangeArrowheads="1"/>
                    </pic:cNvPicPr>
                  </pic:nvPicPr>
                  <pic:blipFill>
                    <a:blip r:embed="rId32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-299720</wp:posOffset>
            </wp:positionV>
            <wp:extent cx="8890" cy="8255"/>
            <wp:wrapNone/>
            <wp:docPr id="3219" name="Picture 3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9"/>
                    <pic:cNvPicPr>
                      <a:picLocks noChangeAspect="1" noChangeArrowheads="1"/>
                    </pic:cNvPicPr>
                  </pic:nvPicPr>
                  <pic:blipFill>
                    <a:blip r:embed="rId32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-299720</wp:posOffset>
            </wp:positionV>
            <wp:extent cx="8255" cy="8255"/>
            <wp:wrapNone/>
            <wp:docPr id="3220" name="Picture 3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0"/>
                    <pic:cNvPicPr>
                      <a:picLocks noChangeAspect="1" noChangeArrowheads="1"/>
                    </pic:cNvPicPr>
                  </pic:nvPicPr>
                  <pic:blipFill>
                    <a:blip r:embed="rId3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-299720</wp:posOffset>
            </wp:positionV>
            <wp:extent cx="8890" cy="8255"/>
            <wp:wrapNone/>
            <wp:docPr id="3221" name="Picture 3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1"/>
                    <pic:cNvPicPr>
                      <a:picLocks noChangeAspect="1" noChangeArrowheads="1"/>
                    </pic:cNvPicPr>
                  </pic:nvPicPr>
                  <pic:blipFill>
                    <a:blip r:embed="rId32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-299720</wp:posOffset>
            </wp:positionV>
            <wp:extent cx="8255" cy="8255"/>
            <wp:wrapNone/>
            <wp:docPr id="3222" name="Picture 3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2"/>
                    <pic:cNvPicPr>
                      <a:picLocks noChangeAspect="1" noChangeArrowheads="1"/>
                    </pic:cNvPicPr>
                  </pic:nvPicPr>
                  <pic:blipFill>
                    <a:blip r:embed="rId32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-299720</wp:posOffset>
            </wp:positionV>
            <wp:extent cx="8890" cy="8255"/>
            <wp:wrapNone/>
            <wp:docPr id="3223" name="Picture 3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3"/>
                    <pic:cNvPicPr>
                      <a:picLocks noChangeAspect="1" noChangeArrowheads="1"/>
                    </pic:cNvPicPr>
                  </pic:nvPicPr>
                  <pic:blipFill>
                    <a:blip r:embed="rId32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-299720</wp:posOffset>
            </wp:positionV>
            <wp:extent cx="8890" cy="8255"/>
            <wp:wrapNone/>
            <wp:docPr id="3224" name="Picture 3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4"/>
                    <pic:cNvPicPr>
                      <a:picLocks noChangeAspect="1" noChangeArrowheads="1"/>
                    </pic:cNvPicPr>
                  </pic:nvPicPr>
                  <pic:blipFill>
                    <a:blip r:embed="rId32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-299720</wp:posOffset>
            </wp:positionV>
            <wp:extent cx="8890" cy="8255"/>
            <wp:wrapNone/>
            <wp:docPr id="3225" name="Picture 3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5"/>
                    <pic:cNvPicPr>
                      <a:picLocks noChangeAspect="1" noChangeArrowheads="1"/>
                    </pic:cNvPicPr>
                  </pic:nvPicPr>
                  <pic:blipFill>
                    <a:blip r:embed="rId32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-299720</wp:posOffset>
            </wp:positionV>
            <wp:extent cx="8890" cy="8255"/>
            <wp:wrapNone/>
            <wp:docPr id="3226" name="Picture 3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6"/>
                    <pic:cNvPicPr>
                      <a:picLocks noChangeAspect="1" noChangeArrowheads="1"/>
                    </pic:cNvPicPr>
                  </pic:nvPicPr>
                  <pic:blipFill>
                    <a:blip r:embed="rId3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-299720</wp:posOffset>
            </wp:positionV>
            <wp:extent cx="8255" cy="8255"/>
            <wp:wrapNone/>
            <wp:docPr id="3227" name="Picture 3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7"/>
                    <pic:cNvPicPr>
                      <a:picLocks noChangeAspect="1" noChangeArrowheads="1"/>
                    </pic:cNvPicPr>
                  </pic:nvPicPr>
                  <pic:blipFill>
                    <a:blip r:embed="rId32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-299720</wp:posOffset>
            </wp:positionV>
            <wp:extent cx="8890" cy="8255"/>
            <wp:wrapNone/>
            <wp:docPr id="3228" name="Picture 3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8"/>
                    <pic:cNvPicPr>
                      <a:picLocks noChangeAspect="1" noChangeArrowheads="1"/>
                    </pic:cNvPicPr>
                  </pic:nvPicPr>
                  <pic:blipFill>
                    <a:blip r:embed="rId32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-299720</wp:posOffset>
            </wp:positionV>
            <wp:extent cx="8890" cy="8255"/>
            <wp:wrapNone/>
            <wp:docPr id="3229" name="Picture 3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9"/>
                    <pic:cNvPicPr>
                      <a:picLocks noChangeAspect="1" noChangeArrowheads="1"/>
                    </pic:cNvPicPr>
                  </pic:nvPicPr>
                  <pic:blipFill>
                    <a:blip r:embed="rId32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-299720</wp:posOffset>
            </wp:positionV>
            <wp:extent cx="8890" cy="8255"/>
            <wp:wrapNone/>
            <wp:docPr id="3230" name="Picture 3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0"/>
                    <pic:cNvPicPr>
                      <a:picLocks noChangeAspect="1" noChangeArrowheads="1"/>
                    </pic:cNvPicPr>
                  </pic:nvPicPr>
                  <pic:blipFill>
                    <a:blip r:embed="rId3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-299720</wp:posOffset>
            </wp:positionV>
            <wp:extent cx="8890" cy="8255"/>
            <wp:wrapNone/>
            <wp:docPr id="3231" name="Picture 3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1"/>
                    <pic:cNvPicPr>
                      <a:picLocks noChangeAspect="1" noChangeArrowheads="1"/>
                    </pic:cNvPicPr>
                  </pic:nvPicPr>
                  <pic:blipFill>
                    <a:blip r:embed="rId3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-299720</wp:posOffset>
            </wp:positionV>
            <wp:extent cx="8255" cy="8255"/>
            <wp:wrapNone/>
            <wp:docPr id="3232" name="Picture 3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2"/>
                    <pic:cNvPicPr>
                      <a:picLocks noChangeAspect="1" noChangeArrowheads="1"/>
                    </pic:cNvPicPr>
                  </pic:nvPicPr>
                  <pic:blipFill>
                    <a:blip r:embed="rId32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-299720</wp:posOffset>
            </wp:positionV>
            <wp:extent cx="8890" cy="8255"/>
            <wp:wrapNone/>
            <wp:docPr id="3233" name="Picture 3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3"/>
                    <pic:cNvPicPr>
                      <a:picLocks noChangeAspect="1" noChangeArrowheads="1"/>
                    </pic:cNvPicPr>
                  </pic:nvPicPr>
                  <pic:blipFill>
                    <a:blip r:embed="rId32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-299720</wp:posOffset>
            </wp:positionV>
            <wp:extent cx="8890" cy="8255"/>
            <wp:wrapNone/>
            <wp:docPr id="3234" name="Picture 3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4"/>
                    <pic:cNvPicPr>
                      <a:picLocks noChangeAspect="1" noChangeArrowheads="1"/>
                    </pic:cNvPicPr>
                  </pic:nvPicPr>
                  <pic:blipFill>
                    <a:blip r:embed="rId32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-299720</wp:posOffset>
            </wp:positionV>
            <wp:extent cx="8890" cy="8255"/>
            <wp:wrapNone/>
            <wp:docPr id="3235" name="Picture 3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5"/>
                    <pic:cNvPicPr>
                      <a:picLocks noChangeAspect="1" noChangeArrowheads="1"/>
                    </pic:cNvPicPr>
                  </pic:nvPicPr>
                  <pic:blipFill>
                    <a:blip r:embed="rId3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-299720</wp:posOffset>
            </wp:positionV>
            <wp:extent cx="8890" cy="8255"/>
            <wp:wrapNone/>
            <wp:docPr id="3236" name="Picture 3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6"/>
                    <pic:cNvPicPr>
                      <a:picLocks noChangeAspect="1" noChangeArrowheads="1"/>
                    </pic:cNvPicPr>
                  </pic:nvPicPr>
                  <pic:blipFill>
                    <a:blip r:embed="rId3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-299720</wp:posOffset>
            </wp:positionV>
            <wp:extent cx="8255" cy="8255"/>
            <wp:wrapNone/>
            <wp:docPr id="3237" name="Picture 3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7"/>
                    <pic:cNvPicPr>
                      <a:picLocks noChangeAspect="1" noChangeArrowheads="1"/>
                    </pic:cNvPicPr>
                  </pic:nvPicPr>
                  <pic:blipFill>
                    <a:blip r:embed="rId3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-299720</wp:posOffset>
            </wp:positionV>
            <wp:extent cx="8890" cy="8255"/>
            <wp:wrapNone/>
            <wp:docPr id="3238" name="Picture 3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8"/>
                    <pic:cNvPicPr>
                      <a:picLocks noChangeAspect="1" noChangeArrowheads="1"/>
                    </pic:cNvPicPr>
                  </pic:nvPicPr>
                  <pic:blipFill>
                    <a:blip r:embed="rId32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-299720</wp:posOffset>
            </wp:positionV>
            <wp:extent cx="8890" cy="8255"/>
            <wp:wrapNone/>
            <wp:docPr id="3239" name="Picture 3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9"/>
                    <pic:cNvPicPr>
                      <a:picLocks noChangeAspect="1" noChangeArrowheads="1"/>
                    </pic:cNvPicPr>
                  </pic:nvPicPr>
                  <pic:blipFill>
                    <a:blip r:embed="rId32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-299720</wp:posOffset>
            </wp:positionV>
            <wp:extent cx="8890" cy="8255"/>
            <wp:wrapNone/>
            <wp:docPr id="3240" name="Picture 3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0"/>
                    <pic:cNvPicPr>
                      <a:picLocks noChangeAspect="1" noChangeArrowheads="1"/>
                    </pic:cNvPicPr>
                  </pic:nvPicPr>
                  <pic:blipFill>
                    <a:blip r:embed="rId3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-299720</wp:posOffset>
            </wp:positionV>
            <wp:extent cx="8890" cy="8255"/>
            <wp:wrapNone/>
            <wp:docPr id="3241" name="Picture 3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1"/>
                    <pic:cNvPicPr>
                      <a:picLocks noChangeAspect="1" noChangeArrowheads="1"/>
                    </pic:cNvPicPr>
                  </pic:nvPicPr>
                  <pic:blipFill>
                    <a:blip r:embed="rId3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-299720</wp:posOffset>
            </wp:positionV>
            <wp:extent cx="8890" cy="8255"/>
            <wp:wrapNone/>
            <wp:docPr id="3242" name="Picture 3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2"/>
                    <pic:cNvPicPr>
                      <a:picLocks noChangeAspect="1" noChangeArrowheads="1"/>
                    </pic:cNvPicPr>
                  </pic:nvPicPr>
                  <pic:blipFill>
                    <a:blip r:embed="rId32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-299720</wp:posOffset>
            </wp:positionV>
            <wp:extent cx="8890" cy="8255"/>
            <wp:wrapNone/>
            <wp:docPr id="3243" name="Picture 3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3"/>
                    <pic:cNvPicPr>
                      <a:picLocks noChangeAspect="1" noChangeArrowheads="1"/>
                    </pic:cNvPicPr>
                  </pic:nvPicPr>
                  <pic:blipFill>
                    <a:blip r:embed="rId32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-299720</wp:posOffset>
            </wp:positionV>
            <wp:extent cx="8255" cy="8255"/>
            <wp:wrapNone/>
            <wp:docPr id="3244" name="Picture 3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4"/>
                    <pic:cNvPicPr>
                      <a:picLocks noChangeAspect="1" noChangeArrowheads="1"/>
                    </pic:cNvPicPr>
                  </pic:nvPicPr>
                  <pic:blipFill>
                    <a:blip r:embed="rId32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-299720</wp:posOffset>
            </wp:positionV>
            <wp:extent cx="8890" cy="8255"/>
            <wp:wrapNone/>
            <wp:docPr id="3245" name="Picture 3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5"/>
                    <pic:cNvPicPr>
                      <a:picLocks noChangeAspect="1" noChangeArrowheads="1"/>
                    </pic:cNvPicPr>
                  </pic:nvPicPr>
                  <pic:blipFill>
                    <a:blip r:embed="rId3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-299720</wp:posOffset>
            </wp:positionV>
            <wp:extent cx="8890" cy="8255"/>
            <wp:wrapNone/>
            <wp:docPr id="3246" name="Picture 3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6"/>
                    <pic:cNvPicPr>
                      <a:picLocks noChangeAspect="1" noChangeArrowheads="1"/>
                    </pic:cNvPicPr>
                  </pic:nvPicPr>
                  <pic:blipFill>
                    <a:blip r:embed="rId3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-299720</wp:posOffset>
            </wp:positionV>
            <wp:extent cx="8890" cy="8255"/>
            <wp:wrapNone/>
            <wp:docPr id="3247" name="Picture 3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7"/>
                    <pic:cNvPicPr>
                      <a:picLocks noChangeAspect="1" noChangeArrowheads="1"/>
                    </pic:cNvPicPr>
                  </pic:nvPicPr>
                  <pic:blipFill>
                    <a:blip r:embed="rId32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-299720</wp:posOffset>
            </wp:positionV>
            <wp:extent cx="8890" cy="8255"/>
            <wp:wrapNone/>
            <wp:docPr id="3248" name="Picture 3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8"/>
                    <pic:cNvPicPr>
                      <a:picLocks noChangeAspect="1" noChangeArrowheads="1"/>
                    </pic:cNvPicPr>
                  </pic:nvPicPr>
                  <pic:blipFill>
                    <a:blip r:embed="rId32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-299720</wp:posOffset>
            </wp:positionV>
            <wp:extent cx="8255" cy="8255"/>
            <wp:wrapNone/>
            <wp:docPr id="3249" name="Picture 3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9"/>
                    <pic:cNvPicPr>
                      <a:picLocks noChangeAspect="1" noChangeArrowheads="1"/>
                    </pic:cNvPicPr>
                  </pic:nvPicPr>
                  <pic:blipFill>
                    <a:blip r:embed="rId3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-299720</wp:posOffset>
            </wp:positionV>
            <wp:extent cx="8890" cy="8255"/>
            <wp:wrapNone/>
            <wp:docPr id="3250" name="Picture 3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0"/>
                    <pic:cNvPicPr>
                      <a:picLocks noChangeAspect="1" noChangeArrowheads="1"/>
                    </pic:cNvPicPr>
                  </pic:nvPicPr>
                  <pic:blipFill>
                    <a:blip r:embed="rId3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-299720</wp:posOffset>
            </wp:positionV>
            <wp:extent cx="8890" cy="8255"/>
            <wp:wrapNone/>
            <wp:docPr id="3251" name="Picture 3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1"/>
                    <pic:cNvPicPr>
                      <a:picLocks noChangeAspect="1" noChangeArrowheads="1"/>
                    </pic:cNvPicPr>
                  </pic:nvPicPr>
                  <pic:blipFill>
                    <a:blip r:embed="rId32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-299720</wp:posOffset>
            </wp:positionV>
            <wp:extent cx="8890" cy="8255"/>
            <wp:wrapNone/>
            <wp:docPr id="3252" name="Picture 3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2"/>
                    <pic:cNvPicPr>
                      <a:picLocks noChangeAspect="1" noChangeArrowheads="1"/>
                    </pic:cNvPicPr>
                  </pic:nvPicPr>
                  <pic:blipFill>
                    <a:blip r:embed="rId32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-299720</wp:posOffset>
            </wp:positionV>
            <wp:extent cx="8890" cy="8255"/>
            <wp:wrapNone/>
            <wp:docPr id="3253" name="Picture 3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3"/>
                    <pic:cNvPicPr>
                      <a:picLocks noChangeAspect="1" noChangeArrowheads="1"/>
                    </pic:cNvPicPr>
                  </pic:nvPicPr>
                  <pic:blipFill>
                    <a:blip r:embed="rId32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-299720</wp:posOffset>
            </wp:positionV>
            <wp:extent cx="8255" cy="8255"/>
            <wp:wrapNone/>
            <wp:docPr id="3254" name="Picture 3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4"/>
                    <pic:cNvPicPr>
                      <a:picLocks noChangeAspect="1" noChangeArrowheads="1"/>
                    </pic:cNvPicPr>
                  </pic:nvPicPr>
                  <pic:blipFill>
                    <a:blip r:embed="rId32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-299720</wp:posOffset>
            </wp:positionV>
            <wp:extent cx="8890" cy="8255"/>
            <wp:wrapNone/>
            <wp:docPr id="3255" name="Picture 3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5"/>
                    <pic:cNvPicPr>
                      <a:picLocks noChangeAspect="1" noChangeArrowheads="1"/>
                    </pic:cNvPicPr>
                  </pic:nvPicPr>
                  <pic:blipFill>
                    <a:blip r:embed="rId3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-299720</wp:posOffset>
            </wp:positionV>
            <wp:extent cx="8255" cy="8255"/>
            <wp:wrapNone/>
            <wp:docPr id="3256" name="Picture 3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6"/>
                    <pic:cNvPicPr>
                      <a:picLocks noChangeAspect="1" noChangeArrowheads="1"/>
                    </pic:cNvPicPr>
                  </pic:nvPicPr>
                  <pic:blipFill>
                    <a:blip r:embed="rId32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-299720</wp:posOffset>
            </wp:positionV>
            <wp:extent cx="8255" cy="8255"/>
            <wp:wrapNone/>
            <wp:docPr id="3257" name="Picture 3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7"/>
                    <pic:cNvPicPr>
                      <a:picLocks noChangeAspect="1" noChangeArrowheads="1"/>
                    </pic:cNvPicPr>
                  </pic:nvPicPr>
                  <pic:blipFill>
                    <a:blip r:embed="rId3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-299720</wp:posOffset>
            </wp:positionV>
            <wp:extent cx="8890" cy="8255"/>
            <wp:wrapNone/>
            <wp:docPr id="3258" name="Picture 3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8"/>
                    <pic:cNvPicPr>
                      <a:picLocks noChangeAspect="1" noChangeArrowheads="1"/>
                    </pic:cNvPicPr>
                  </pic:nvPicPr>
                  <pic:blipFill>
                    <a:blip r:embed="rId32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-299720</wp:posOffset>
            </wp:positionV>
            <wp:extent cx="8890" cy="8255"/>
            <wp:wrapNone/>
            <wp:docPr id="3259" name="Picture 3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9"/>
                    <pic:cNvPicPr>
                      <a:picLocks noChangeAspect="1" noChangeArrowheads="1"/>
                    </pic:cNvPicPr>
                  </pic:nvPicPr>
                  <pic:blipFill>
                    <a:blip r:embed="rId32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-299720</wp:posOffset>
            </wp:positionV>
            <wp:extent cx="8255" cy="8255"/>
            <wp:wrapNone/>
            <wp:docPr id="3260" name="Picture 3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0"/>
                    <pic:cNvPicPr>
                      <a:picLocks noChangeAspect="1" noChangeArrowheads="1"/>
                    </pic:cNvPicPr>
                  </pic:nvPicPr>
                  <pic:blipFill>
                    <a:blip r:embed="rId32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-299720</wp:posOffset>
            </wp:positionV>
            <wp:extent cx="8255" cy="8255"/>
            <wp:wrapNone/>
            <wp:docPr id="3261" name="Picture 3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1"/>
                    <pic:cNvPicPr>
                      <a:picLocks noChangeAspect="1" noChangeArrowheads="1"/>
                    </pic:cNvPicPr>
                  </pic:nvPicPr>
                  <pic:blipFill>
                    <a:blip r:embed="rId32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-299720</wp:posOffset>
            </wp:positionV>
            <wp:extent cx="8255" cy="8255"/>
            <wp:wrapNone/>
            <wp:docPr id="3262" name="Picture 3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2"/>
                    <pic:cNvPicPr>
                      <a:picLocks noChangeAspect="1" noChangeArrowheads="1"/>
                    </pic:cNvPicPr>
                  </pic:nvPicPr>
                  <pic:blipFill>
                    <a:blip r:embed="rId32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-299720</wp:posOffset>
            </wp:positionV>
            <wp:extent cx="8890" cy="8255"/>
            <wp:wrapNone/>
            <wp:docPr id="3263" name="Picture 3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3"/>
                    <pic:cNvPicPr>
                      <a:picLocks noChangeAspect="1" noChangeArrowheads="1"/>
                    </pic:cNvPicPr>
                  </pic:nvPicPr>
                  <pic:blipFill>
                    <a:blip r:embed="rId32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-299720</wp:posOffset>
            </wp:positionV>
            <wp:extent cx="3951605" cy="8255"/>
            <wp:wrapNone/>
            <wp:docPr id="3264" name="Picture 3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4"/>
                    <pic:cNvPicPr>
                      <a:picLocks noChangeAspect="1" noChangeArrowheads="1"/>
                    </pic:cNvPicPr>
                  </pic:nvPicPr>
                  <pic:blipFill>
                    <a:blip r:embed="rId3271">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38"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weighted average price does not take into account shares issuable upon the vesting of outstanding PSUs or RSUs, which have no exercise price.</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Includes 526,050 shares of common stock issuable under the Directors Stock Plan at December 31, 2023.</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Consists solely of options that were assumed in connection with our 2016 acquisition of Cameron, none of which are held by our NEOs.</w:t>
      </w:r>
    </w:p>
    <w:p>
      <w:pPr>
        <w:spacing w:after="0" w:line="18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 xml:space="preserve">Equity compensation plans approved by our shareholders include the Directors Stock Plan, as amended and restated; the 2017 Incentive Plan; the 2013 SLB Omnibus Stock Incentive Plan, as amended and restated (the </w:t>
      </w:r>
      <w:r>
        <w:rPr>
          <w:rFonts w:ascii="Arial" w:cs="Arial" w:eastAsia="Arial" w:hAnsi="Arial"/>
          <w:sz w:val="16"/>
          <w:szCs w:val="16"/>
          <w:b w:val="1"/>
          <w:bCs w:val="1"/>
          <w:color w:val="auto"/>
        </w:rPr>
        <w:t>2013 Incentive Plan</w:t>
      </w:r>
      <w:r>
        <w:rPr>
          <w:rFonts w:ascii="Arial" w:cs="Arial" w:eastAsia="Arial" w:hAnsi="Arial"/>
          <w:sz w:val="16"/>
          <w:szCs w:val="16"/>
          <w:color w:val="auto"/>
        </w:rPr>
        <w:t xml:space="preserve">); the 2010 SLB Omnibus Stock Incentive Plan, as amended and restated (the </w:t>
      </w:r>
      <w:r>
        <w:rPr>
          <w:rFonts w:ascii="Arial" w:cs="Arial" w:eastAsia="Arial" w:hAnsi="Arial"/>
          <w:sz w:val="16"/>
          <w:szCs w:val="16"/>
          <w:b w:val="1"/>
          <w:bCs w:val="1"/>
          <w:color w:val="auto"/>
        </w:rPr>
        <w:t>2010 Incentive Plan</w:t>
      </w:r>
      <w:r>
        <w:rPr>
          <w:rFonts w:ascii="Arial" w:cs="Arial" w:eastAsia="Arial" w:hAnsi="Arial"/>
          <w:sz w:val="16"/>
          <w:szCs w:val="16"/>
          <w:color w:val="auto"/>
        </w:rPr>
        <w:t xml:space="preserve">); the French Sub Plan under the 2010, 2013 and 2017 SLB Omnibus Stock Incentive Plans, as amended and restated; the SLB Discounted Stock Purchase Plan, as amended and restated; the SLB 2008 Stock Incentive Plan, as amended and restated (the </w:t>
      </w:r>
      <w:r>
        <w:rPr>
          <w:rFonts w:ascii="Arial" w:cs="Arial" w:eastAsia="Arial" w:hAnsi="Arial"/>
          <w:sz w:val="16"/>
          <w:szCs w:val="16"/>
          <w:b w:val="1"/>
          <w:bCs w:val="1"/>
          <w:color w:val="auto"/>
        </w:rPr>
        <w:t>2008 Incentive</w:t>
      </w:r>
      <w:r>
        <w:rPr>
          <w:rFonts w:ascii="Arial" w:cs="Arial" w:eastAsia="Arial" w:hAnsi="Arial"/>
          <w:sz w:val="16"/>
          <w:szCs w:val="16"/>
          <w:color w:val="auto"/>
        </w:rPr>
        <w:t xml:space="preserve"> </w:t>
      </w:r>
      <w:r>
        <w:rPr>
          <w:rFonts w:ascii="Arial" w:cs="Arial" w:eastAsia="Arial" w:hAnsi="Arial"/>
          <w:sz w:val="16"/>
          <w:szCs w:val="16"/>
          <w:b w:val="1"/>
          <w:bCs w:val="1"/>
          <w:color w:val="auto"/>
        </w:rPr>
        <w:t>Plan</w:t>
      </w:r>
      <w:r>
        <w:rPr>
          <w:rFonts w:ascii="Arial" w:cs="Arial" w:eastAsia="Arial" w:hAnsi="Arial"/>
          <w:sz w:val="16"/>
          <w:szCs w:val="16"/>
          <w:color w:val="auto"/>
        </w:rPr>
        <w:t>); and the SLB 2005 Stock Incentive Plan, as amended and restated (the</w:t>
      </w:r>
      <w:r>
        <w:rPr>
          <w:rFonts w:ascii="Arial" w:cs="Arial" w:eastAsia="Arial" w:hAnsi="Arial"/>
          <w:sz w:val="16"/>
          <w:szCs w:val="16"/>
          <w:b w:val="1"/>
          <w:bCs w:val="1"/>
          <w:color w:val="auto"/>
        </w:rPr>
        <w:t xml:space="preserve"> 2005 Incentive Plan</w:t>
      </w:r>
      <w:r>
        <w:rPr>
          <w:rFonts w:ascii="Arial" w:cs="Arial" w:eastAsia="Arial" w:hAnsi="Arial"/>
          <w:sz w:val="16"/>
          <w:szCs w:val="16"/>
          <w:color w:val="auto"/>
        </w:rPr>
        <w:t>). There are no securities issuable under the 2013</w:t>
      </w:r>
      <w:r>
        <w:rPr>
          <w:rFonts w:ascii="Arial" w:cs="Arial" w:eastAsia="Arial" w:hAnsi="Arial"/>
          <w:sz w:val="16"/>
          <w:szCs w:val="16"/>
          <w:b w:val="1"/>
          <w:bCs w:val="1"/>
          <w:color w:val="auto"/>
        </w:rPr>
        <w:t xml:space="preserve"> </w:t>
      </w:r>
      <w:r>
        <w:rPr>
          <w:rFonts w:ascii="Arial" w:cs="Arial" w:eastAsia="Arial" w:hAnsi="Arial"/>
          <w:sz w:val="16"/>
          <w:szCs w:val="16"/>
          <w:color w:val="auto"/>
        </w:rPr>
        <w:t>Incentive Plan, the 2010 Incentive Plan, the 2008 Incentive Plan or the 2005 Incentive Plan, other than shares of our common stock issuable upon the exercise of stock options currently outstanding.</w:t>
      </w:r>
    </w:p>
    <w:p>
      <w:pPr>
        <w:spacing w:after="0" w:line="366" w:lineRule="exact"/>
        <w:rPr>
          <w:sz w:val="20"/>
          <w:szCs w:val="20"/>
          <w:color w:val="auto"/>
        </w:rPr>
      </w:pPr>
    </w:p>
    <w:p>
      <w:pPr>
        <w:spacing w:after="0"/>
        <w:rPr>
          <w:sz w:val="20"/>
          <w:szCs w:val="20"/>
          <w:color w:val="auto"/>
        </w:rPr>
      </w:pPr>
      <w:r>
        <w:rPr>
          <w:rFonts w:ascii="Arial" w:cs="Arial" w:eastAsia="Arial" w:hAnsi="Arial"/>
          <w:sz w:val="29"/>
          <w:szCs w:val="29"/>
          <w:color w:val="16458B"/>
        </w:rPr>
        <w:t>CEO Pay Ratio</w:t>
      </w:r>
    </w:p>
    <w:p>
      <w:pPr>
        <w:spacing w:after="0" w:line="26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Based on the methodology described below, our CEO’s 2023 total compensation was 154 times that of our median employee.</w:t>
      </w:r>
    </w:p>
    <w:p>
      <w:pPr>
        <w:spacing w:after="0" w:line="19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Our pay ratio is affected by many factors, and may not be comparable to the pay ratios reported by other companies, even in the technology and energy services industries. For example, the following factors may affect the comparability of our pay ratio:</w:t>
      </w:r>
    </w:p>
    <w:p>
      <w:pPr>
        <w:spacing w:after="0" w:line="129" w:lineRule="exact"/>
        <w:rPr>
          <w:sz w:val="20"/>
          <w:szCs w:val="20"/>
          <w:color w:val="auto"/>
        </w:rPr>
      </w:pPr>
    </w:p>
    <w:p>
      <w:pPr>
        <w:ind w:left="500" w:hanging="168"/>
        <w:spacing w:after="0"/>
        <w:tabs>
          <w:tab w:leader="none" w:pos="500" w:val="left"/>
        </w:tabs>
        <w:numPr>
          <w:ilvl w:val="0"/>
          <w:numId w:val="53"/>
        </w:numPr>
        <w:rPr>
          <w:rFonts w:ascii="Arial" w:cs="Arial" w:eastAsia="Arial" w:hAnsi="Arial"/>
          <w:sz w:val="16"/>
          <w:szCs w:val="16"/>
          <w:b w:val="1"/>
          <w:bCs w:val="1"/>
          <w:color w:val="0233A1"/>
        </w:rPr>
      </w:pPr>
      <w:r>
        <w:rPr>
          <w:rFonts w:ascii="Arial" w:cs="Arial" w:eastAsia="Arial" w:hAnsi="Arial"/>
          <w:sz w:val="16"/>
          <w:szCs w:val="16"/>
          <w:color w:val="auto"/>
        </w:rPr>
        <w:t>our large global workforce, which may have significantly lower wages than a predominantly U.S.- or European-based workforce,</w:t>
      </w:r>
    </w:p>
    <w:p>
      <w:pPr>
        <w:spacing w:after="0" w:line="86" w:lineRule="exact"/>
        <w:rPr>
          <w:rFonts w:ascii="Arial" w:cs="Arial" w:eastAsia="Arial" w:hAnsi="Arial"/>
          <w:sz w:val="16"/>
          <w:szCs w:val="16"/>
          <w:b w:val="1"/>
          <w:bCs w:val="1"/>
          <w:color w:val="0233A1"/>
        </w:rPr>
      </w:pPr>
    </w:p>
    <w:p>
      <w:pPr>
        <w:ind w:left="500" w:hanging="168"/>
        <w:spacing w:after="0" w:line="286" w:lineRule="auto"/>
        <w:tabs>
          <w:tab w:leader="none" w:pos="500" w:val="left"/>
        </w:tabs>
        <w:numPr>
          <w:ilvl w:val="0"/>
          <w:numId w:val="53"/>
        </w:numPr>
        <w:rPr>
          <w:rFonts w:ascii="Arial" w:cs="Arial" w:eastAsia="Arial" w:hAnsi="Arial"/>
          <w:sz w:val="16"/>
          <w:szCs w:val="16"/>
          <w:b w:val="1"/>
          <w:bCs w:val="1"/>
          <w:color w:val="0233A1"/>
        </w:rPr>
      </w:pPr>
      <w:r>
        <w:rPr>
          <w:rFonts w:ascii="Arial" w:cs="Arial" w:eastAsia="Arial" w:hAnsi="Arial"/>
          <w:sz w:val="16"/>
          <w:szCs w:val="16"/>
          <w:color w:val="auto"/>
        </w:rPr>
        <w:t>varied methodologies for calculating total compensation for both the median employee and the CEO, which may include exclusions that SLB has elected not to make, and</w:t>
      </w:r>
    </w:p>
    <w:p>
      <w:pPr>
        <w:spacing w:after="0" w:line="20" w:lineRule="exact"/>
        <w:rPr>
          <w:rFonts w:ascii="Arial" w:cs="Arial" w:eastAsia="Arial" w:hAnsi="Arial"/>
          <w:sz w:val="16"/>
          <w:szCs w:val="16"/>
          <w:b w:val="1"/>
          <w:bCs w:val="1"/>
          <w:color w:val="0233A1"/>
        </w:rPr>
      </w:pPr>
    </w:p>
    <w:p>
      <w:pPr>
        <w:ind w:left="500" w:hanging="168"/>
        <w:spacing w:after="0"/>
        <w:tabs>
          <w:tab w:leader="none" w:pos="500" w:val="left"/>
        </w:tabs>
        <w:numPr>
          <w:ilvl w:val="0"/>
          <w:numId w:val="53"/>
        </w:numPr>
        <w:rPr>
          <w:rFonts w:ascii="Arial" w:cs="Arial" w:eastAsia="Arial" w:hAnsi="Arial"/>
          <w:sz w:val="16"/>
          <w:szCs w:val="16"/>
          <w:b w:val="1"/>
          <w:bCs w:val="1"/>
          <w:color w:val="0233A1"/>
        </w:rPr>
      </w:pPr>
      <w:r>
        <w:rPr>
          <w:rFonts w:ascii="Arial" w:cs="Arial" w:eastAsia="Arial" w:hAnsi="Arial"/>
          <w:sz w:val="16"/>
          <w:szCs w:val="16"/>
          <w:color w:val="auto"/>
        </w:rPr>
        <w:t>varied currency exchange rates.</w:t>
      </w:r>
    </w:p>
    <w:p>
      <w:pPr>
        <w:spacing w:after="0" w:line="19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To identify our median employee, we determined that, as of October 1, 2023, we had 97,051 employees working in 100 countries. This is the number of all employees on our different payroll systems as of that date, other than those employees of joint ventures whose salaries and compensation we do not set or control. In line with our global operations, we follow local market practices regarding pay levels and pay elements. In some cases, these local practices include paying relatively lower base salaries (upon conversion to U.S. dollars), plus additional compensation elements such as coefficients, housing, schooling, utilities, and other standard payments. We have excluded from our calculation of our median employee all employees located in the following countries, where either we have very few employees or where local pay practices diverge significantly from U.S. and European practices (all excluded employees collectively representing less than 5% of our total employees in 2023): Algeria, Bangladesh, Cameroon, Chile, Georgia, Indonesia, Libya, Myanmar, Pakistan, Philippines, South Sudan, Tanzania, Tunisia, Ukraine, Uruguay, Uzbekistan, Venezuela, and Yemen. After excluding these employees and for purposes of determining our median employee, we had 92,385 employees working in 82 countries. We did not make any cost-of-living adjustments when identifying our median employee.</w:t>
      </w:r>
    </w:p>
    <w:p>
      <w:pPr>
        <w:spacing w:after="0" w:line="34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A variety of pay elements comprise our employees’ total compensation, including base salary, field bonuses, annual performance-based cash incentives, commissions, and other benefits. The incentive awards an employee is eligible for are based on his or her pay grade and reporting level, and are consistently applied across the company. Cash incentives, rather than equity, are the primary vehicle of incentive compensation for most of our employees. While all employees earn an annual base salary, not all receive cash incentive payments. Furthermore, fewer than 3% of our employees receive equity awards. Consequently, for purposes of applying a consistent compensation metric for determining our median employee, we selected annual base salary as the sole, and most appropriate, compensation element. We used the annual base salary of our employees as reflected in our human resources systems on October 1, 2023, excluding that of our CEO, in preparing our data set.</w:t>
      </w:r>
    </w:p>
    <w:p>
      <w:pPr>
        <w:spacing w:after="0" w:line="154"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Using this methodology, we determined that our median employee was a full-time, salaried employee working in Saudi Arabia as a field services specialist, whose 2023 total compensation was $118,141. Our CEO’s total compensation for 2023 was $18,249,585 (as reflected in the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177800</wp:posOffset>
            </wp:positionV>
            <wp:extent cx="471805" cy="283210"/>
            <wp:wrapNone/>
            <wp:docPr id="3265" name="Picture 3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5"/>
                    <pic:cNvPicPr>
                      <a:picLocks noChangeAspect="1" noChangeArrowheads="1"/>
                    </pic:cNvPicPr>
                  </pic:nvPicPr>
                  <pic:blipFill>
                    <a:blip r:embed="rId3272">
                      <a:extLst>
                        <a:ext uri="{28A0092B-C50C-407E-A947-70E740481C1C}"/>
                      </a:extLst>
                    </a:blip>
                    <a:srcRect/>
                    <a:stretch>
                      <a:fillRect/>
                    </a:stretch>
                  </pic:blipFill>
                  <pic:spPr bwMode="auto">
                    <a:xfrm>
                      <a:off x="0" y="0"/>
                      <a:ext cx="471805" cy="283210"/>
                    </a:xfrm>
                    <a:prstGeom prst="rect">
                      <a:avLst/>
                    </a:prstGeom>
                    <a:noFill/>
                  </pic:spPr>
                </pic:pic>
              </a:graphicData>
            </a:graphic>
          </wp:anchor>
        </w:drawing>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2024 Proxy Statement</w:t>
            </w:r>
          </w:p>
        </w:tc>
        <w:tc>
          <w:tcPr>
            <w:tcW w:w="3600" w:type="dxa"/>
            <w:vAlign w:val="bottom"/>
            <w:tcBorders>
              <w:bottom w:val="single" w:sz="8" w:color="auto"/>
            </w:tcBorders>
          </w:tcPr>
          <w:p>
            <w:pPr>
              <w:spacing w:after="0"/>
              <w:rPr>
                <w:sz w:val="12"/>
                <w:szCs w:val="12"/>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59</w:t>
            </w:r>
          </w:p>
        </w:tc>
        <w:tc>
          <w:tcPr>
            <w:tcW w:w="4480" w:type="dxa"/>
            <w:vAlign w:val="bottom"/>
            <w:tcBorders>
              <w:bottom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36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48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64" w:name="page65"/>
    <w:bookmarkEnd w:id="64"/>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9" w:lineRule="exact"/>
        <w:rPr>
          <w:sz w:val="20"/>
          <w:szCs w:val="20"/>
          <w:color w:val="auto"/>
        </w:rPr>
      </w:pPr>
    </w:p>
    <w:p>
      <w:pPr>
        <w:spacing w:after="0"/>
        <w:rPr>
          <w:sz w:val="20"/>
          <w:szCs w:val="20"/>
          <w:color w:val="auto"/>
        </w:rPr>
      </w:pPr>
      <w:r>
        <w:rPr>
          <w:rFonts w:ascii="Arial" w:cs="Arial" w:eastAsia="Arial" w:hAnsi="Arial"/>
          <w:sz w:val="50"/>
          <w:szCs w:val="50"/>
          <w:color w:val="0233A1"/>
        </w:rPr>
        <w:t>Pay vs. Performance Comparison</w:t>
      </w:r>
    </w:p>
    <w:p>
      <w:pPr>
        <w:spacing w:after="0" w:line="200" w:lineRule="exact"/>
        <w:rPr>
          <w:sz w:val="20"/>
          <w:szCs w:val="20"/>
          <w:color w:val="auto"/>
        </w:rPr>
      </w:pPr>
    </w:p>
    <w:p>
      <w:pPr>
        <w:spacing w:after="0" w:line="2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As discussed in the CD&amp;A above, our Compensation Committee has implemented an executive compensation program designed to link a substantial portion of our NEOs’ realized compensation to the achievement of SLB’s financial, operational, and strategic objectives, and to align our executive pay with changes in the value of our shareholders’ investments. The following table sets forth additional compensation information for our NEOs, calculated in accordance with SEC regulations, for fiscal years 2023, 2022, 2021 and 2020.</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b w:val="1"/>
                <w:bCs w:val="1"/>
                <w:color w:val="0233A1"/>
              </w:rPr>
              <w:t>Average</w:t>
            </w:r>
          </w:p>
        </w:tc>
        <w:tc>
          <w:tcPr>
            <w:tcW w:w="1540" w:type="dxa"/>
            <w:vAlign w:val="bottom"/>
          </w:tcPr>
          <w:p>
            <w:pPr>
              <w:jc w:val="right"/>
              <w:ind w:right="301"/>
              <w:spacing w:after="0"/>
              <w:rPr>
                <w:sz w:val="20"/>
                <w:szCs w:val="20"/>
                <w:color w:val="auto"/>
              </w:rPr>
            </w:pPr>
            <w:r>
              <w:rPr>
                <w:rFonts w:ascii="Arial" w:cs="Arial" w:eastAsia="Arial" w:hAnsi="Arial"/>
                <w:sz w:val="16"/>
                <w:szCs w:val="16"/>
                <w:b w:val="1"/>
                <w:bCs w:val="1"/>
                <w:color w:val="0233A1"/>
              </w:rPr>
              <w:t>Average</w:t>
            </w:r>
          </w:p>
        </w:tc>
        <w:tc>
          <w:tcPr>
            <w:tcW w:w="2400" w:type="dxa"/>
            <w:vAlign w:val="bottom"/>
            <w:gridSpan w:val="3"/>
          </w:tcPr>
          <w:p>
            <w:pPr>
              <w:jc w:val="right"/>
              <w:ind w:right="320"/>
              <w:spacing w:after="0"/>
              <w:rPr>
                <w:sz w:val="20"/>
                <w:szCs w:val="20"/>
                <w:color w:val="auto"/>
              </w:rPr>
            </w:pPr>
            <w:r>
              <w:rPr>
                <w:rFonts w:ascii="Arial" w:cs="Arial" w:eastAsia="Arial" w:hAnsi="Arial"/>
                <w:sz w:val="16"/>
                <w:szCs w:val="16"/>
                <w:b w:val="1"/>
                <w:bCs w:val="1"/>
                <w:color w:val="0233A1"/>
              </w:rPr>
              <w:t>Value of Initial Fixed $100</w:t>
            </w:r>
          </w:p>
        </w:tc>
        <w:tc>
          <w:tcPr>
            <w:tcW w:w="1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03"/>
        </w:trPr>
        <w:tc>
          <w:tcPr>
            <w:tcW w:w="680" w:type="dxa"/>
            <w:vAlign w:val="bottom"/>
          </w:tcPr>
          <w:p>
            <w:pPr>
              <w:spacing w:after="0"/>
              <w:rPr>
                <w:sz w:val="17"/>
                <w:szCs w:val="17"/>
                <w:color w:val="auto"/>
              </w:rPr>
            </w:pPr>
          </w:p>
        </w:tc>
        <w:tc>
          <w:tcPr>
            <w:tcW w:w="1600" w:type="dxa"/>
            <w:vAlign w:val="bottom"/>
          </w:tcPr>
          <w:p>
            <w:pPr>
              <w:jc w:val="right"/>
              <w:ind w:right="119"/>
              <w:spacing w:after="0"/>
              <w:rPr>
                <w:sz w:val="20"/>
                <w:szCs w:val="20"/>
                <w:color w:val="auto"/>
              </w:rPr>
            </w:pPr>
            <w:r>
              <w:rPr>
                <w:rFonts w:ascii="Arial" w:cs="Arial" w:eastAsia="Arial" w:hAnsi="Arial"/>
                <w:sz w:val="16"/>
                <w:szCs w:val="16"/>
                <w:b w:val="1"/>
                <w:bCs w:val="1"/>
                <w:color w:val="0233A1"/>
              </w:rPr>
              <w:t>Summary</w:t>
            </w:r>
          </w:p>
        </w:tc>
        <w:tc>
          <w:tcPr>
            <w:tcW w:w="1400" w:type="dxa"/>
            <w:vAlign w:val="bottom"/>
          </w:tcPr>
          <w:p>
            <w:pPr>
              <w:spacing w:after="0"/>
              <w:rPr>
                <w:sz w:val="17"/>
                <w:szCs w:val="17"/>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b w:val="1"/>
                <w:bCs w:val="1"/>
                <w:color w:val="0233A1"/>
              </w:rPr>
              <w:t>Summary</w:t>
            </w:r>
          </w:p>
        </w:tc>
        <w:tc>
          <w:tcPr>
            <w:tcW w:w="1540" w:type="dxa"/>
            <w:vAlign w:val="bottom"/>
          </w:tcPr>
          <w:p>
            <w:pPr>
              <w:jc w:val="right"/>
              <w:ind w:right="301"/>
              <w:spacing w:after="0"/>
              <w:rPr>
                <w:sz w:val="20"/>
                <w:szCs w:val="20"/>
                <w:color w:val="auto"/>
              </w:rPr>
            </w:pPr>
            <w:r>
              <w:rPr>
                <w:rFonts w:ascii="Arial" w:cs="Arial" w:eastAsia="Arial" w:hAnsi="Arial"/>
                <w:sz w:val="16"/>
                <w:szCs w:val="16"/>
                <w:b w:val="1"/>
                <w:bCs w:val="1"/>
                <w:color w:val="0233A1"/>
              </w:rPr>
              <w:t>Compensation</w:t>
            </w:r>
          </w:p>
        </w:tc>
        <w:tc>
          <w:tcPr>
            <w:tcW w:w="2400" w:type="dxa"/>
            <w:vAlign w:val="bottom"/>
            <w:gridSpan w:val="3"/>
          </w:tcPr>
          <w:p>
            <w:pPr>
              <w:jc w:val="right"/>
              <w:ind w:right="460"/>
              <w:spacing w:after="0"/>
              <w:rPr>
                <w:sz w:val="20"/>
                <w:szCs w:val="20"/>
                <w:color w:val="auto"/>
              </w:rPr>
            </w:pPr>
            <w:r>
              <w:rPr>
                <w:rFonts w:ascii="Arial" w:cs="Arial" w:eastAsia="Arial" w:hAnsi="Arial"/>
                <w:sz w:val="16"/>
                <w:szCs w:val="16"/>
                <w:b w:val="1"/>
                <w:bCs w:val="1"/>
                <w:color w:val="0233A1"/>
              </w:rPr>
              <w:t>Investment Based on:</w:t>
            </w:r>
          </w:p>
        </w:tc>
        <w:tc>
          <w:tcPr>
            <w:tcW w:w="2160" w:type="dxa"/>
            <w:vAlign w:val="bottom"/>
            <w:gridSpan w:val="3"/>
          </w:tcPr>
          <w:p>
            <w:pPr>
              <w:jc w:val="right"/>
              <w:ind w:right="460"/>
              <w:spacing w:after="0"/>
              <w:rPr>
                <w:sz w:val="20"/>
                <w:szCs w:val="20"/>
                <w:color w:val="auto"/>
              </w:rPr>
            </w:pPr>
            <w:r>
              <w:rPr>
                <w:rFonts w:ascii="Arial" w:cs="Arial" w:eastAsia="Arial" w:hAnsi="Arial"/>
                <w:sz w:val="16"/>
                <w:szCs w:val="16"/>
                <w:b w:val="1"/>
                <w:bCs w:val="1"/>
                <w:color w:val="0233A1"/>
              </w:rPr>
              <w:t>(Stated in millions)</w:t>
            </w:r>
          </w:p>
        </w:tc>
      </w:tr>
      <w:tr>
        <w:trPr>
          <w:trHeight w:val="168"/>
        </w:trPr>
        <w:tc>
          <w:tcPr>
            <w:tcW w:w="680" w:type="dxa"/>
            <w:vAlign w:val="bottom"/>
          </w:tcPr>
          <w:p>
            <w:pPr>
              <w:spacing w:after="0"/>
              <w:rPr>
                <w:sz w:val="14"/>
                <w:szCs w:val="14"/>
                <w:color w:val="auto"/>
              </w:rPr>
            </w:pPr>
          </w:p>
        </w:tc>
        <w:tc>
          <w:tcPr>
            <w:tcW w:w="1600" w:type="dxa"/>
            <w:vAlign w:val="bottom"/>
          </w:tcPr>
          <w:p>
            <w:pPr>
              <w:jc w:val="right"/>
              <w:ind w:right="119"/>
              <w:spacing w:after="0" w:line="168" w:lineRule="exact"/>
              <w:rPr>
                <w:sz w:val="20"/>
                <w:szCs w:val="20"/>
                <w:color w:val="auto"/>
              </w:rPr>
            </w:pPr>
            <w:r>
              <w:rPr>
                <w:rFonts w:ascii="Arial" w:cs="Arial" w:eastAsia="Arial" w:hAnsi="Arial"/>
                <w:sz w:val="16"/>
                <w:szCs w:val="16"/>
                <w:b w:val="1"/>
                <w:bCs w:val="1"/>
                <w:color w:val="0233A1"/>
              </w:rPr>
              <w:t>Compensation</w:t>
            </w:r>
          </w:p>
        </w:tc>
        <w:tc>
          <w:tcPr>
            <w:tcW w:w="1400" w:type="dxa"/>
            <w:vAlign w:val="bottom"/>
          </w:tcPr>
          <w:p>
            <w:pPr>
              <w:jc w:val="right"/>
              <w:ind w:right="159"/>
              <w:spacing w:after="0" w:line="168" w:lineRule="exact"/>
              <w:rPr>
                <w:sz w:val="20"/>
                <w:szCs w:val="20"/>
                <w:color w:val="auto"/>
              </w:rPr>
            </w:pPr>
            <w:r>
              <w:rPr>
                <w:rFonts w:ascii="Arial" w:cs="Arial" w:eastAsia="Arial" w:hAnsi="Arial"/>
                <w:sz w:val="16"/>
                <w:szCs w:val="16"/>
                <w:b w:val="1"/>
                <w:bCs w:val="1"/>
                <w:color w:val="0233A1"/>
              </w:rPr>
              <w:t>Compensation</w:t>
            </w:r>
          </w:p>
        </w:tc>
        <w:tc>
          <w:tcPr>
            <w:tcW w:w="1460" w:type="dxa"/>
            <w:vAlign w:val="bottom"/>
          </w:tcPr>
          <w:p>
            <w:pPr>
              <w:jc w:val="right"/>
              <w:ind w:right="119"/>
              <w:spacing w:after="0" w:line="168" w:lineRule="exact"/>
              <w:rPr>
                <w:sz w:val="20"/>
                <w:szCs w:val="20"/>
                <w:color w:val="auto"/>
              </w:rPr>
            </w:pPr>
            <w:r>
              <w:rPr>
                <w:rFonts w:ascii="Arial" w:cs="Arial" w:eastAsia="Arial" w:hAnsi="Arial"/>
                <w:sz w:val="16"/>
                <w:szCs w:val="16"/>
                <w:b w:val="1"/>
                <w:bCs w:val="1"/>
                <w:color w:val="0233A1"/>
              </w:rPr>
              <w:t>Compensation</w:t>
            </w:r>
          </w:p>
        </w:tc>
        <w:tc>
          <w:tcPr>
            <w:tcW w:w="1540" w:type="dxa"/>
            <w:vAlign w:val="bottom"/>
          </w:tcPr>
          <w:p>
            <w:pPr>
              <w:jc w:val="right"/>
              <w:ind w:right="301"/>
              <w:spacing w:after="0" w:line="168" w:lineRule="exact"/>
              <w:rPr>
                <w:sz w:val="20"/>
                <w:szCs w:val="20"/>
                <w:color w:val="auto"/>
              </w:rPr>
            </w:pPr>
            <w:r>
              <w:rPr>
                <w:rFonts w:ascii="Arial" w:cs="Arial" w:eastAsia="Arial" w:hAnsi="Arial"/>
                <w:sz w:val="16"/>
                <w:szCs w:val="16"/>
                <w:b w:val="1"/>
                <w:bCs w:val="1"/>
                <w:color w:val="0233A1"/>
              </w:rPr>
              <w:t>Actually Paid</w:t>
            </w:r>
          </w:p>
        </w:tc>
        <w:tc>
          <w:tcPr>
            <w:tcW w:w="1120" w:type="dxa"/>
            <w:vAlign w:val="bottom"/>
            <w:tcBorders>
              <w:top w:val="single" w:sz="8" w:color="0233A1"/>
            </w:tcBorders>
          </w:tcPr>
          <w:p>
            <w:pPr>
              <w:spacing w:after="0"/>
              <w:rPr>
                <w:sz w:val="14"/>
                <w:szCs w:val="14"/>
                <w:color w:val="auto"/>
              </w:rPr>
            </w:pPr>
          </w:p>
        </w:tc>
        <w:tc>
          <w:tcPr>
            <w:tcW w:w="1060" w:type="dxa"/>
            <w:vAlign w:val="bottom"/>
            <w:tcBorders>
              <w:top w:val="single" w:sz="8" w:color="0233A1"/>
            </w:tcBorders>
          </w:tcPr>
          <w:p>
            <w:pPr>
              <w:jc w:val="right"/>
              <w:spacing w:after="0" w:line="168" w:lineRule="exact"/>
              <w:rPr>
                <w:sz w:val="20"/>
                <w:szCs w:val="20"/>
                <w:color w:val="auto"/>
              </w:rPr>
            </w:pPr>
            <w:r>
              <w:rPr>
                <w:rFonts w:ascii="Arial" w:cs="Arial" w:eastAsia="Arial" w:hAnsi="Arial"/>
                <w:sz w:val="16"/>
                <w:szCs w:val="16"/>
                <w:b w:val="1"/>
                <w:bCs w:val="1"/>
                <w:color w:val="0233A1"/>
              </w:rPr>
              <w:t>Peer Group</w:t>
            </w:r>
          </w:p>
        </w:tc>
        <w:tc>
          <w:tcPr>
            <w:tcW w:w="220" w:type="dxa"/>
            <w:vAlign w:val="bottom"/>
          </w:tcPr>
          <w:p>
            <w:pPr>
              <w:spacing w:after="0"/>
              <w:rPr>
                <w:sz w:val="14"/>
                <w:szCs w:val="14"/>
                <w:color w:val="auto"/>
              </w:rPr>
            </w:pPr>
          </w:p>
        </w:tc>
        <w:tc>
          <w:tcPr>
            <w:tcW w:w="1100" w:type="dxa"/>
            <w:vAlign w:val="bottom"/>
            <w:tcBorders>
              <w:top w:val="single" w:sz="8" w:color="0233A1"/>
            </w:tcBorders>
          </w:tcPr>
          <w:p>
            <w:pPr>
              <w:spacing w:after="0"/>
              <w:rPr>
                <w:sz w:val="14"/>
                <w:szCs w:val="14"/>
                <w:color w:val="auto"/>
              </w:rPr>
            </w:pPr>
          </w:p>
        </w:tc>
        <w:tc>
          <w:tcPr>
            <w:tcW w:w="840" w:type="dxa"/>
            <w:vAlign w:val="bottom"/>
            <w:tcBorders>
              <w:top w:val="single" w:sz="8" w:color="0233A1"/>
            </w:tcBorders>
          </w:tcPr>
          <w:p>
            <w:pPr>
              <w:spacing w:after="0"/>
              <w:rPr>
                <w:sz w:val="14"/>
                <w:szCs w:val="14"/>
                <w:color w:val="auto"/>
              </w:rPr>
            </w:pPr>
          </w:p>
        </w:tc>
        <w:tc>
          <w:tcPr>
            <w:tcW w:w="220" w:type="dxa"/>
            <w:vAlign w:val="bottom"/>
          </w:tcPr>
          <w:p>
            <w:pPr>
              <w:spacing w:after="0"/>
              <w:rPr>
                <w:sz w:val="14"/>
                <w:szCs w:val="14"/>
                <w:color w:val="auto"/>
              </w:rPr>
            </w:pPr>
          </w:p>
        </w:tc>
      </w:tr>
      <w:tr>
        <w:trPr>
          <w:trHeight w:val="189"/>
        </w:trPr>
        <w:tc>
          <w:tcPr>
            <w:tcW w:w="680" w:type="dxa"/>
            <w:vAlign w:val="bottom"/>
          </w:tcPr>
          <w:p>
            <w:pPr>
              <w:spacing w:after="0"/>
              <w:rPr>
                <w:sz w:val="16"/>
                <w:szCs w:val="16"/>
                <w:color w:val="auto"/>
              </w:rPr>
            </w:pPr>
          </w:p>
        </w:tc>
        <w:tc>
          <w:tcPr>
            <w:tcW w:w="1600" w:type="dxa"/>
            <w:vAlign w:val="bottom"/>
          </w:tcPr>
          <w:p>
            <w:pPr>
              <w:jc w:val="right"/>
              <w:ind w:right="119"/>
              <w:spacing w:after="0"/>
              <w:rPr>
                <w:sz w:val="20"/>
                <w:szCs w:val="20"/>
                <w:color w:val="auto"/>
              </w:rPr>
            </w:pPr>
            <w:r>
              <w:rPr>
                <w:rFonts w:ascii="Arial" w:cs="Arial" w:eastAsia="Arial" w:hAnsi="Arial"/>
                <w:sz w:val="16"/>
                <w:szCs w:val="16"/>
                <w:b w:val="1"/>
                <w:bCs w:val="1"/>
                <w:color w:val="0233A1"/>
              </w:rPr>
              <w:t>Table</w:t>
            </w:r>
          </w:p>
        </w:tc>
        <w:tc>
          <w:tcPr>
            <w:tcW w:w="1400" w:type="dxa"/>
            <w:vAlign w:val="bottom"/>
          </w:tcPr>
          <w:p>
            <w:pPr>
              <w:jc w:val="right"/>
              <w:ind w:right="159"/>
              <w:spacing w:after="0"/>
              <w:rPr>
                <w:sz w:val="20"/>
                <w:szCs w:val="20"/>
                <w:color w:val="auto"/>
              </w:rPr>
            </w:pPr>
            <w:r>
              <w:rPr>
                <w:rFonts w:ascii="Arial" w:cs="Arial" w:eastAsia="Arial" w:hAnsi="Arial"/>
                <w:sz w:val="16"/>
                <w:szCs w:val="16"/>
                <w:b w:val="1"/>
                <w:bCs w:val="1"/>
                <w:color w:val="0233A1"/>
              </w:rPr>
              <w:t>Actually Paid</w:t>
            </w:r>
          </w:p>
        </w:tc>
        <w:tc>
          <w:tcPr>
            <w:tcW w:w="1460" w:type="dxa"/>
            <w:vAlign w:val="bottom"/>
          </w:tcPr>
          <w:p>
            <w:pPr>
              <w:jc w:val="right"/>
              <w:ind w:right="119"/>
              <w:spacing w:after="0"/>
              <w:rPr>
                <w:sz w:val="20"/>
                <w:szCs w:val="20"/>
                <w:color w:val="auto"/>
              </w:rPr>
            </w:pPr>
            <w:r>
              <w:rPr>
                <w:rFonts w:ascii="Arial" w:cs="Arial" w:eastAsia="Arial" w:hAnsi="Arial"/>
                <w:sz w:val="16"/>
                <w:szCs w:val="16"/>
                <w:b w:val="1"/>
                <w:bCs w:val="1"/>
                <w:color w:val="0233A1"/>
              </w:rPr>
              <w:t>Table Total for</w:t>
            </w:r>
          </w:p>
        </w:tc>
        <w:tc>
          <w:tcPr>
            <w:tcW w:w="1540" w:type="dxa"/>
            <w:vAlign w:val="bottom"/>
          </w:tcPr>
          <w:p>
            <w:pPr>
              <w:jc w:val="right"/>
              <w:ind w:right="301"/>
              <w:spacing w:after="0"/>
              <w:rPr>
                <w:sz w:val="20"/>
                <w:szCs w:val="20"/>
                <w:color w:val="auto"/>
              </w:rPr>
            </w:pPr>
            <w:r>
              <w:rPr>
                <w:rFonts w:ascii="Arial" w:cs="Arial" w:eastAsia="Arial" w:hAnsi="Arial"/>
                <w:sz w:val="16"/>
                <w:szCs w:val="16"/>
                <w:b w:val="1"/>
                <w:bCs w:val="1"/>
                <w:color w:val="0233A1"/>
              </w:rPr>
              <w:t>to Non-CEO</w:t>
            </w: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0233A1"/>
              </w:rPr>
              <w:t>Total</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0233A1"/>
              </w:rPr>
              <w:t>Total</w:t>
            </w:r>
          </w:p>
        </w:tc>
        <w:tc>
          <w:tcPr>
            <w:tcW w:w="1100" w:type="dxa"/>
            <w:vAlign w:val="bottom"/>
          </w:tcPr>
          <w:p>
            <w:pPr>
              <w:jc w:val="right"/>
              <w:ind w:right="119"/>
              <w:spacing w:after="0"/>
              <w:rPr>
                <w:sz w:val="20"/>
                <w:szCs w:val="20"/>
                <w:color w:val="auto"/>
              </w:rPr>
            </w:pPr>
            <w:r>
              <w:rPr>
                <w:rFonts w:ascii="Arial" w:cs="Arial" w:eastAsia="Arial" w:hAnsi="Arial"/>
                <w:sz w:val="16"/>
                <w:szCs w:val="16"/>
                <w:b w:val="1"/>
                <w:bCs w:val="1"/>
                <w:color w:val="0233A1"/>
              </w:rPr>
              <w:t>Net Income</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0233A1"/>
              </w:rPr>
              <w:t>Adjusted</w:t>
            </w:r>
          </w:p>
        </w:tc>
      </w:tr>
      <w:tr>
        <w:trPr>
          <w:trHeight w:val="163"/>
        </w:trPr>
        <w:tc>
          <w:tcPr>
            <w:tcW w:w="680" w:type="dxa"/>
            <w:vAlign w:val="bottom"/>
          </w:tcPr>
          <w:p>
            <w:pPr>
              <w:spacing w:after="0"/>
              <w:rPr>
                <w:sz w:val="14"/>
                <w:szCs w:val="14"/>
                <w:color w:val="auto"/>
              </w:rPr>
            </w:pPr>
          </w:p>
        </w:tc>
        <w:tc>
          <w:tcPr>
            <w:tcW w:w="1600" w:type="dxa"/>
            <w:vAlign w:val="bottom"/>
          </w:tcPr>
          <w:p>
            <w:pPr>
              <w:jc w:val="right"/>
              <w:ind w:right="119"/>
              <w:spacing w:after="0" w:line="163" w:lineRule="exact"/>
              <w:rPr>
                <w:sz w:val="20"/>
                <w:szCs w:val="20"/>
                <w:color w:val="auto"/>
              </w:rPr>
            </w:pPr>
            <w:r>
              <w:rPr>
                <w:rFonts w:ascii="Arial" w:cs="Arial" w:eastAsia="Arial" w:hAnsi="Arial"/>
                <w:sz w:val="16"/>
                <w:szCs w:val="16"/>
                <w:b w:val="1"/>
                <w:bCs w:val="1"/>
                <w:color w:val="0233A1"/>
              </w:rPr>
              <w:t>Total for CEO</w:t>
            </w:r>
          </w:p>
        </w:tc>
        <w:tc>
          <w:tcPr>
            <w:tcW w:w="1400" w:type="dxa"/>
            <w:vAlign w:val="bottom"/>
          </w:tcPr>
          <w:p>
            <w:pPr>
              <w:jc w:val="right"/>
              <w:ind w:right="159"/>
              <w:spacing w:after="0" w:line="163" w:lineRule="exact"/>
              <w:rPr>
                <w:sz w:val="20"/>
                <w:szCs w:val="20"/>
                <w:color w:val="auto"/>
              </w:rPr>
            </w:pPr>
            <w:r>
              <w:rPr>
                <w:rFonts w:ascii="Arial" w:cs="Arial" w:eastAsia="Arial" w:hAnsi="Arial"/>
                <w:sz w:val="16"/>
                <w:szCs w:val="16"/>
                <w:b w:val="1"/>
                <w:bCs w:val="1"/>
                <w:color w:val="0233A1"/>
              </w:rPr>
              <w:t>to CEO</w:t>
            </w:r>
          </w:p>
        </w:tc>
        <w:tc>
          <w:tcPr>
            <w:tcW w:w="1460" w:type="dxa"/>
            <w:vAlign w:val="bottom"/>
          </w:tcPr>
          <w:p>
            <w:pPr>
              <w:jc w:val="right"/>
              <w:ind w:right="119"/>
              <w:spacing w:after="0" w:line="163" w:lineRule="exact"/>
              <w:rPr>
                <w:sz w:val="20"/>
                <w:szCs w:val="20"/>
                <w:color w:val="auto"/>
              </w:rPr>
            </w:pPr>
            <w:r>
              <w:rPr>
                <w:rFonts w:ascii="Arial" w:cs="Arial" w:eastAsia="Arial" w:hAnsi="Arial"/>
                <w:sz w:val="16"/>
                <w:szCs w:val="16"/>
                <w:b w:val="1"/>
                <w:bCs w:val="1"/>
                <w:color w:val="0233A1"/>
              </w:rPr>
              <w:t>Non-CEO NEOs</w:t>
            </w:r>
          </w:p>
        </w:tc>
        <w:tc>
          <w:tcPr>
            <w:tcW w:w="1540" w:type="dxa"/>
            <w:vAlign w:val="bottom"/>
          </w:tcPr>
          <w:p>
            <w:pPr>
              <w:jc w:val="right"/>
              <w:ind w:right="301"/>
              <w:spacing w:after="0" w:line="163" w:lineRule="exact"/>
              <w:rPr>
                <w:sz w:val="20"/>
                <w:szCs w:val="20"/>
                <w:color w:val="auto"/>
              </w:rPr>
            </w:pPr>
            <w:r>
              <w:rPr>
                <w:rFonts w:ascii="Arial" w:cs="Arial" w:eastAsia="Arial" w:hAnsi="Arial"/>
                <w:sz w:val="16"/>
                <w:szCs w:val="16"/>
                <w:b w:val="1"/>
                <w:bCs w:val="1"/>
                <w:color w:val="0233A1"/>
              </w:rPr>
              <w:t>NEOs</w:t>
            </w:r>
          </w:p>
        </w:tc>
        <w:tc>
          <w:tcPr>
            <w:tcW w:w="1120" w:type="dxa"/>
            <w:vAlign w:val="bottom"/>
          </w:tcPr>
          <w:p>
            <w:pPr>
              <w:jc w:val="right"/>
              <w:ind w:right="39"/>
              <w:spacing w:after="0" w:line="163" w:lineRule="exact"/>
              <w:rPr>
                <w:sz w:val="20"/>
                <w:szCs w:val="20"/>
                <w:color w:val="auto"/>
              </w:rPr>
            </w:pPr>
            <w:r>
              <w:rPr>
                <w:rFonts w:ascii="Arial" w:cs="Arial" w:eastAsia="Arial" w:hAnsi="Arial"/>
                <w:sz w:val="16"/>
                <w:szCs w:val="16"/>
                <w:b w:val="1"/>
                <w:bCs w:val="1"/>
                <w:color w:val="0233A1"/>
              </w:rPr>
              <w:t>Shareholder</w:t>
            </w:r>
          </w:p>
        </w:tc>
        <w:tc>
          <w:tcPr>
            <w:tcW w:w="1280" w:type="dxa"/>
            <w:vAlign w:val="bottom"/>
            <w:gridSpan w:val="2"/>
          </w:tcPr>
          <w:p>
            <w:pPr>
              <w:jc w:val="right"/>
              <w:ind w:right="220"/>
              <w:spacing w:after="0" w:line="163" w:lineRule="exact"/>
              <w:rPr>
                <w:sz w:val="20"/>
                <w:szCs w:val="20"/>
                <w:color w:val="auto"/>
              </w:rPr>
            </w:pPr>
            <w:r>
              <w:rPr>
                <w:rFonts w:ascii="Arial" w:cs="Arial" w:eastAsia="Arial" w:hAnsi="Arial"/>
                <w:sz w:val="16"/>
                <w:szCs w:val="16"/>
                <w:b w:val="1"/>
                <w:bCs w:val="1"/>
                <w:color w:val="0233A1"/>
              </w:rPr>
              <w:t>Shareholder</w:t>
            </w:r>
          </w:p>
        </w:tc>
        <w:tc>
          <w:tcPr>
            <w:tcW w:w="1100" w:type="dxa"/>
            <w:vAlign w:val="bottom"/>
          </w:tcPr>
          <w:p>
            <w:pPr>
              <w:jc w:val="right"/>
              <w:ind w:right="119"/>
              <w:spacing w:after="0" w:line="163" w:lineRule="exact"/>
              <w:rPr>
                <w:sz w:val="20"/>
                <w:szCs w:val="20"/>
                <w:color w:val="auto"/>
              </w:rPr>
            </w:pPr>
            <w:r>
              <w:rPr>
                <w:rFonts w:ascii="Arial" w:cs="Arial" w:eastAsia="Arial" w:hAnsi="Arial"/>
                <w:sz w:val="16"/>
                <w:szCs w:val="16"/>
                <w:b w:val="1"/>
                <w:bCs w:val="1"/>
                <w:color w:val="0233A1"/>
              </w:rPr>
              <w:t>(Loss)</w:t>
            </w:r>
          </w:p>
        </w:tc>
        <w:tc>
          <w:tcPr>
            <w:tcW w:w="1060" w:type="dxa"/>
            <w:vAlign w:val="bottom"/>
            <w:gridSpan w:val="2"/>
          </w:tcPr>
          <w:p>
            <w:pPr>
              <w:jc w:val="right"/>
              <w:ind w:right="220"/>
              <w:spacing w:after="0" w:line="163" w:lineRule="exact"/>
              <w:rPr>
                <w:sz w:val="20"/>
                <w:szCs w:val="20"/>
                <w:color w:val="auto"/>
              </w:rPr>
            </w:pPr>
            <w:r>
              <w:rPr>
                <w:rFonts w:ascii="Arial" w:cs="Arial" w:eastAsia="Arial" w:hAnsi="Arial"/>
                <w:sz w:val="16"/>
                <w:szCs w:val="16"/>
                <w:b w:val="1"/>
                <w:bCs w:val="1"/>
                <w:color w:val="0233A1"/>
              </w:rPr>
              <w:t>EBITDA</w:t>
            </w:r>
          </w:p>
        </w:tc>
      </w:tr>
      <w:tr>
        <w:trPr>
          <w:trHeight w:val="229"/>
        </w:trPr>
        <w:tc>
          <w:tcPr>
            <w:tcW w:w="680" w:type="dxa"/>
            <w:vAlign w:val="bottom"/>
            <w:tcBorders>
              <w:bottom w:val="single" w:sz="8" w:color="0233A1"/>
            </w:tcBorders>
          </w:tcPr>
          <w:p>
            <w:pPr>
              <w:ind w:left="40"/>
              <w:spacing w:after="0"/>
              <w:rPr>
                <w:sz w:val="20"/>
                <w:szCs w:val="20"/>
                <w:color w:val="auto"/>
              </w:rPr>
            </w:pPr>
            <w:r>
              <w:rPr>
                <w:rFonts w:ascii="Arial" w:cs="Arial" w:eastAsia="Arial" w:hAnsi="Arial"/>
                <w:sz w:val="16"/>
                <w:szCs w:val="16"/>
                <w:b w:val="1"/>
                <w:bCs w:val="1"/>
                <w:color w:val="0233A1"/>
              </w:rPr>
              <w:t>Year</w:t>
            </w:r>
          </w:p>
        </w:tc>
        <w:tc>
          <w:tcPr>
            <w:tcW w:w="1600" w:type="dxa"/>
            <w:vAlign w:val="bottom"/>
            <w:tcBorders>
              <w:bottom w:val="single" w:sz="8" w:color="0233A1"/>
            </w:tcBorders>
          </w:tcPr>
          <w:p>
            <w:pPr>
              <w:jc w:val="right"/>
              <w:spacing w:after="0" w:line="230" w:lineRule="exact"/>
              <w:rPr>
                <w:sz w:val="20"/>
                <w:szCs w:val="20"/>
                <w:color w:val="auto"/>
              </w:rPr>
            </w:pPr>
            <w:r>
              <w:rPr>
                <w:rFonts w:ascii="Arial" w:cs="Arial" w:eastAsia="Arial" w:hAnsi="Arial"/>
                <w:sz w:val="16"/>
                <w:szCs w:val="16"/>
                <w:b w:val="1"/>
                <w:bCs w:val="1"/>
                <w:color w:val="0233A1"/>
              </w:rPr>
              <w:t>($)</w:t>
            </w:r>
            <w:r>
              <w:rPr>
                <w:rFonts w:ascii="Arial" w:cs="Arial" w:eastAsia="Arial" w:hAnsi="Arial"/>
                <w:sz w:val="26"/>
                <w:szCs w:val="26"/>
                <w:color w:val="0233A1"/>
                <w:vertAlign w:val="superscript"/>
              </w:rPr>
              <w:t>(1)</w:t>
            </w:r>
          </w:p>
        </w:tc>
        <w:tc>
          <w:tcPr>
            <w:tcW w:w="1400" w:type="dxa"/>
            <w:vAlign w:val="bottom"/>
            <w:tcBorders>
              <w:bottom w:val="single" w:sz="8" w:color="0233A1"/>
            </w:tcBorders>
          </w:tcPr>
          <w:p>
            <w:pPr>
              <w:jc w:val="right"/>
              <w:spacing w:after="0" w:line="230" w:lineRule="exact"/>
              <w:rPr>
                <w:sz w:val="20"/>
                <w:szCs w:val="20"/>
                <w:color w:val="auto"/>
              </w:rPr>
            </w:pPr>
            <w:r>
              <w:rPr>
                <w:rFonts w:ascii="Arial" w:cs="Arial" w:eastAsia="Arial" w:hAnsi="Arial"/>
                <w:sz w:val="16"/>
                <w:szCs w:val="16"/>
                <w:b w:val="1"/>
                <w:bCs w:val="1"/>
                <w:color w:val="0233A1"/>
              </w:rPr>
              <w:t>($)</w:t>
            </w:r>
            <w:r>
              <w:rPr>
                <w:rFonts w:ascii="Arial" w:cs="Arial" w:eastAsia="Arial" w:hAnsi="Arial"/>
                <w:sz w:val="26"/>
                <w:szCs w:val="26"/>
                <w:color w:val="0233A1"/>
                <w:vertAlign w:val="superscript"/>
              </w:rPr>
              <w:t>(2)</w:t>
            </w:r>
          </w:p>
        </w:tc>
        <w:tc>
          <w:tcPr>
            <w:tcW w:w="1460" w:type="dxa"/>
            <w:vAlign w:val="bottom"/>
            <w:tcBorders>
              <w:bottom w:val="single" w:sz="8" w:color="0233A1"/>
            </w:tcBorders>
          </w:tcPr>
          <w:p>
            <w:pPr>
              <w:jc w:val="right"/>
              <w:spacing w:after="0" w:line="230" w:lineRule="exact"/>
              <w:rPr>
                <w:sz w:val="20"/>
                <w:szCs w:val="20"/>
                <w:color w:val="auto"/>
              </w:rPr>
            </w:pPr>
            <w:r>
              <w:rPr>
                <w:rFonts w:ascii="Arial" w:cs="Arial" w:eastAsia="Arial" w:hAnsi="Arial"/>
                <w:sz w:val="16"/>
                <w:szCs w:val="16"/>
                <w:b w:val="1"/>
                <w:bCs w:val="1"/>
                <w:color w:val="0233A1"/>
              </w:rPr>
              <w:t>($)</w:t>
            </w:r>
            <w:r>
              <w:rPr>
                <w:rFonts w:ascii="Arial" w:cs="Arial" w:eastAsia="Arial" w:hAnsi="Arial"/>
                <w:sz w:val="26"/>
                <w:szCs w:val="26"/>
                <w:color w:val="0233A1"/>
                <w:vertAlign w:val="superscript"/>
              </w:rPr>
              <w:t>(3)</w:t>
            </w:r>
          </w:p>
        </w:tc>
        <w:tc>
          <w:tcPr>
            <w:tcW w:w="1540" w:type="dxa"/>
            <w:vAlign w:val="bottom"/>
            <w:tcBorders>
              <w:bottom w:val="single" w:sz="8" w:color="0233A1"/>
            </w:tcBorders>
          </w:tcPr>
          <w:p>
            <w:pPr>
              <w:jc w:val="right"/>
              <w:spacing w:after="0" w:line="230" w:lineRule="exact"/>
              <w:rPr>
                <w:sz w:val="20"/>
                <w:szCs w:val="20"/>
                <w:color w:val="auto"/>
              </w:rPr>
            </w:pPr>
            <w:r>
              <w:rPr>
                <w:rFonts w:ascii="Arial" w:cs="Arial" w:eastAsia="Arial" w:hAnsi="Arial"/>
                <w:sz w:val="26"/>
                <w:szCs w:val="26"/>
                <w:b w:val="1"/>
                <w:bCs w:val="1"/>
                <w:color w:val="0233A1"/>
                <w:vertAlign w:val="subscript"/>
              </w:rPr>
              <w:t>($)</w:t>
            </w:r>
            <w:r>
              <w:rPr>
                <w:rFonts w:ascii="Arial" w:cs="Arial" w:eastAsia="Arial" w:hAnsi="Arial"/>
                <w:sz w:val="12"/>
                <w:szCs w:val="12"/>
                <w:color w:val="0233A1"/>
              </w:rPr>
              <w:t>(2)(3)</w:t>
            </w:r>
          </w:p>
        </w:tc>
        <w:tc>
          <w:tcPr>
            <w:tcW w:w="1120" w:type="dxa"/>
            <w:vAlign w:val="bottom"/>
            <w:tcBorders>
              <w:bottom w:val="single" w:sz="8" w:color="0233A1"/>
            </w:tcBorders>
          </w:tcPr>
          <w:p>
            <w:pPr>
              <w:jc w:val="right"/>
              <w:ind w:right="39"/>
              <w:spacing w:after="0"/>
              <w:rPr>
                <w:sz w:val="20"/>
                <w:szCs w:val="20"/>
                <w:color w:val="auto"/>
              </w:rPr>
            </w:pPr>
            <w:r>
              <w:rPr>
                <w:rFonts w:ascii="Arial" w:cs="Arial" w:eastAsia="Arial" w:hAnsi="Arial"/>
                <w:sz w:val="16"/>
                <w:szCs w:val="16"/>
                <w:b w:val="1"/>
                <w:bCs w:val="1"/>
                <w:color w:val="0233A1"/>
              </w:rPr>
              <w:t>Return</w:t>
            </w:r>
          </w:p>
        </w:tc>
        <w:tc>
          <w:tcPr>
            <w:tcW w:w="1280" w:type="dxa"/>
            <w:vAlign w:val="bottom"/>
            <w:tcBorders>
              <w:bottom w:val="single" w:sz="8" w:color="0233A1"/>
            </w:tcBorders>
            <w:gridSpan w:val="2"/>
          </w:tcPr>
          <w:p>
            <w:pPr>
              <w:jc w:val="right"/>
              <w:ind w:right="60"/>
              <w:spacing w:after="0" w:line="230" w:lineRule="exact"/>
              <w:rPr>
                <w:sz w:val="20"/>
                <w:szCs w:val="20"/>
                <w:color w:val="auto"/>
              </w:rPr>
            </w:pPr>
            <w:r>
              <w:rPr>
                <w:rFonts w:ascii="Arial" w:cs="Arial" w:eastAsia="Arial" w:hAnsi="Arial"/>
                <w:sz w:val="16"/>
                <w:szCs w:val="16"/>
                <w:b w:val="1"/>
                <w:bCs w:val="1"/>
                <w:color w:val="0233A1"/>
              </w:rPr>
              <w:t>Return</w:t>
            </w:r>
            <w:r>
              <w:rPr>
                <w:rFonts w:ascii="Arial" w:cs="Arial" w:eastAsia="Arial" w:hAnsi="Arial"/>
                <w:sz w:val="26"/>
                <w:szCs w:val="26"/>
                <w:color w:val="0233A1"/>
                <w:vertAlign w:val="superscript"/>
              </w:rPr>
              <w:t>(4)</w:t>
            </w:r>
          </w:p>
        </w:tc>
        <w:tc>
          <w:tcPr>
            <w:tcW w:w="1100" w:type="dxa"/>
            <w:vAlign w:val="bottom"/>
            <w:tcBorders>
              <w:bottom w:val="single" w:sz="8" w:color="0233A1"/>
            </w:tcBorders>
          </w:tcPr>
          <w:p>
            <w:pPr>
              <w:jc w:val="right"/>
              <w:ind w:right="119"/>
              <w:spacing w:after="0"/>
              <w:rPr>
                <w:sz w:val="20"/>
                <w:szCs w:val="20"/>
                <w:color w:val="auto"/>
              </w:rPr>
            </w:pPr>
            <w:r>
              <w:rPr>
                <w:rFonts w:ascii="Arial" w:cs="Arial" w:eastAsia="Arial" w:hAnsi="Arial"/>
                <w:sz w:val="16"/>
                <w:szCs w:val="16"/>
                <w:b w:val="1"/>
                <w:bCs w:val="1"/>
                <w:color w:val="0233A1"/>
              </w:rPr>
              <w:t>($)</w:t>
            </w:r>
          </w:p>
        </w:tc>
        <w:tc>
          <w:tcPr>
            <w:tcW w:w="1060" w:type="dxa"/>
            <w:vAlign w:val="bottom"/>
            <w:tcBorders>
              <w:bottom w:val="single" w:sz="8" w:color="0233A1"/>
            </w:tcBorders>
            <w:gridSpan w:val="2"/>
          </w:tcPr>
          <w:p>
            <w:pPr>
              <w:jc w:val="right"/>
              <w:ind w:right="60"/>
              <w:spacing w:after="0" w:line="230" w:lineRule="exact"/>
              <w:rPr>
                <w:sz w:val="20"/>
                <w:szCs w:val="20"/>
                <w:color w:val="auto"/>
              </w:rPr>
            </w:pPr>
            <w:r>
              <w:rPr>
                <w:rFonts w:ascii="Arial" w:cs="Arial" w:eastAsia="Arial" w:hAnsi="Arial"/>
                <w:sz w:val="16"/>
                <w:szCs w:val="16"/>
                <w:b w:val="1"/>
                <w:bCs w:val="1"/>
                <w:color w:val="0233A1"/>
              </w:rPr>
              <w:t>($)</w:t>
            </w:r>
            <w:r>
              <w:rPr>
                <w:rFonts w:ascii="Arial" w:cs="Arial" w:eastAsia="Arial" w:hAnsi="Arial"/>
                <w:sz w:val="26"/>
                <w:szCs w:val="26"/>
                <w:color w:val="0233A1"/>
                <w:vertAlign w:val="superscript"/>
              </w:rPr>
              <w:t>(5)</w:t>
            </w:r>
          </w:p>
        </w:tc>
      </w:tr>
      <w:tr>
        <w:trPr>
          <w:trHeight w:val="222"/>
        </w:trPr>
        <w:tc>
          <w:tcPr>
            <w:tcW w:w="680" w:type="dxa"/>
            <w:vAlign w:val="bottom"/>
          </w:tcPr>
          <w:p>
            <w:pPr>
              <w:ind w:left="40"/>
              <w:spacing w:after="0"/>
              <w:rPr>
                <w:sz w:val="20"/>
                <w:szCs w:val="20"/>
                <w:color w:val="auto"/>
              </w:rPr>
            </w:pPr>
            <w:r>
              <w:rPr>
                <w:rFonts w:ascii="Arial" w:cs="Arial" w:eastAsia="Arial" w:hAnsi="Arial"/>
                <w:sz w:val="16"/>
                <w:szCs w:val="16"/>
                <w:color w:val="auto"/>
              </w:rPr>
              <w:t>2023</w:t>
            </w:r>
          </w:p>
        </w:tc>
        <w:tc>
          <w:tcPr>
            <w:tcW w:w="1600" w:type="dxa"/>
            <w:vAlign w:val="bottom"/>
          </w:tcPr>
          <w:p>
            <w:pPr>
              <w:jc w:val="right"/>
              <w:ind w:right="119"/>
              <w:spacing w:after="0"/>
              <w:rPr>
                <w:sz w:val="20"/>
                <w:szCs w:val="20"/>
                <w:color w:val="auto"/>
              </w:rPr>
            </w:pPr>
            <w:r>
              <w:rPr>
                <w:rFonts w:ascii="Arial" w:cs="Arial" w:eastAsia="Arial" w:hAnsi="Arial"/>
                <w:sz w:val="16"/>
                <w:szCs w:val="16"/>
                <w:color w:val="auto"/>
              </w:rPr>
              <w:t>18,249,585</w:t>
            </w:r>
          </w:p>
        </w:tc>
        <w:tc>
          <w:tcPr>
            <w:tcW w:w="1400" w:type="dxa"/>
            <w:vAlign w:val="bottom"/>
          </w:tcPr>
          <w:p>
            <w:pPr>
              <w:jc w:val="right"/>
              <w:spacing w:after="0" w:line="222" w:lineRule="exact"/>
              <w:rPr>
                <w:sz w:val="20"/>
                <w:szCs w:val="20"/>
                <w:color w:val="auto"/>
              </w:rPr>
            </w:pPr>
            <w:r>
              <w:rPr>
                <w:rFonts w:ascii="Arial" w:cs="Arial" w:eastAsia="Arial" w:hAnsi="Arial"/>
                <w:sz w:val="16"/>
                <w:szCs w:val="16"/>
                <w:color w:val="auto"/>
              </w:rPr>
              <w:t>26,165,195</w:t>
            </w:r>
            <w:r>
              <w:rPr>
                <w:rFonts w:ascii="Arial" w:cs="Arial" w:eastAsia="Arial" w:hAnsi="Arial"/>
                <w:sz w:val="25"/>
                <w:szCs w:val="25"/>
                <w:color w:val="auto"/>
                <w:vertAlign w:val="superscript"/>
              </w:rPr>
              <w:t>(6)</w:t>
            </w: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5,907,339</w:t>
            </w:r>
          </w:p>
        </w:tc>
        <w:tc>
          <w:tcPr>
            <w:tcW w:w="1540" w:type="dxa"/>
            <w:vAlign w:val="bottom"/>
          </w:tcPr>
          <w:p>
            <w:pPr>
              <w:jc w:val="right"/>
              <w:ind w:right="141"/>
              <w:spacing w:after="0" w:line="222" w:lineRule="exact"/>
              <w:rPr>
                <w:sz w:val="20"/>
                <w:szCs w:val="20"/>
                <w:color w:val="auto"/>
              </w:rPr>
            </w:pPr>
            <w:r>
              <w:rPr>
                <w:rFonts w:ascii="Arial" w:cs="Arial" w:eastAsia="Arial" w:hAnsi="Arial"/>
                <w:sz w:val="16"/>
                <w:szCs w:val="16"/>
                <w:color w:val="auto"/>
              </w:rPr>
              <w:t>9,304,743</w:t>
            </w:r>
            <w:r>
              <w:rPr>
                <w:rFonts w:ascii="Arial" w:cs="Arial" w:eastAsia="Arial" w:hAnsi="Arial"/>
                <w:sz w:val="25"/>
                <w:szCs w:val="25"/>
                <w:color w:val="auto"/>
                <w:vertAlign w:val="superscript"/>
              </w:rPr>
              <w:t>(7)</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$140.98</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$134.09</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4,275</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8,107</w:t>
            </w:r>
          </w:p>
        </w:tc>
      </w:tr>
      <w:tr>
        <w:trPr>
          <w:trHeight w:val="203"/>
        </w:trPr>
        <w:tc>
          <w:tcPr>
            <w:tcW w:w="680" w:type="dxa"/>
            <w:vAlign w:val="bottom"/>
          </w:tcPr>
          <w:p>
            <w:pPr>
              <w:ind w:left="40"/>
              <w:spacing w:after="0"/>
              <w:rPr>
                <w:sz w:val="20"/>
                <w:szCs w:val="20"/>
                <w:color w:val="auto"/>
              </w:rPr>
            </w:pPr>
            <w:r>
              <w:rPr>
                <w:rFonts w:ascii="Arial" w:cs="Arial" w:eastAsia="Arial" w:hAnsi="Arial"/>
                <w:sz w:val="16"/>
                <w:szCs w:val="16"/>
                <w:color w:val="auto"/>
              </w:rPr>
              <w:t>2022</w:t>
            </w:r>
          </w:p>
        </w:tc>
        <w:tc>
          <w:tcPr>
            <w:tcW w:w="1600" w:type="dxa"/>
            <w:vAlign w:val="bottom"/>
          </w:tcPr>
          <w:p>
            <w:pPr>
              <w:jc w:val="right"/>
              <w:ind w:right="119"/>
              <w:spacing w:after="0"/>
              <w:rPr>
                <w:sz w:val="20"/>
                <w:szCs w:val="20"/>
                <w:color w:val="auto"/>
              </w:rPr>
            </w:pPr>
            <w:r>
              <w:rPr>
                <w:rFonts w:ascii="Arial" w:cs="Arial" w:eastAsia="Arial" w:hAnsi="Arial"/>
                <w:sz w:val="16"/>
                <w:szCs w:val="16"/>
                <w:color w:val="auto"/>
              </w:rPr>
              <w:t>15,713,757</w:t>
            </w:r>
          </w:p>
        </w:tc>
        <w:tc>
          <w:tcPr>
            <w:tcW w:w="1400" w:type="dxa"/>
            <w:vAlign w:val="bottom"/>
          </w:tcPr>
          <w:p>
            <w:pPr>
              <w:jc w:val="right"/>
              <w:ind w:right="159"/>
              <w:spacing w:after="0"/>
              <w:rPr>
                <w:sz w:val="20"/>
                <w:szCs w:val="20"/>
                <w:color w:val="auto"/>
              </w:rPr>
            </w:pPr>
            <w:r>
              <w:rPr>
                <w:rFonts w:ascii="Arial" w:cs="Arial" w:eastAsia="Arial" w:hAnsi="Arial"/>
                <w:sz w:val="16"/>
                <w:szCs w:val="16"/>
                <w:color w:val="auto"/>
              </w:rPr>
              <w:t>39,478,899</w:t>
            </w: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5,087,891</w:t>
            </w:r>
          </w:p>
        </w:tc>
        <w:tc>
          <w:tcPr>
            <w:tcW w:w="1540" w:type="dxa"/>
            <w:vAlign w:val="bottom"/>
          </w:tcPr>
          <w:p>
            <w:pPr>
              <w:jc w:val="right"/>
              <w:ind w:right="301"/>
              <w:spacing w:after="0"/>
              <w:rPr>
                <w:sz w:val="20"/>
                <w:szCs w:val="20"/>
                <w:color w:val="auto"/>
              </w:rPr>
            </w:pPr>
            <w:r>
              <w:rPr>
                <w:rFonts w:ascii="Arial" w:cs="Arial" w:eastAsia="Arial" w:hAnsi="Arial"/>
                <w:sz w:val="16"/>
                <w:szCs w:val="16"/>
                <w:color w:val="auto"/>
              </w:rPr>
              <w:t>17,341,223</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$142.09</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$146.82</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3,492</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6,462</w:t>
            </w:r>
          </w:p>
        </w:tc>
      </w:tr>
      <w:tr>
        <w:trPr>
          <w:trHeight w:val="203"/>
        </w:trPr>
        <w:tc>
          <w:tcPr>
            <w:tcW w:w="680" w:type="dxa"/>
            <w:vAlign w:val="bottom"/>
          </w:tcPr>
          <w:p>
            <w:pPr>
              <w:ind w:left="40"/>
              <w:spacing w:after="0"/>
              <w:rPr>
                <w:sz w:val="20"/>
                <w:szCs w:val="20"/>
                <w:color w:val="auto"/>
              </w:rPr>
            </w:pPr>
            <w:r>
              <w:rPr>
                <w:rFonts w:ascii="Arial" w:cs="Arial" w:eastAsia="Arial" w:hAnsi="Arial"/>
                <w:sz w:val="16"/>
                <w:szCs w:val="16"/>
                <w:color w:val="auto"/>
              </w:rPr>
              <w:t>2021</w:t>
            </w:r>
          </w:p>
        </w:tc>
        <w:tc>
          <w:tcPr>
            <w:tcW w:w="1600" w:type="dxa"/>
            <w:vAlign w:val="bottom"/>
          </w:tcPr>
          <w:p>
            <w:pPr>
              <w:jc w:val="right"/>
              <w:ind w:right="119"/>
              <w:spacing w:after="0"/>
              <w:rPr>
                <w:sz w:val="20"/>
                <w:szCs w:val="20"/>
                <w:color w:val="auto"/>
              </w:rPr>
            </w:pPr>
            <w:r>
              <w:rPr>
                <w:rFonts w:ascii="Arial" w:cs="Arial" w:eastAsia="Arial" w:hAnsi="Arial"/>
                <w:sz w:val="16"/>
                <w:szCs w:val="16"/>
                <w:color w:val="auto"/>
              </w:rPr>
              <w:t>16,795,502</w:t>
            </w:r>
          </w:p>
        </w:tc>
        <w:tc>
          <w:tcPr>
            <w:tcW w:w="1400" w:type="dxa"/>
            <w:vAlign w:val="bottom"/>
          </w:tcPr>
          <w:p>
            <w:pPr>
              <w:jc w:val="right"/>
              <w:ind w:right="159"/>
              <w:spacing w:after="0"/>
              <w:rPr>
                <w:sz w:val="20"/>
                <w:szCs w:val="20"/>
                <w:color w:val="auto"/>
              </w:rPr>
            </w:pPr>
            <w:r>
              <w:rPr>
                <w:rFonts w:ascii="Arial" w:cs="Arial" w:eastAsia="Arial" w:hAnsi="Arial"/>
                <w:sz w:val="16"/>
                <w:szCs w:val="16"/>
                <w:color w:val="auto"/>
              </w:rPr>
              <w:t>32,392,156</w:t>
            </w: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6,353,971</w:t>
            </w:r>
          </w:p>
        </w:tc>
        <w:tc>
          <w:tcPr>
            <w:tcW w:w="1540" w:type="dxa"/>
            <w:vAlign w:val="bottom"/>
          </w:tcPr>
          <w:p>
            <w:pPr>
              <w:jc w:val="right"/>
              <w:ind w:right="301"/>
              <w:spacing w:after="0"/>
              <w:rPr>
                <w:sz w:val="20"/>
                <w:szCs w:val="20"/>
                <w:color w:val="auto"/>
              </w:rPr>
            </w:pPr>
            <w:r>
              <w:rPr>
                <w:rFonts w:ascii="Arial" w:cs="Arial" w:eastAsia="Arial" w:hAnsi="Arial"/>
                <w:sz w:val="16"/>
                <w:szCs w:val="16"/>
                <w:color w:val="auto"/>
              </w:rPr>
              <w:t>13,116,171</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$78.43</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$82.83</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1,928</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4,925</w:t>
            </w:r>
          </w:p>
        </w:tc>
      </w:tr>
      <w:tr>
        <w:trPr>
          <w:trHeight w:val="210"/>
        </w:trPr>
        <w:tc>
          <w:tcPr>
            <w:tcW w:w="680" w:type="dxa"/>
            <w:vAlign w:val="bottom"/>
            <w:tcBorders>
              <w:bottom w:val="single" w:sz="8" w:color="0233A1"/>
            </w:tcBorders>
          </w:tcPr>
          <w:p>
            <w:pPr>
              <w:ind w:left="40"/>
              <w:spacing w:after="0"/>
              <w:rPr>
                <w:sz w:val="20"/>
                <w:szCs w:val="20"/>
                <w:color w:val="auto"/>
              </w:rPr>
            </w:pPr>
            <w:r>
              <w:rPr>
                <w:rFonts w:ascii="Arial" w:cs="Arial" w:eastAsia="Arial" w:hAnsi="Arial"/>
                <w:sz w:val="16"/>
                <w:szCs w:val="16"/>
                <w:color w:val="auto"/>
              </w:rPr>
              <w:t>2020</w:t>
            </w:r>
          </w:p>
        </w:tc>
        <w:tc>
          <w:tcPr>
            <w:tcW w:w="1600" w:type="dxa"/>
            <w:vAlign w:val="bottom"/>
            <w:tcBorders>
              <w:bottom w:val="single" w:sz="8" w:color="0233A1"/>
            </w:tcBorders>
          </w:tcPr>
          <w:p>
            <w:pPr>
              <w:jc w:val="right"/>
              <w:ind w:right="119"/>
              <w:spacing w:after="0"/>
              <w:rPr>
                <w:sz w:val="20"/>
                <w:szCs w:val="20"/>
                <w:color w:val="auto"/>
              </w:rPr>
            </w:pPr>
            <w:r>
              <w:rPr>
                <w:rFonts w:ascii="Arial" w:cs="Arial" w:eastAsia="Arial" w:hAnsi="Arial"/>
                <w:sz w:val="16"/>
                <w:szCs w:val="16"/>
                <w:color w:val="auto"/>
              </w:rPr>
              <w:t>5,650,084</w:t>
            </w:r>
          </w:p>
        </w:tc>
        <w:tc>
          <w:tcPr>
            <w:tcW w:w="1400" w:type="dxa"/>
            <w:vAlign w:val="bottom"/>
            <w:tcBorders>
              <w:bottom w:val="single" w:sz="8" w:color="0233A1"/>
            </w:tcBorders>
          </w:tcPr>
          <w:p>
            <w:pPr>
              <w:jc w:val="right"/>
              <w:ind w:right="99"/>
              <w:spacing w:after="0"/>
              <w:rPr>
                <w:sz w:val="20"/>
                <w:szCs w:val="20"/>
                <w:color w:val="auto"/>
              </w:rPr>
            </w:pPr>
            <w:r>
              <w:rPr>
                <w:rFonts w:ascii="Arial" w:cs="Arial" w:eastAsia="Arial" w:hAnsi="Arial"/>
                <w:sz w:val="16"/>
                <w:szCs w:val="16"/>
                <w:color w:val="auto"/>
              </w:rPr>
              <w:t>(10,610,514)</w:t>
            </w:r>
          </w:p>
        </w:tc>
        <w:tc>
          <w:tcPr>
            <w:tcW w:w="1460" w:type="dxa"/>
            <w:vAlign w:val="bottom"/>
            <w:tcBorders>
              <w:bottom w:val="single" w:sz="8" w:color="0233A1"/>
            </w:tcBorders>
          </w:tcPr>
          <w:p>
            <w:pPr>
              <w:jc w:val="right"/>
              <w:ind w:right="119"/>
              <w:spacing w:after="0"/>
              <w:rPr>
                <w:sz w:val="20"/>
                <w:szCs w:val="20"/>
                <w:color w:val="auto"/>
              </w:rPr>
            </w:pPr>
            <w:r>
              <w:rPr>
                <w:rFonts w:ascii="Arial" w:cs="Arial" w:eastAsia="Arial" w:hAnsi="Arial"/>
                <w:sz w:val="16"/>
                <w:szCs w:val="16"/>
                <w:color w:val="auto"/>
              </w:rPr>
              <w:t>6,081,217</w:t>
            </w:r>
          </w:p>
        </w:tc>
        <w:tc>
          <w:tcPr>
            <w:tcW w:w="1540" w:type="dxa"/>
            <w:vAlign w:val="bottom"/>
            <w:tcBorders>
              <w:bottom w:val="single" w:sz="8" w:color="0233A1"/>
            </w:tcBorders>
          </w:tcPr>
          <w:p>
            <w:pPr>
              <w:jc w:val="right"/>
              <w:ind w:right="301"/>
              <w:spacing w:after="0"/>
              <w:rPr>
                <w:sz w:val="20"/>
                <w:szCs w:val="20"/>
                <w:color w:val="auto"/>
              </w:rPr>
            </w:pPr>
            <w:r>
              <w:rPr>
                <w:rFonts w:ascii="Arial" w:cs="Arial" w:eastAsia="Arial" w:hAnsi="Arial"/>
                <w:sz w:val="16"/>
                <w:szCs w:val="16"/>
                <w:color w:val="auto"/>
              </w:rPr>
              <w:t>2,190,708</w:t>
            </w:r>
          </w:p>
        </w:tc>
        <w:tc>
          <w:tcPr>
            <w:tcW w:w="1120" w:type="dxa"/>
            <w:vAlign w:val="bottom"/>
            <w:tcBorders>
              <w:bottom w:val="single" w:sz="8" w:color="0233A1"/>
            </w:tcBorders>
          </w:tcPr>
          <w:p>
            <w:pPr>
              <w:jc w:val="right"/>
              <w:ind w:right="39"/>
              <w:spacing w:after="0"/>
              <w:rPr>
                <w:sz w:val="20"/>
                <w:szCs w:val="20"/>
                <w:color w:val="auto"/>
              </w:rPr>
            </w:pPr>
            <w:r>
              <w:rPr>
                <w:rFonts w:ascii="Arial" w:cs="Arial" w:eastAsia="Arial" w:hAnsi="Arial"/>
                <w:sz w:val="16"/>
                <w:szCs w:val="16"/>
                <w:color w:val="auto"/>
              </w:rPr>
              <w:t>$56.19</w:t>
            </w:r>
          </w:p>
        </w:tc>
        <w:tc>
          <w:tcPr>
            <w:tcW w:w="1280" w:type="dxa"/>
            <w:vAlign w:val="bottom"/>
            <w:tcBorders>
              <w:bottom w:val="single" w:sz="8" w:color="0233A1"/>
            </w:tcBorders>
            <w:gridSpan w:val="2"/>
          </w:tcPr>
          <w:p>
            <w:pPr>
              <w:jc w:val="right"/>
              <w:ind w:right="220"/>
              <w:spacing w:after="0"/>
              <w:rPr>
                <w:sz w:val="20"/>
                <w:szCs w:val="20"/>
                <w:color w:val="auto"/>
              </w:rPr>
            </w:pPr>
            <w:r>
              <w:rPr>
                <w:rFonts w:ascii="Arial" w:cs="Arial" w:eastAsia="Arial" w:hAnsi="Arial"/>
                <w:sz w:val="16"/>
                <w:szCs w:val="16"/>
                <w:color w:val="auto"/>
              </w:rPr>
              <w:t>$63.45</w:t>
            </w:r>
          </w:p>
        </w:tc>
        <w:tc>
          <w:tcPr>
            <w:tcW w:w="1100" w:type="dxa"/>
            <w:vAlign w:val="bottom"/>
            <w:tcBorders>
              <w:bottom w:val="single" w:sz="8" w:color="0233A1"/>
            </w:tcBorders>
          </w:tcPr>
          <w:p>
            <w:pPr>
              <w:jc w:val="right"/>
              <w:ind w:right="79"/>
              <w:spacing w:after="0"/>
              <w:rPr>
                <w:sz w:val="20"/>
                <w:szCs w:val="20"/>
                <w:color w:val="auto"/>
              </w:rPr>
            </w:pPr>
            <w:r>
              <w:rPr>
                <w:rFonts w:ascii="Arial" w:cs="Arial" w:eastAsia="Arial" w:hAnsi="Arial"/>
                <w:sz w:val="16"/>
                <w:szCs w:val="16"/>
                <w:color w:val="auto"/>
              </w:rPr>
              <w:t>(10,486)</w:t>
            </w:r>
          </w:p>
        </w:tc>
        <w:tc>
          <w:tcPr>
            <w:tcW w:w="1060" w:type="dxa"/>
            <w:vAlign w:val="bottom"/>
            <w:tcBorders>
              <w:bottom w:val="single" w:sz="8" w:color="0233A1"/>
            </w:tcBorders>
            <w:gridSpan w:val="2"/>
          </w:tcPr>
          <w:p>
            <w:pPr>
              <w:jc w:val="right"/>
              <w:ind w:right="220"/>
              <w:spacing w:after="0"/>
              <w:rPr>
                <w:sz w:val="20"/>
                <w:szCs w:val="20"/>
                <w:color w:val="auto"/>
              </w:rPr>
            </w:pPr>
            <w:r>
              <w:rPr>
                <w:rFonts w:ascii="Arial" w:cs="Arial" w:eastAsia="Arial" w:hAnsi="Arial"/>
                <w:sz w:val="16"/>
                <w:szCs w:val="16"/>
                <w:color w:val="auto"/>
              </w:rPr>
              <w:t>4,313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8255"/>
            <wp:wrapNone/>
            <wp:docPr id="3266" name="Picture 3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6"/>
                    <pic:cNvPicPr>
                      <a:picLocks noChangeAspect="1" noChangeArrowheads="1"/>
                    </pic:cNvPicPr>
                  </pic:nvPicPr>
                  <pic:blipFill>
                    <a:blip r:embed="rId327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8255"/>
            <wp:wrapNone/>
            <wp:docPr id="3267" name="Picture 3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7"/>
                    <pic:cNvPicPr>
                      <a:picLocks noChangeAspect="1" noChangeArrowheads="1"/>
                    </pic:cNvPicPr>
                  </pic:nvPicPr>
                  <pic:blipFill>
                    <a:blip r:embed="rId327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255"/>
            <wp:wrapNone/>
            <wp:docPr id="3268" name="Picture 3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8"/>
                    <pic:cNvPicPr>
                      <a:picLocks noChangeAspect="1" noChangeArrowheads="1"/>
                    </pic:cNvPicPr>
                  </pic:nvPicPr>
                  <pic:blipFill>
                    <a:blip r:embed="rId32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6" w:lineRule="exact"/>
        <w:rPr>
          <w:sz w:val="20"/>
          <w:szCs w:val="20"/>
          <w:color w:val="auto"/>
        </w:rPr>
      </w:pPr>
    </w:p>
    <w:p>
      <w:pPr>
        <w:ind w:left="340" w:hanging="332"/>
        <w:spacing w:after="0" w:line="281" w:lineRule="auto"/>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dollar amounts reported are the amounts of total compensation reported for our CEO, Mr. Le Peuch, in the Summary Compensation Table for fiscal years 2023, 2022, 2021, and 2020. Mr. Le Peuch served as CEO for each of the years presented.</w:t>
      </w:r>
    </w:p>
    <w:p>
      <w:pPr>
        <w:spacing w:after="0" w:line="1" w:lineRule="exact"/>
        <w:rPr>
          <w:rFonts w:ascii="Arial" w:cs="Arial" w:eastAsia="Arial" w:hAnsi="Arial"/>
          <w:sz w:val="14"/>
          <w:szCs w:val="14"/>
          <w:color w:val="auto"/>
        </w:rPr>
      </w:pPr>
    </w:p>
    <w:p>
      <w:pPr>
        <w:jc w:val="both"/>
        <w:ind w:left="340" w:hanging="332"/>
        <w:spacing w:after="0" w:line="254" w:lineRule="auto"/>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dollar amounts reported represent the amount of “compensation actually paid”, as computed in accordance with SEC rules. The dollar amounts do not reflect the actual amounts of compensation paid to our CEO or other NEOs during the applicable year, but also include (i) the year-end value of equity awards granted during the reported year, (ii) the change in the value of equity awards that were unvested at the end of the prior year, measured through the date the awards vested or were forfeited, or through the end of the reported fiscal year, and (iii) certain pension-related costs. For reconciliations of the “compensation actually paid” in 2023 to the “Total” compensation amounts for 2023 reported in the Summary Compensation Table (</w:t>
      </w:r>
      <w:r>
        <w:rPr>
          <w:rFonts w:ascii="Arial" w:cs="Arial" w:eastAsia="Arial" w:hAnsi="Arial"/>
          <w:sz w:val="14"/>
          <w:szCs w:val="14"/>
          <w:b w:val="1"/>
          <w:bCs w:val="1"/>
          <w:color w:val="auto"/>
        </w:rPr>
        <w:t>SCT</w:t>
      </w:r>
      <w:r>
        <w:rPr>
          <w:rFonts w:ascii="Arial" w:cs="Arial" w:eastAsia="Arial" w:hAnsi="Arial"/>
          <w:sz w:val="14"/>
          <w:szCs w:val="14"/>
          <w:color w:val="auto"/>
        </w:rPr>
        <w:t>) on page 50 of this proxy statement, see footnotes (6) and (7) below.</w:t>
      </w:r>
    </w:p>
    <w:p>
      <w:pPr>
        <w:spacing w:after="0" w:line="12" w:lineRule="exact"/>
        <w:rPr>
          <w:rFonts w:ascii="Arial" w:cs="Arial" w:eastAsia="Arial" w:hAnsi="Arial"/>
          <w:sz w:val="14"/>
          <w:szCs w:val="14"/>
          <w:color w:val="auto"/>
        </w:rPr>
      </w:pPr>
    </w:p>
    <w:p>
      <w:pPr>
        <w:jc w:val="both"/>
        <w:ind w:left="340" w:hanging="332"/>
        <w:spacing w:after="0" w:line="253" w:lineRule="auto"/>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For 2023, reflects average compensation information for our NEOs, other than our CEO, as described in the CD&amp;A of this proxy statement. For 2022, reflects average compensation information for Mr. Al Mogharbel, Mr. Biguet, Mr. Merad, and Ms. Ralston, as well as Ashok Belani, SLB’s former EVP, New Energy. For 2021, reflects average compensation information for Mr. Al Mogharbel and Mr. Biguet, as well as Mr. Belani and Hinda Gharbi, SLB’s former EVP, Services and Equipment. For 2020, reflects average compensation information for Mr. Al Mogharbel and Mr. Biguet, as well as Mr. Belani, Ms. Gharbi, and Simon Ayat, SLB’s former EVP and Chief Financial Officer.</w:t>
      </w:r>
    </w:p>
    <w:p>
      <w:pPr>
        <w:spacing w:after="0" w:line="185" w:lineRule="exact"/>
        <w:rPr>
          <w:rFonts w:ascii="Arial" w:cs="Arial" w:eastAsia="Arial" w:hAnsi="Arial"/>
          <w:sz w:val="14"/>
          <w:szCs w:val="14"/>
          <w:color w:val="auto"/>
        </w:rPr>
      </w:pPr>
    </w:p>
    <w:p>
      <w:pPr>
        <w:jc w:val="both"/>
        <w:ind w:left="340" w:hanging="332"/>
        <w:spacing w:after="0" w:line="263" w:lineRule="auto"/>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Reflects cumulative total shareholder return of the Philadelphia Oil Services Sector (</w:t>
      </w:r>
      <w:r>
        <w:rPr>
          <w:rFonts w:ascii="Arial" w:cs="Arial" w:eastAsia="Arial" w:hAnsi="Arial"/>
          <w:sz w:val="14"/>
          <w:szCs w:val="14"/>
          <w:b w:val="1"/>
          <w:bCs w:val="1"/>
          <w:color w:val="auto"/>
        </w:rPr>
        <w:t>OSX</w:t>
      </w:r>
      <w:r>
        <w:rPr>
          <w:rFonts w:ascii="Arial" w:cs="Arial" w:eastAsia="Arial" w:hAnsi="Arial"/>
          <w:sz w:val="14"/>
          <w:szCs w:val="14"/>
          <w:color w:val="auto"/>
        </w:rPr>
        <w:t>) index, as of December 31, 2023, weighted according to the constituent companies’ market capitalization at the beginning of each period for which a return is indicated. The OSX is the peer group used by SLB for purposes of Item 201(e) of Regulation S-K under the Exchange Act in our 2023 Annual Report.</w:t>
      </w:r>
    </w:p>
    <w:p>
      <w:pPr>
        <w:spacing w:after="0" w:line="10" w:lineRule="exact"/>
        <w:rPr>
          <w:rFonts w:ascii="Arial" w:cs="Arial" w:eastAsia="Arial" w:hAnsi="Arial"/>
          <w:sz w:val="14"/>
          <w:szCs w:val="14"/>
          <w:color w:val="auto"/>
        </w:rPr>
      </w:pPr>
    </w:p>
    <w:p>
      <w:pPr>
        <w:ind w:left="340" w:hanging="332"/>
        <w:spacing w:after="0" w:line="281" w:lineRule="auto"/>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Adjusted EBITDA represents income before taxes, excluding charges and credits, depreciation and amortization, interest expense, and interest income. Adjusted EBITDA is a non-GAAP measure. See Appendix A for reconciliations of non-GAAP measures to their most comparable GAAP measures.</w:t>
      </w:r>
    </w:p>
    <w:p>
      <w:pPr>
        <w:spacing w:after="0" w:line="1" w:lineRule="exact"/>
        <w:rPr>
          <w:rFonts w:ascii="Arial" w:cs="Arial" w:eastAsia="Arial" w:hAnsi="Arial"/>
          <w:sz w:val="14"/>
          <w:szCs w:val="14"/>
          <w:color w:val="auto"/>
        </w:rPr>
      </w:pPr>
    </w:p>
    <w:p>
      <w:pPr>
        <w:ind w:left="340" w:hanging="332"/>
        <w:spacing w:after="0" w:line="285" w:lineRule="auto"/>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To calculate the amount of “compensation actually paid” to our CEO for 2023, the following amounts were deducted from and added to (as applicable) our CEO’s “Total” compensation as reported in the SCT:</w:t>
      </w:r>
    </w:p>
    <w:p>
      <w:pPr>
        <w:spacing w:after="0" w:line="126" w:lineRule="exact"/>
        <w:rPr>
          <w:sz w:val="20"/>
          <w:szCs w:val="20"/>
          <w:color w:val="auto"/>
        </w:rPr>
      </w:pPr>
    </w:p>
    <w:tbl>
      <w:tblPr>
        <w:tblLayout w:type="fixed"/>
        <w:tblInd w:w="340" w:type="dxa"/>
        <w:tblCellMar>
          <w:top w:w="0" w:type="dxa"/>
          <w:left w:w="0" w:type="dxa"/>
          <w:bottom w:w="0" w:type="dxa"/>
          <w:right w:w="0" w:type="dxa"/>
        </w:tblCellMar>
      </w:tblPr>
      <w:tr>
        <w:trPr>
          <w:trHeight w:val="189"/>
        </w:trPr>
        <w:tc>
          <w:tcPr>
            <w:tcW w:w="11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b w:val="1"/>
                <w:bCs w:val="1"/>
                <w:color w:val="0233A1"/>
              </w:rPr>
              <w:t>Reported</w:t>
            </w:r>
          </w:p>
        </w:tc>
        <w:tc>
          <w:tcPr>
            <w:tcW w:w="144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89"/>
        </w:trPr>
        <w:tc>
          <w:tcPr>
            <w:tcW w:w="11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420" w:type="dxa"/>
            <w:vAlign w:val="bottom"/>
          </w:tcPr>
          <w:p>
            <w:pPr>
              <w:jc w:val="right"/>
              <w:ind w:right="119"/>
              <w:spacing w:after="0"/>
              <w:rPr>
                <w:sz w:val="20"/>
                <w:szCs w:val="20"/>
                <w:color w:val="auto"/>
              </w:rPr>
            </w:pPr>
            <w:r>
              <w:rPr>
                <w:rFonts w:ascii="Arial" w:cs="Arial" w:eastAsia="Arial" w:hAnsi="Arial"/>
                <w:sz w:val="16"/>
                <w:szCs w:val="16"/>
                <w:b w:val="1"/>
                <w:bCs w:val="1"/>
                <w:color w:val="0233A1"/>
              </w:rPr>
              <w:t>Reported</w:t>
            </w:r>
          </w:p>
        </w:tc>
        <w:tc>
          <w:tcPr>
            <w:tcW w:w="1240" w:type="dxa"/>
            <w:vAlign w:val="bottom"/>
          </w:tcPr>
          <w:p>
            <w:pPr>
              <w:spacing w:after="0"/>
              <w:rPr>
                <w:sz w:val="16"/>
                <w:szCs w:val="16"/>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b w:val="1"/>
                <w:bCs w:val="1"/>
                <w:color w:val="0233A1"/>
              </w:rPr>
              <w:t>Change in the</w:t>
            </w:r>
          </w:p>
        </w:tc>
        <w:tc>
          <w:tcPr>
            <w:tcW w:w="144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89"/>
        </w:trPr>
        <w:tc>
          <w:tcPr>
            <w:tcW w:w="1160" w:type="dxa"/>
            <w:vAlign w:val="bottom"/>
          </w:tcPr>
          <w:p>
            <w:pPr>
              <w:spacing w:after="0"/>
              <w:rPr>
                <w:sz w:val="16"/>
                <w:szCs w:val="16"/>
                <w:color w:val="auto"/>
              </w:rPr>
            </w:pPr>
          </w:p>
        </w:tc>
        <w:tc>
          <w:tcPr>
            <w:tcW w:w="2380" w:type="dxa"/>
            <w:vAlign w:val="bottom"/>
          </w:tcPr>
          <w:p>
            <w:pPr>
              <w:jc w:val="right"/>
              <w:ind w:right="39"/>
              <w:spacing w:after="0"/>
              <w:rPr>
                <w:sz w:val="20"/>
                <w:szCs w:val="20"/>
                <w:color w:val="auto"/>
              </w:rPr>
            </w:pPr>
            <w:r>
              <w:rPr>
                <w:rFonts w:ascii="Arial" w:cs="Arial" w:eastAsia="Arial" w:hAnsi="Arial"/>
                <w:sz w:val="16"/>
                <w:szCs w:val="16"/>
                <w:b w:val="1"/>
                <w:bCs w:val="1"/>
                <w:color w:val="0233A1"/>
              </w:rPr>
              <w:t>Summary</w:t>
            </w:r>
          </w:p>
        </w:tc>
        <w:tc>
          <w:tcPr>
            <w:tcW w:w="1420" w:type="dxa"/>
            <w:vAlign w:val="bottom"/>
          </w:tcPr>
          <w:p>
            <w:pPr>
              <w:jc w:val="right"/>
              <w:ind w:right="119"/>
              <w:spacing w:after="0"/>
              <w:rPr>
                <w:sz w:val="20"/>
                <w:szCs w:val="20"/>
                <w:color w:val="auto"/>
              </w:rPr>
            </w:pPr>
            <w:r>
              <w:rPr>
                <w:rFonts w:ascii="Arial" w:cs="Arial" w:eastAsia="Arial" w:hAnsi="Arial"/>
                <w:sz w:val="16"/>
                <w:szCs w:val="16"/>
                <w:b w:val="1"/>
                <w:bCs w:val="1"/>
                <w:color w:val="0233A1"/>
              </w:rPr>
              <w:t>Value of</w:t>
            </w:r>
          </w:p>
        </w:tc>
        <w:tc>
          <w:tcPr>
            <w:tcW w:w="1240" w:type="dxa"/>
            <w:vAlign w:val="bottom"/>
          </w:tcPr>
          <w:p>
            <w:pPr>
              <w:jc w:val="right"/>
              <w:ind w:right="99"/>
              <w:spacing w:after="0"/>
              <w:rPr>
                <w:sz w:val="20"/>
                <w:szCs w:val="20"/>
                <w:color w:val="auto"/>
              </w:rPr>
            </w:pPr>
            <w:r>
              <w:rPr>
                <w:rFonts w:ascii="Arial" w:cs="Arial" w:eastAsia="Arial" w:hAnsi="Arial"/>
                <w:sz w:val="16"/>
                <w:szCs w:val="16"/>
                <w:b w:val="1"/>
                <w:bCs w:val="1"/>
                <w:color w:val="0233A1"/>
              </w:rPr>
              <w:t>Equity Award</w:t>
            </w:r>
          </w:p>
        </w:tc>
        <w:tc>
          <w:tcPr>
            <w:tcW w:w="1560" w:type="dxa"/>
            <w:vAlign w:val="bottom"/>
          </w:tcPr>
          <w:p>
            <w:pPr>
              <w:jc w:val="right"/>
              <w:ind w:right="119"/>
              <w:spacing w:after="0"/>
              <w:rPr>
                <w:sz w:val="20"/>
                <w:szCs w:val="20"/>
                <w:color w:val="auto"/>
              </w:rPr>
            </w:pPr>
            <w:r>
              <w:rPr>
                <w:rFonts w:ascii="Arial" w:cs="Arial" w:eastAsia="Arial" w:hAnsi="Arial"/>
                <w:sz w:val="16"/>
                <w:szCs w:val="16"/>
                <w:b w:val="1"/>
                <w:bCs w:val="1"/>
                <w:color w:val="0233A1"/>
              </w:rPr>
              <w:t>Actuarial Present</w:t>
            </w:r>
          </w:p>
        </w:tc>
        <w:tc>
          <w:tcPr>
            <w:tcW w:w="1440" w:type="dxa"/>
            <w:vAlign w:val="bottom"/>
          </w:tcPr>
          <w:p>
            <w:pPr>
              <w:jc w:val="right"/>
              <w:ind w:right="99"/>
              <w:spacing w:after="0"/>
              <w:rPr>
                <w:sz w:val="20"/>
                <w:szCs w:val="20"/>
                <w:color w:val="auto"/>
              </w:rPr>
            </w:pPr>
            <w:r>
              <w:rPr>
                <w:rFonts w:ascii="Arial" w:cs="Arial" w:eastAsia="Arial" w:hAnsi="Arial"/>
                <w:sz w:val="16"/>
                <w:szCs w:val="16"/>
                <w:b w:val="1"/>
                <w:bCs w:val="1"/>
                <w:color w:val="0233A1"/>
              </w:rPr>
              <w:t>Pension Benefit</w:t>
            </w:r>
          </w:p>
        </w:tc>
        <w:tc>
          <w:tcPr>
            <w:tcW w:w="1700" w:type="dxa"/>
            <w:vAlign w:val="bottom"/>
          </w:tcPr>
          <w:p>
            <w:pPr>
              <w:spacing w:after="0"/>
              <w:rPr>
                <w:sz w:val="16"/>
                <w:szCs w:val="16"/>
                <w:color w:val="auto"/>
              </w:rPr>
            </w:pPr>
          </w:p>
        </w:tc>
      </w:tr>
      <w:tr>
        <w:trPr>
          <w:trHeight w:val="189"/>
        </w:trPr>
        <w:tc>
          <w:tcPr>
            <w:tcW w:w="1160" w:type="dxa"/>
            <w:vAlign w:val="bottom"/>
          </w:tcPr>
          <w:p>
            <w:pPr>
              <w:spacing w:after="0"/>
              <w:rPr>
                <w:sz w:val="16"/>
                <w:szCs w:val="16"/>
                <w:color w:val="auto"/>
              </w:rPr>
            </w:pPr>
          </w:p>
        </w:tc>
        <w:tc>
          <w:tcPr>
            <w:tcW w:w="2380" w:type="dxa"/>
            <w:vAlign w:val="bottom"/>
          </w:tcPr>
          <w:p>
            <w:pPr>
              <w:jc w:val="right"/>
              <w:ind w:right="39"/>
              <w:spacing w:after="0"/>
              <w:rPr>
                <w:sz w:val="20"/>
                <w:szCs w:val="20"/>
                <w:color w:val="auto"/>
              </w:rPr>
            </w:pPr>
            <w:r>
              <w:rPr>
                <w:rFonts w:ascii="Arial" w:cs="Arial" w:eastAsia="Arial" w:hAnsi="Arial"/>
                <w:sz w:val="16"/>
                <w:szCs w:val="16"/>
                <w:b w:val="1"/>
                <w:bCs w:val="1"/>
                <w:color w:val="0233A1"/>
              </w:rPr>
              <w:t>Compensation</w:t>
            </w:r>
          </w:p>
        </w:tc>
        <w:tc>
          <w:tcPr>
            <w:tcW w:w="1420" w:type="dxa"/>
            <w:vAlign w:val="bottom"/>
          </w:tcPr>
          <w:p>
            <w:pPr>
              <w:jc w:val="right"/>
              <w:ind w:right="119"/>
              <w:spacing w:after="0"/>
              <w:rPr>
                <w:sz w:val="20"/>
                <w:szCs w:val="20"/>
                <w:color w:val="auto"/>
              </w:rPr>
            </w:pPr>
            <w:r>
              <w:rPr>
                <w:rFonts w:ascii="Arial" w:cs="Arial" w:eastAsia="Arial" w:hAnsi="Arial"/>
                <w:sz w:val="16"/>
                <w:szCs w:val="16"/>
                <w:b w:val="1"/>
                <w:bCs w:val="1"/>
                <w:color w:val="0233A1"/>
              </w:rPr>
              <w:t>Equity Awards</w:t>
            </w:r>
          </w:p>
        </w:tc>
        <w:tc>
          <w:tcPr>
            <w:tcW w:w="1240" w:type="dxa"/>
            <w:vAlign w:val="bottom"/>
          </w:tcPr>
          <w:p>
            <w:pPr>
              <w:jc w:val="right"/>
              <w:ind w:right="99"/>
              <w:spacing w:after="0"/>
              <w:rPr>
                <w:sz w:val="20"/>
                <w:szCs w:val="20"/>
                <w:color w:val="auto"/>
              </w:rPr>
            </w:pPr>
            <w:r>
              <w:rPr>
                <w:rFonts w:ascii="Arial" w:cs="Arial" w:eastAsia="Arial" w:hAnsi="Arial"/>
                <w:sz w:val="16"/>
                <w:szCs w:val="16"/>
                <w:b w:val="1"/>
                <w:bCs w:val="1"/>
                <w:color w:val="0233A1"/>
              </w:rPr>
              <w:t>Adjustments</w:t>
            </w:r>
          </w:p>
        </w:tc>
        <w:tc>
          <w:tcPr>
            <w:tcW w:w="1560" w:type="dxa"/>
            <w:vAlign w:val="bottom"/>
          </w:tcPr>
          <w:p>
            <w:pPr>
              <w:jc w:val="right"/>
              <w:ind w:right="119"/>
              <w:spacing w:after="0"/>
              <w:rPr>
                <w:sz w:val="20"/>
                <w:szCs w:val="20"/>
                <w:color w:val="auto"/>
              </w:rPr>
            </w:pPr>
            <w:r>
              <w:rPr>
                <w:rFonts w:ascii="Arial" w:cs="Arial" w:eastAsia="Arial" w:hAnsi="Arial"/>
                <w:sz w:val="16"/>
                <w:szCs w:val="16"/>
                <w:b w:val="1"/>
                <w:bCs w:val="1"/>
                <w:color w:val="0233A1"/>
              </w:rPr>
              <w:t>Value of Pension</w:t>
            </w:r>
          </w:p>
        </w:tc>
        <w:tc>
          <w:tcPr>
            <w:tcW w:w="1440" w:type="dxa"/>
            <w:vAlign w:val="bottom"/>
          </w:tcPr>
          <w:p>
            <w:pPr>
              <w:jc w:val="right"/>
              <w:ind w:right="99"/>
              <w:spacing w:after="0"/>
              <w:rPr>
                <w:sz w:val="20"/>
                <w:szCs w:val="20"/>
                <w:color w:val="auto"/>
              </w:rPr>
            </w:pPr>
            <w:r>
              <w:rPr>
                <w:rFonts w:ascii="Arial" w:cs="Arial" w:eastAsia="Arial" w:hAnsi="Arial"/>
                <w:sz w:val="16"/>
                <w:szCs w:val="16"/>
                <w:b w:val="1"/>
                <w:bCs w:val="1"/>
                <w:color w:val="0233A1"/>
              </w:rPr>
              <w:t>Adjustments</w:t>
            </w:r>
          </w:p>
        </w:tc>
        <w:tc>
          <w:tcPr>
            <w:tcW w:w="1700" w:type="dxa"/>
            <w:vAlign w:val="bottom"/>
          </w:tcPr>
          <w:p>
            <w:pPr>
              <w:jc w:val="right"/>
              <w:spacing w:after="0"/>
              <w:rPr>
                <w:sz w:val="20"/>
                <w:szCs w:val="20"/>
                <w:color w:val="auto"/>
              </w:rPr>
            </w:pPr>
            <w:r>
              <w:rPr>
                <w:rFonts w:ascii="Arial" w:cs="Arial" w:eastAsia="Arial" w:hAnsi="Arial"/>
                <w:sz w:val="16"/>
                <w:szCs w:val="16"/>
                <w:b w:val="1"/>
                <w:bCs w:val="1"/>
                <w:color w:val="0233A1"/>
              </w:rPr>
              <w:t>Compensation</w:t>
            </w:r>
          </w:p>
        </w:tc>
      </w:tr>
      <w:tr>
        <w:trPr>
          <w:trHeight w:val="163"/>
        </w:trPr>
        <w:tc>
          <w:tcPr>
            <w:tcW w:w="1160" w:type="dxa"/>
            <w:vAlign w:val="bottom"/>
          </w:tcPr>
          <w:p>
            <w:pPr>
              <w:spacing w:after="0"/>
              <w:rPr>
                <w:sz w:val="14"/>
                <w:szCs w:val="14"/>
                <w:color w:val="auto"/>
              </w:rPr>
            </w:pPr>
          </w:p>
        </w:tc>
        <w:tc>
          <w:tcPr>
            <w:tcW w:w="2380" w:type="dxa"/>
            <w:vAlign w:val="bottom"/>
          </w:tcPr>
          <w:p>
            <w:pPr>
              <w:jc w:val="right"/>
              <w:ind w:right="39"/>
              <w:spacing w:after="0" w:line="163" w:lineRule="exact"/>
              <w:rPr>
                <w:sz w:val="20"/>
                <w:szCs w:val="20"/>
                <w:color w:val="auto"/>
              </w:rPr>
            </w:pPr>
            <w:r>
              <w:rPr>
                <w:rFonts w:ascii="Arial" w:cs="Arial" w:eastAsia="Arial" w:hAnsi="Arial"/>
                <w:sz w:val="16"/>
                <w:szCs w:val="16"/>
                <w:b w:val="1"/>
                <w:bCs w:val="1"/>
                <w:color w:val="0233A1"/>
              </w:rPr>
              <w:t>Table Total for CEO</w:t>
            </w:r>
          </w:p>
        </w:tc>
        <w:tc>
          <w:tcPr>
            <w:tcW w:w="1420" w:type="dxa"/>
            <w:vAlign w:val="bottom"/>
          </w:tcPr>
          <w:p>
            <w:pPr>
              <w:jc w:val="right"/>
              <w:ind w:right="119"/>
              <w:spacing w:after="0" w:line="163" w:lineRule="exact"/>
              <w:rPr>
                <w:sz w:val="20"/>
                <w:szCs w:val="20"/>
                <w:color w:val="auto"/>
              </w:rPr>
            </w:pPr>
            <w:r>
              <w:rPr>
                <w:rFonts w:ascii="Arial" w:cs="Arial" w:eastAsia="Arial" w:hAnsi="Arial"/>
                <w:sz w:val="16"/>
                <w:szCs w:val="16"/>
                <w:b w:val="1"/>
                <w:bCs w:val="1"/>
                <w:color w:val="0233A1"/>
              </w:rPr>
              <w:t>for CEO</w:t>
            </w:r>
          </w:p>
        </w:tc>
        <w:tc>
          <w:tcPr>
            <w:tcW w:w="1240" w:type="dxa"/>
            <w:vAlign w:val="bottom"/>
          </w:tcPr>
          <w:p>
            <w:pPr>
              <w:jc w:val="right"/>
              <w:ind w:right="99"/>
              <w:spacing w:after="0" w:line="163" w:lineRule="exact"/>
              <w:rPr>
                <w:sz w:val="20"/>
                <w:szCs w:val="20"/>
                <w:color w:val="auto"/>
              </w:rPr>
            </w:pPr>
            <w:r>
              <w:rPr>
                <w:rFonts w:ascii="Arial" w:cs="Arial" w:eastAsia="Arial" w:hAnsi="Arial"/>
                <w:sz w:val="16"/>
                <w:szCs w:val="16"/>
                <w:b w:val="1"/>
                <w:bCs w:val="1"/>
                <w:color w:val="0233A1"/>
              </w:rPr>
              <w:t>for CEO</w:t>
            </w:r>
          </w:p>
        </w:tc>
        <w:tc>
          <w:tcPr>
            <w:tcW w:w="1560" w:type="dxa"/>
            <w:vAlign w:val="bottom"/>
          </w:tcPr>
          <w:p>
            <w:pPr>
              <w:jc w:val="right"/>
              <w:ind w:right="119"/>
              <w:spacing w:after="0" w:line="163" w:lineRule="exact"/>
              <w:rPr>
                <w:sz w:val="20"/>
                <w:szCs w:val="20"/>
                <w:color w:val="auto"/>
              </w:rPr>
            </w:pPr>
            <w:r>
              <w:rPr>
                <w:rFonts w:ascii="Arial" w:cs="Arial" w:eastAsia="Arial" w:hAnsi="Arial"/>
                <w:sz w:val="16"/>
                <w:szCs w:val="16"/>
                <w:b w:val="1"/>
                <w:bCs w:val="1"/>
                <w:color w:val="0233A1"/>
              </w:rPr>
              <w:t>Benefits for CEO</w:t>
            </w:r>
          </w:p>
        </w:tc>
        <w:tc>
          <w:tcPr>
            <w:tcW w:w="1440" w:type="dxa"/>
            <w:vAlign w:val="bottom"/>
          </w:tcPr>
          <w:p>
            <w:pPr>
              <w:jc w:val="right"/>
              <w:ind w:right="99"/>
              <w:spacing w:after="0" w:line="163" w:lineRule="exact"/>
              <w:rPr>
                <w:sz w:val="20"/>
                <w:szCs w:val="20"/>
                <w:color w:val="auto"/>
              </w:rPr>
            </w:pPr>
            <w:r>
              <w:rPr>
                <w:rFonts w:ascii="Arial" w:cs="Arial" w:eastAsia="Arial" w:hAnsi="Arial"/>
                <w:sz w:val="16"/>
                <w:szCs w:val="16"/>
                <w:b w:val="1"/>
                <w:bCs w:val="1"/>
                <w:color w:val="0233A1"/>
              </w:rPr>
              <w:t>for CEO</w:t>
            </w:r>
          </w:p>
        </w:tc>
        <w:tc>
          <w:tcPr>
            <w:tcW w:w="1700" w:type="dxa"/>
            <w:vAlign w:val="bottom"/>
          </w:tcPr>
          <w:p>
            <w:pPr>
              <w:jc w:val="right"/>
              <w:spacing w:after="0" w:line="163" w:lineRule="exact"/>
              <w:rPr>
                <w:sz w:val="20"/>
                <w:szCs w:val="20"/>
                <w:color w:val="auto"/>
              </w:rPr>
            </w:pPr>
            <w:r>
              <w:rPr>
                <w:rFonts w:ascii="Arial" w:cs="Arial" w:eastAsia="Arial" w:hAnsi="Arial"/>
                <w:sz w:val="16"/>
                <w:szCs w:val="16"/>
                <w:b w:val="1"/>
                <w:bCs w:val="1"/>
                <w:color w:val="0233A1"/>
              </w:rPr>
              <w:t>Actually Paid to CEO</w:t>
            </w:r>
          </w:p>
        </w:tc>
      </w:tr>
      <w:tr>
        <w:trPr>
          <w:trHeight w:val="229"/>
        </w:trPr>
        <w:tc>
          <w:tcPr>
            <w:tcW w:w="1160" w:type="dxa"/>
            <w:vAlign w:val="bottom"/>
            <w:tcBorders>
              <w:bottom w:val="single" w:sz="8" w:color="0233A1"/>
            </w:tcBorders>
          </w:tcPr>
          <w:p>
            <w:pPr>
              <w:ind w:left="40"/>
              <w:spacing w:after="0"/>
              <w:rPr>
                <w:sz w:val="20"/>
                <w:szCs w:val="20"/>
                <w:color w:val="auto"/>
              </w:rPr>
            </w:pPr>
            <w:r>
              <w:rPr>
                <w:rFonts w:ascii="Arial" w:cs="Arial" w:eastAsia="Arial" w:hAnsi="Arial"/>
                <w:sz w:val="16"/>
                <w:szCs w:val="16"/>
                <w:b w:val="1"/>
                <w:bCs w:val="1"/>
                <w:color w:val="0233A1"/>
              </w:rPr>
              <w:t>Year</w:t>
            </w:r>
          </w:p>
        </w:tc>
        <w:tc>
          <w:tcPr>
            <w:tcW w:w="2380" w:type="dxa"/>
            <w:vAlign w:val="bottom"/>
            <w:tcBorders>
              <w:bottom w:val="single" w:sz="8" w:color="0233A1"/>
            </w:tcBorders>
          </w:tcPr>
          <w:p>
            <w:pPr>
              <w:jc w:val="right"/>
              <w:ind w:right="39"/>
              <w:spacing w:after="0"/>
              <w:rPr>
                <w:sz w:val="20"/>
                <w:szCs w:val="20"/>
                <w:color w:val="auto"/>
              </w:rPr>
            </w:pPr>
            <w:r>
              <w:rPr>
                <w:rFonts w:ascii="Arial" w:cs="Arial" w:eastAsia="Arial" w:hAnsi="Arial"/>
                <w:sz w:val="16"/>
                <w:szCs w:val="16"/>
                <w:b w:val="1"/>
                <w:bCs w:val="1"/>
                <w:color w:val="0233A1"/>
              </w:rPr>
              <w:t>($)</w:t>
            </w:r>
          </w:p>
        </w:tc>
        <w:tc>
          <w:tcPr>
            <w:tcW w:w="1420" w:type="dxa"/>
            <w:vAlign w:val="bottom"/>
            <w:tcBorders>
              <w:bottom w:val="single" w:sz="8" w:color="0233A1"/>
            </w:tcBorders>
          </w:tcPr>
          <w:p>
            <w:pPr>
              <w:jc w:val="right"/>
              <w:spacing w:after="0" w:line="230" w:lineRule="exact"/>
              <w:rPr>
                <w:sz w:val="20"/>
                <w:szCs w:val="20"/>
                <w:color w:val="auto"/>
              </w:rPr>
            </w:pPr>
            <w:r>
              <w:rPr>
                <w:rFonts w:ascii="Arial" w:cs="Arial" w:eastAsia="Arial" w:hAnsi="Arial"/>
                <w:sz w:val="16"/>
                <w:szCs w:val="16"/>
                <w:b w:val="1"/>
                <w:bCs w:val="1"/>
                <w:color w:val="0233A1"/>
              </w:rPr>
              <w:t>($)</w:t>
            </w:r>
            <w:r>
              <w:rPr>
                <w:rFonts w:ascii="Arial" w:cs="Arial" w:eastAsia="Arial" w:hAnsi="Arial"/>
                <w:sz w:val="26"/>
                <w:szCs w:val="26"/>
                <w:color w:val="0233A1"/>
                <w:vertAlign w:val="superscript"/>
              </w:rPr>
              <w:t>(a)</w:t>
            </w:r>
          </w:p>
        </w:tc>
        <w:tc>
          <w:tcPr>
            <w:tcW w:w="1240" w:type="dxa"/>
            <w:vAlign w:val="bottom"/>
            <w:tcBorders>
              <w:bottom w:val="single" w:sz="8" w:color="0233A1"/>
            </w:tcBorders>
          </w:tcPr>
          <w:p>
            <w:pPr>
              <w:jc w:val="right"/>
              <w:spacing w:after="0" w:line="230" w:lineRule="exact"/>
              <w:rPr>
                <w:sz w:val="20"/>
                <w:szCs w:val="20"/>
                <w:color w:val="auto"/>
              </w:rPr>
            </w:pPr>
            <w:r>
              <w:rPr>
                <w:rFonts w:ascii="Arial" w:cs="Arial" w:eastAsia="Arial" w:hAnsi="Arial"/>
                <w:sz w:val="16"/>
                <w:szCs w:val="16"/>
                <w:b w:val="1"/>
                <w:bCs w:val="1"/>
                <w:color w:val="0233A1"/>
              </w:rPr>
              <w:t>($)</w:t>
            </w:r>
            <w:r>
              <w:rPr>
                <w:rFonts w:ascii="Arial" w:cs="Arial" w:eastAsia="Arial" w:hAnsi="Arial"/>
                <w:sz w:val="26"/>
                <w:szCs w:val="26"/>
                <w:color w:val="0233A1"/>
                <w:vertAlign w:val="superscript"/>
              </w:rPr>
              <w:t>(b)</w:t>
            </w:r>
          </w:p>
        </w:tc>
        <w:tc>
          <w:tcPr>
            <w:tcW w:w="1560" w:type="dxa"/>
            <w:vAlign w:val="bottom"/>
            <w:tcBorders>
              <w:bottom w:val="single" w:sz="8" w:color="0233A1"/>
            </w:tcBorders>
          </w:tcPr>
          <w:p>
            <w:pPr>
              <w:jc w:val="right"/>
              <w:spacing w:after="0" w:line="230" w:lineRule="exact"/>
              <w:rPr>
                <w:sz w:val="20"/>
                <w:szCs w:val="20"/>
                <w:color w:val="auto"/>
              </w:rPr>
            </w:pPr>
            <w:r>
              <w:rPr>
                <w:rFonts w:ascii="Arial" w:cs="Arial" w:eastAsia="Arial" w:hAnsi="Arial"/>
                <w:sz w:val="16"/>
                <w:szCs w:val="16"/>
                <w:b w:val="1"/>
                <w:bCs w:val="1"/>
                <w:color w:val="0233A1"/>
              </w:rPr>
              <w:t>($)</w:t>
            </w:r>
            <w:r>
              <w:rPr>
                <w:rFonts w:ascii="Arial" w:cs="Arial" w:eastAsia="Arial" w:hAnsi="Arial"/>
                <w:sz w:val="26"/>
                <w:szCs w:val="26"/>
                <w:color w:val="0233A1"/>
                <w:vertAlign w:val="superscript"/>
              </w:rPr>
              <w:t>(c)</w:t>
            </w:r>
          </w:p>
        </w:tc>
        <w:tc>
          <w:tcPr>
            <w:tcW w:w="1440" w:type="dxa"/>
            <w:vAlign w:val="bottom"/>
            <w:tcBorders>
              <w:bottom w:val="single" w:sz="8" w:color="0233A1"/>
            </w:tcBorders>
          </w:tcPr>
          <w:p>
            <w:pPr>
              <w:jc w:val="right"/>
              <w:spacing w:after="0" w:line="230" w:lineRule="exact"/>
              <w:rPr>
                <w:sz w:val="20"/>
                <w:szCs w:val="20"/>
                <w:color w:val="auto"/>
              </w:rPr>
            </w:pPr>
            <w:r>
              <w:rPr>
                <w:rFonts w:ascii="Arial" w:cs="Arial" w:eastAsia="Arial" w:hAnsi="Arial"/>
                <w:sz w:val="16"/>
                <w:szCs w:val="16"/>
                <w:b w:val="1"/>
                <w:bCs w:val="1"/>
                <w:color w:val="0233A1"/>
              </w:rPr>
              <w:t>($)</w:t>
            </w:r>
            <w:r>
              <w:rPr>
                <w:rFonts w:ascii="Arial" w:cs="Arial" w:eastAsia="Arial" w:hAnsi="Arial"/>
                <w:sz w:val="26"/>
                <w:szCs w:val="26"/>
                <w:color w:val="0233A1"/>
                <w:vertAlign w:val="superscript"/>
              </w:rPr>
              <w:t>(d)</w:t>
            </w:r>
          </w:p>
        </w:tc>
        <w:tc>
          <w:tcPr>
            <w:tcW w:w="1700" w:type="dxa"/>
            <w:vAlign w:val="bottom"/>
            <w:tcBorders>
              <w:bottom w:val="single" w:sz="8" w:color="0233A1"/>
            </w:tcBorders>
          </w:tcPr>
          <w:p>
            <w:pPr>
              <w:jc w:val="right"/>
              <w:spacing w:after="0"/>
              <w:rPr>
                <w:sz w:val="20"/>
                <w:szCs w:val="20"/>
                <w:color w:val="auto"/>
              </w:rPr>
            </w:pPr>
            <w:r>
              <w:rPr>
                <w:rFonts w:ascii="Arial" w:cs="Arial" w:eastAsia="Arial" w:hAnsi="Arial"/>
                <w:sz w:val="16"/>
                <w:szCs w:val="16"/>
                <w:b w:val="1"/>
                <w:bCs w:val="1"/>
                <w:color w:val="0233A1"/>
              </w:rPr>
              <w:t>($)</w:t>
            </w:r>
          </w:p>
        </w:tc>
      </w:tr>
      <w:tr>
        <w:trPr>
          <w:trHeight w:val="190"/>
        </w:trPr>
        <w:tc>
          <w:tcPr>
            <w:tcW w:w="1160" w:type="dxa"/>
            <w:vAlign w:val="bottom"/>
            <w:tcBorders>
              <w:bottom w:val="single" w:sz="8" w:color="0233A1"/>
            </w:tcBorders>
          </w:tcPr>
          <w:p>
            <w:pPr>
              <w:ind w:left="40"/>
              <w:spacing w:after="0" w:line="183" w:lineRule="exact"/>
              <w:rPr>
                <w:sz w:val="20"/>
                <w:szCs w:val="20"/>
                <w:color w:val="auto"/>
              </w:rPr>
            </w:pPr>
            <w:r>
              <w:rPr>
                <w:rFonts w:ascii="Arial" w:cs="Arial" w:eastAsia="Arial" w:hAnsi="Arial"/>
                <w:sz w:val="16"/>
                <w:szCs w:val="16"/>
                <w:color w:val="auto"/>
              </w:rPr>
              <w:t>2023</w:t>
            </w:r>
          </w:p>
        </w:tc>
        <w:tc>
          <w:tcPr>
            <w:tcW w:w="2380" w:type="dxa"/>
            <w:vAlign w:val="bottom"/>
            <w:tcBorders>
              <w:bottom w:val="single" w:sz="8" w:color="0233A1"/>
            </w:tcBorders>
          </w:tcPr>
          <w:p>
            <w:pPr>
              <w:jc w:val="right"/>
              <w:ind w:right="39"/>
              <w:spacing w:after="0" w:line="183" w:lineRule="exact"/>
              <w:rPr>
                <w:sz w:val="20"/>
                <w:szCs w:val="20"/>
                <w:color w:val="auto"/>
              </w:rPr>
            </w:pPr>
            <w:r>
              <w:rPr>
                <w:rFonts w:ascii="Arial" w:cs="Arial" w:eastAsia="Arial" w:hAnsi="Arial"/>
                <w:sz w:val="16"/>
                <w:szCs w:val="16"/>
                <w:color w:val="auto"/>
              </w:rPr>
              <w:t>18,249,585</w:t>
            </w:r>
          </w:p>
        </w:tc>
        <w:tc>
          <w:tcPr>
            <w:tcW w:w="1420" w:type="dxa"/>
            <w:vAlign w:val="bottom"/>
            <w:tcBorders>
              <w:bottom w:val="single" w:sz="8" w:color="0233A1"/>
            </w:tcBorders>
          </w:tcPr>
          <w:p>
            <w:pPr>
              <w:jc w:val="right"/>
              <w:ind w:right="119"/>
              <w:spacing w:after="0" w:line="183" w:lineRule="exact"/>
              <w:rPr>
                <w:sz w:val="20"/>
                <w:szCs w:val="20"/>
                <w:color w:val="auto"/>
              </w:rPr>
            </w:pPr>
            <w:r>
              <w:rPr>
                <w:rFonts w:ascii="Arial" w:cs="Arial" w:eastAsia="Arial" w:hAnsi="Arial"/>
                <w:sz w:val="16"/>
                <w:szCs w:val="16"/>
                <w:color w:val="auto"/>
              </w:rPr>
              <w:t>(12,000,045)</w:t>
            </w:r>
          </w:p>
        </w:tc>
        <w:tc>
          <w:tcPr>
            <w:tcW w:w="1240" w:type="dxa"/>
            <w:vAlign w:val="bottom"/>
            <w:tcBorders>
              <w:bottom w:val="single" w:sz="8" w:color="0233A1"/>
            </w:tcBorders>
          </w:tcPr>
          <w:p>
            <w:pPr>
              <w:jc w:val="right"/>
              <w:ind w:right="99"/>
              <w:spacing w:after="0" w:line="183" w:lineRule="exact"/>
              <w:rPr>
                <w:sz w:val="20"/>
                <w:szCs w:val="20"/>
                <w:color w:val="auto"/>
              </w:rPr>
            </w:pPr>
            <w:r>
              <w:rPr>
                <w:rFonts w:ascii="Arial" w:cs="Arial" w:eastAsia="Arial" w:hAnsi="Arial"/>
                <w:sz w:val="16"/>
                <w:szCs w:val="16"/>
                <w:color w:val="auto"/>
              </w:rPr>
              <w:t>20,767,832</w:t>
            </w:r>
          </w:p>
        </w:tc>
        <w:tc>
          <w:tcPr>
            <w:tcW w:w="1560" w:type="dxa"/>
            <w:vAlign w:val="bottom"/>
            <w:tcBorders>
              <w:bottom w:val="single" w:sz="8" w:color="0233A1"/>
            </w:tcBorders>
          </w:tcPr>
          <w:p>
            <w:pPr>
              <w:jc w:val="right"/>
              <w:ind w:right="119"/>
              <w:spacing w:after="0" w:line="183" w:lineRule="exact"/>
              <w:rPr>
                <w:sz w:val="20"/>
                <w:szCs w:val="20"/>
                <w:color w:val="auto"/>
              </w:rPr>
            </w:pPr>
            <w:r>
              <w:rPr>
                <w:rFonts w:ascii="Arial" w:cs="Arial" w:eastAsia="Arial" w:hAnsi="Arial"/>
                <w:sz w:val="16"/>
                <w:szCs w:val="16"/>
                <w:color w:val="auto"/>
              </w:rPr>
              <w:t>(1,022,545)</w:t>
            </w:r>
          </w:p>
        </w:tc>
        <w:tc>
          <w:tcPr>
            <w:tcW w:w="1440" w:type="dxa"/>
            <w:vAlign w:val="bottom"/>
            <w:tcBorders>
              <w:bottom w:val="single" w:sz="8" w:color="0233A1"/>
            </w:tcBorders>
          </w:tcPr>
          <w:p>
            <w:pPr>
              <w:jc w:val="right"/>
              <w:ind w:right="99"/>
              <w:spacing w:after="0" w:line="183" w:lineRule="exact"/>
              <w:rPr>
                <w:sz w:val="20"/>
                <w:szCs w:val="20"/>
                <w:color w:val="auto"/>
              </w:rPr>
            </w:pPr>
            <w:r>
              <w:rPr>
                <w:rFonts w:ascii="Arial" w:cs="Arial" w:eastAsia="Arial" w:hAnsi="Arial"/>
                <w:sz w:val="16"/>
                <w:szCs w:val="16"/>
                <w:color w:val="auto"/>
              </w:rPr>
              <w:t>170,368</w:t>
            </w:r>
          </w:p>
        </w:tc>
        <w:tc>
          <w:tcPr>
            <w:tcW w:w="1700" w:type="dxa"/>
            <w:vAlign w:val="bottom"/>
            <w:tcBorders>
              <w:bottom w:val="single" w:sz="8" w:color="0233A1"/>
            </w:tcBorders>
          </w:tcPr>
          <w:p>
            <w:pPr>
              <w:jc w:val="right"/>
              <w:spacing w:after="0" w:line="183" w:lineRule="exact"/>
              <w:rPr>
                <w:sz w:val="20"/>
                <w:szCs w:val="20"/>
                <w:color w:val="auto"/>
              </w:rPr>
            </w:pPr>
            <w:r>
              <w:rPr>
                <w:rFonts w:ascii="Arial" w:cs="Arial" w:eastAsia="Arial" w:hAnsi="Arial"/>
                <w:sz w:val="16"/>
                <w:szCs w:val="16"/>
                <w:color w:val="auto"/>
              </w:rPr>
              <w:t>26,165,195</w:t>
            </w:r>
          </w:p>
        </w:tc>
      </w:tr>
    </w:tbl>
    <w:p>
      <w:pPr>
        <w:spacing w:after="0" w:line="58"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Represents the grant date fair value of the equity awards to our CEO in 2023, as reported in the “Stock Awards” column in the SCT.</w:t>
      </w:r>
    </w:p>
    <w:p>
      <w:pPr>
        <w:spacing w:after="0" w:line="55" w:lineRule="exact"/>
        <w:rPr>
          <w:rFonts w:ascii="Arial" w:cs="Arial" w:eastAsia="Arial" w:hAnsi="Arial"/>
          <w:sz w:val="14"/>
          <w:szCs w:val="14"/>
          <w:color w:val="auto"/>
        </w:rPr>
      </w:pPr>
    </w:p>
    <w:p>
      <w:pPr>
        <w:ind w:left="660" w:hanging="328"/>
        <w:spacing w:after="0"/>
        <w:tabs>
          <w:tab w:leader="none" w:pos="6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Represents the year-over-year change in the fair value of equity awards to our CEO, as itemized in the table below. No awards vested in the year they were granted.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7140" w:type="dxa"/>
            <w:vAlign w:val="bottom"/>
            <w:tcBorders>
              <w:bottom w:val="single" w:sz="8" w:color="0233A1"/>
            </w:tcBorders>
          </w:tcPr>
          <w:p>
            <w:pPr>
              <w:ind w:left="60"/>
              <w:spacing w:after="0"/>
              <w:rPr>
                <w:sz w:val="20"/>
                <w:szCs w:val="20"/>
                <w:color w:val="auto"/>
              </w:rPr>
            </w:pPr>
            <w:r>
              <w:rPr>
                <w:rFonts w:ascii="Arial" w:cs="Arial" w:eastAsia="Arial" w:hAnsi="Arial"/>
                <w:sz w:val="14"/>
                <w:szCs w:val="14"/>
                <w:b w:val="1"/>
                <w:bCs w:val="1"/>
                <w:color w:val="0233A1"/>
              </w:rPr>
              <w:t>Fair Value of Equity Awards for CEO</w:t>
            </w:r>
          </w:p>
        </w:tc>
        <w:tc>
          <w:tcPr>
            <w:tcW w:w="3440" w:type="dxa"/>
            <w:vAlign w:val="bottom"/>
            <w:tcBorders>
              <w:bottom w:val="single" w:sz="8" w:color="0233A1"/>
            </w:tcBorders>
          </w:tcPr>
          <w:p>
            <w:pPr>
              <w:jc w:val="right"/>
              <w:spacing w:after="0"/>
              <w:rPr>
                <w:sz w:val="20"/>
                <w:szCs w:val="20"/>
                <w:color w:val="auto"/>
              </w:rPr>
            </w:pPr>
            <w:r>
              <w:rPr>
                <w:rFonts w:ascii="Arial" w:cs="Arial" w:eastAsia="Arial" w:hAnsi="Arial"/>
                <w:sz w:val="14"/>
                <w:szCs w:val="14"/>
                <w:b w:val="1"/>
                <w:bCs w:val="1"/>
                <w:color w:val="0233A1"/>
              </w:rPr>
              <w:t>($)</w:t>
            </w:r>
          </w:p>
        </w:tc>
      </w:tr>
      <w:tr>
        <w:trPr>
          <w:trHeight w:val="160"/>
        </w:trPr>
        <w:tc>
          <w:tcPr>
            <w:tcW w:w="660" w:type="dxa"/>
            <w:vAlign w:val="bottom"/>
          </w:tcPr>
          <w:p>
            <w:pPr>
              <w:spacing w:after="0"/>
              <w:rPr>
                <w:sz w:val="13"/>
                <w:szCs w:val="13"/>
                <w:color w:val="auto"/>
              </w:rPr>
            </w:pPr>
          </w:p>
        </w:tc>
        <w:tc>
          <w:tcPr>
            <w:tcW w:w="7140" w:type="dxa"/>
            <w:vAlign w:val="bottom"/>
          </w:tcPr>
          <w:p>
            <w:pPr>
              <w:ind w:left="60"/>
              <w:spacing w:after="0" w:line="160" w:lineRule="exact"/>
              <w:rPr>
                <w:sz w:val="20"/>
                <w:szCs w:val="20"/>
                <w:color w:val="auto"/>
              </w:rPr>
            </w:pPr>
            <w:r>
              <w:rPr>
                <w:rFonts w:ascii="Arial" w:cs="Arial" w:eastAsia="Arial" w:hAnsi="Arial"/>
                <w:sz w:val="14"/>
                <w:szCs w:val="14"/>
                <w:color w:val="auto"/>
              </w:rPr>
              <w:t>As of year-end for awards granted during 2023</w:t>
            </w:r>
          </w:p>
        </w:tc>
        <w:tc>
          <w:tcPr>
            <w:tcW w:w="3440" w:type="dxa"/>
            <w:vAlign w:val="bottom"/>
          </w:tcPr>
          <w:p>
            <w:pPr>
              <w:jc w:val="right"/>
              <w:spacing w:after="0" w:line="160" w:lineRule="exact"/>
              <w:rPr>
                <w:sz w:val="20"/>
                <w:szCs w:val="20"/>
                <w:color w:val="auto"/>
              </w:rPr>
            </w:pPr>
            <w:r>
              <w:rPr>
                <w:rFonts w:ascii="Arial" w:cs="Arial" w:eastAsia="Arial" w:hAnsi="Arial"/>
                <w:sz w:val="14"/>
                <w:szCs w:val="14"/>
                <w:color w:val="auto"/>
              </w:rPr>
              <w:t>18,520,456</w:t>
            </w:r>
          </w:p>
        </w:tc>
      </w:tr>
      <w:tr>
        <w:trPr>
          <w:trHeight w:val="176"/>
        </w:trPr>
        <w:tc>
          <w:tcPr>
            <w:tcW w:w="660" w:type="dxa"/>
            <w:vAlign w:val="bottom"/>
          </w:tcPr>
          <w:p>
            <w:pPr>
              <w:spacing w:after="0"/>
              <w:rPr>
                <w:sz w:val="15"/>
                <w:szCs w:val="15"/>
                <w:color w:val="auto"/>
              </w:rPr>
            </w:pPr>
          </w:p>
        </w:tc>
        <w:tc>
          <w:tcPr>
            <w:tcW w:w="7140" w:type="dxa"/>
            <w:vAlign w:val="bottom"/>
          </w:tcPr>
          <w:p>
            <w:pPr>
              <w:ind w:left="60"/>
              <w:spacing w:after="0"/>
              <w:rPr>
                <w:sz w:val="20"/>
                <w:szCs w:val="20"/>
                <w:color w:val="auto"/>
              </w:rPr>
            </w:pPr>
            <w:r>
              <w:rPr>
                <w:rFonts w:ascii="Arial" w:cs="Arial" w:eastAsia="Arial" w:hAnsi="Arial"/>
                <w:sz w:val="14"/>
                <w:szCs w:val="14"/>
                <w:color w:val="auto"/>
              </w:rPr>
              <w:t>Year-over-year increase of unvested awards granted in prior years</w:t>
            </w:r>
          </w:p>
        </w:tc>
        <w:tc>
          <w:tcPr>
            <w:tcW w:w="3440" w:type="dxa"/>
            <w:vAlign w:val="bottom"/>
          </w:tcPr>
          <w:p>
            <w:pPr>
              <w:jc w:val="right"/>
              <w:spacing w:after="0"/>
              <w:rPr>
                <w:sz w:val="20"/>
                <w:szCs w:val="20"/>
                <w:color w:val="auto"/>
              </w:rPr>
            </w:pPr>
            <w:r>
              <w:rPr>
                <w:rFonts w:ascii="Arial" w:cs="Arial" w:eastAsia="Arial" w:hAnsi="Arial"/>
                <w:sz w:val="14"/>
                <w:szCs w:val="14"/>
                <w:color w:val="auto"/>
              </w:rPr>
              <w:t>2,247,375</w:t>
            </w:r>
          </w:p>
        </w:tc>
      </w:tr>
      <w:tr>
        <w:trPr>
          <w:trHeight w:val="171"/>
        </w:trPr>
        <w:tc>
          <w:tcPr>
            <w:tcW w:w="660" w:type="dxa"/>
            <w:vAlign w:val="bottom"/>
            <w:tcBorders>
              <w:bottom w:val="single" w:sz="8" w:color="EBECEE"/>
            </w:tcBorders>
          </w:tcPr>
          <w:p>
            <w:pPr>
              <w:spacing w:after="0"/>
              <w:rPr>
                <w:sz w:val="14"/>
                <w:szCs w:val="14"/>
                <w:color w:val="auto"/>
              </w:rPr>
            </w:pPr>
          </w:p>
        </w:tc>
        <w:tc>
          <w:tcPr>
            <w:tcW w:w="7140" w:type="dxa"/>
            <w:vAlign w:val="bottom"/>
            <w:tcBorders>
              <w:bottom w:val="single" w:sz="8" w:color="0233A1"/>
            </w:tcBorders>
          </w:tcPr>
          <w:p>
            <w:pPr>
              <w:ind w:left="60"/>
              <w:spacing w:after="0"/>
              <w:rPr>
                <w:sz w:val="20"/>
                <w:szCs w:val="20"/>
                <w:color w:val="auto"/>
              </w:rPr>
            </w:pPr>
            <w:r>
              <w:rPr>
                <w:rFonts w:ascii="Arial" w:cs="Arial" w:eastAsia="Arial" w:hAnsi="Arial"/>
                <w:sz w:val="14"/>
                <w:szCs w:val="14"/>
                <w:color w:val="auto"/>
              </w:rPr>
              <w:t>Increase from prior fiscal year-end for awards that vested during 2023</w:t>
            </w:r>
          </w:p>
        </w:tc>
        <w:tc>
          <w:tcPr>
            <w:tcW w:w="3440" w:type="dxa"/>
            <w:vAlign w:val="bottom"/>
            <w:tcBorders>
              <w:bottom w:val="single" w:sz="8" w:color="0233A1"/>
            </w:tcBorders>
          </w:tcPr>
          <w:p>
            <w:pPr>
              <w:jc w:val="right"/>
              <w:spacing w:after="0"/>
              <w:rPr>
                <w:sz w:val="20"/>
                <w:szCs w:val="20"/>
                <w:color w:val="auto"/>
              </w:rPr>
            </w:pPr>
            <w:r>
              <w:rPr>
                <w:rFonts w:ascii="Arial" w:cs="Arial" w:eastAsia="Arial" w:hAnsi="Arial"/>
                <w:sz w:val="14"/>
                <w:szCs w:val="14"/>
                <w:color w:val="auto"/>
              </w:rPr>
              <w:t>—</w:t>
            </w:r>
          </w:p>
        </w:tc>
      </w:tr>
      <w:tr>
        <w:trPr>
          <w:trHeight w:val="163"/>
        </w:trPr>
        <w:tc>
          <w:tcPr>
            <w:tcW w:w="660" w:type="dxa"/>
            <w:vAlign w:val="bottom"/>
            <w:tcBorders>
              <w:bottom w:val="single" w:sz="8" w:color="EBECEE"/>
            </w:tcBorders>
            <w:shd w:val="clear" w:color="auto" w:fill="EBECEE"/>
          </w:tcPr>
          <w:p>
            <w:pPr>
              <w:spacing w:after="0"/>
              <w:rPr>
                <w:sz w:val="14"/>
                <w:szCs w:val="14"/>
                <w:color w:val="auto"/>
              </w:rPr>
            </w:pPr>
          </w:p>
        </w:tc>
        <w:tc>
          <w:tcPr>
            <w:tcW w:w="7140" w:type="dxa"/>
            <w:vAlign w:val="bottom"/>
            <w:tcBorders>
              <w:bottom w:val="single" w:sz="8" w:color="0233A1"/>
            </w:tcBorders>
            <w:shd w:val="clear" w:color="auto" w:fill="EBECEE"/>
          </w:tcPr>
          <w:p>
            <w:pPr>
              <w:ind w:left="60"/>
              <w:spacing w:after="0" w:line="155" w:lineRule="exact"/>
              <w:rPr>
                <w:sz w:val="20"/>
                <w:szCs w:val="20"/>
                <w:color w:val="auto"/>
              </w:rPr>
            </w:pPr>
            <w:r>
              <w:rPr>
                <w:rFonts w:ascii="Arial" w:cs="Arial" w:eastAsia="Arial" w:hAnsi="Arial"/>
                <w:sz w:val="14"/>
                <w:szCs w:val="14"/>
                <w:b w:val="1"/>
                <w:bCs w:val="1"/>
                <w:color w:val="auto"/>
              </w:rPr>
              <w:t>Total Equity Award Adjustments</w:t>
            </w:r>
          </w:p>
        </w:tc>
        <w:tc>
          <w:tcPr>
            <w:tcW w:w="3440" w:type="dxa"/>
            <w:vAlign w:val="bottom"/>
            <w:tcBorders>
              <w:bottom w:val="single" w:sz="8" w:color="0233A1"/>
            </w:tcBorders>
            <w:shd w:val="clear" w:color="auto" w:fill="EBECEE"/>
          </w:tcPr>
          <w:p>
            <w:pPr>
              <w:jc w:val="right"/>
              <w:spacing w:after="0" w:line="155" w:lineRule="exact"/>
              <w:rPr>
                <w:sz w:val="20"/>
                <w:szCs w:val="20"/>
                <w:color w:val="auto"/>
              </w:rPr>
            </w:pPr>
            <w:r>
              <w:rPr>
                <w:rFonts w:ascii="Arial" w:cs="Arial" w:eastAsia="Arial" w:hAnsi="Arial"/>
                <w:sz w:val="14"/>
                <w:szCs w:val="14"/>
                <w:b w:val="1"/>
                <w:bCs w:val="1"/>
                <w:color w:val="auto"/>
              </w:rPr>
              <w:t>20,767,832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-565150</wp:posOffset>
            </wp:positionV>
            <wp:extent cx="7132320" cy="557530"/>
            <wp:wrapNone/>
            <wp:docPr id="3269" name="Picture 3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9"/>
                    <pic:cNvPicPr>
                      <a:picLocks noChangeAspect="1" noChangeArrowheads="1"/>
                    </pic:cNvPicPr>
                  </pic:nvPicPr>
                  <pic:blipFill>
                    <a:blip r:embed="rId3276">
                      <a:extLst>
                        <a:ext uri="{28A0092B-C50C-407E-A947-70E740481C1C}"/>
                      </a:extLst>
                    </a:blip>
                    <a:srcRect/>
                    <a:stretch>
                      <a:fillRect/>
                    </a:stretch>
                  </pic:blipFill>
                  <pic:spPr bwMode="auto">
                    <a:xfrm>
                      <a:off x="0" y="0"/>
                      <a:ext cx="7132320" cy="557530"/>
                    </a:xfrm>
                    <a:prstGeom prst="rect">
                      <a:avLst/>
                    </a:prstGeom>
                    <a:noFill/>
                  </pic:spPr>
                </pic:pic>
              </a:graphicData>
            </a:graphic>
          </wp:anchor>
        </w:drawing>
      </w:r>
    </w:p>
    <w:p>
      <w:pPr>
        <w:spacing w:after="0" w:line="160" w:lineRule="exact"/>
        <w:rPr>
          <w:sz w:val="20"/>
          <w:szCs w:val="20"/>
          <w:color w:val="auto"/>
        </w:rPr>
      </w:pPr>
    </w:p>
    <w:p>
      <w:pPr>
        <w:ind w:left="660" w:hanging="328"/>
        <w:spacing w:after="0" w:line="281" w:lineRule="auto"/>
        <w:tabs>
          <w:tab w:leader="none" w:pos="6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Represents the change in 2023 in the actuarial present value of our CEO’s accumulated benefit under all benefit and actuarial pension plans in which he participates, as reported in the “Change in Pension Value &amp; Nonqualified Deferred Compensation Earnings” column in the SCT.</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Represents the actuarially determined service cost for services rendered in 2023 under all benefit and actuarial pension plans in which our CEO participates.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471170" cy="282575"/>
            <wp:wrapNone/>
            <wp:docPr id="3270" name="Picture 3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0"/>
                    <pic:cNvPicPr>
                      <a:picLocks noChangeAspect="1" noChangeArrowheads="1"/>
                    </pic:cNvPicPr>
                  </pic:nvPicPr>
                  <pic:blipFill>
                    <a:blip r:embed="rId3277">
                      <a:extLst>
                        <a:ext uri="{28A0092B-C50C-407E-A947-70E740481C1C}"/>
                      </a:extLst>
                    </a:blip>
                    <a:srcRect/>
                    <a:stretch>
                      <a:fillRect/>
                    </a:stretch>
                  </pic:blipFill>
                  <pic:spPr bwMode="auto">
                    <a:xfrm>
                      <a:off x="0" y="0"/>
                      <a:ext cx="471170" cy="282575"/>
                    </a:xfrm>
                    <a:prstGeom prst="rect">
                      <a:avLst/>
                    </a:prstGeom>
                    <a:noFill/>
                  </pic:spPr>
                </pic:pic>
              </a:graphicData>
            </a:graphic>
          </wp:anchor>
        </w:drawing>
      </w:r>
    </w:p>
    <w:p>
      <w:pPr>
        <w:spacing w:after="0" w:line="381" w:lineRule="exact"/>
        <w:rPr>
          <w:sz w:val="20"/>
          <w:szCs w:val="20"/>
          <w:color w:val="auto"/>
        </w:rPr>
      </w:pPr>
    </w:p>
    <w:p>
      <w:pPr>
        <w:jc w:val="both"/>
        <w:ind w:left="5540"/>
        <w:spacing w:after="0"/>
        <w:tabs>
          <w:tab w:leader="none" w:pos="9540" w:val="left"/>
        </w:tabs>
        <w:rPr>
          <w:sz w:val="20"/>
          <w:szCs w:val="20"/>
          <w:color w:val="auto"/>
        </w:rPr>
      </w:pPr>
      <w:r>
        <w:rPr>
          <w:rFonts w:ascii="Arial" w:cs="Arial" w:eastAsia="Arial" w:hAnsi="Arial"/>
          <w:sz w:val="16"/>
          <w:szCs w:val="16"/>
          <w:b w:val="1"/>
          <w:bCs w:val="1"/>
          <w:color w:val="auto"/>
        </w:rPr>
        <w:t>60</w:t>
      </w:r>
      <w:r>
        <w:rPr>
          <w:sz w:val="20"/>
          <w:szCs w:val="20"/>
          <w:color w:val="auto"/>
        </w:rPr>
        <w:tab/>
      </w:r>
      <w:r>
        <w:rPr>
          <w:rFonts w:ascii="Arial" w:cs="Arial" w:eastAsia="Arial" w:hAnsi="Arial"/>
          <w:sz w:val="16"/>
          <w:szCs w:val="16"/>
          <w:b w:val="1"/>
          <w:bCs w:val="1"/>
          <w:color w:val="636466"/>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-29845</wp:posOffset>
            </wp:positionV>
            <wp:extent cx="5417820" cy="17145"/>
            <wp:wrapNone/>
            <wp:docPr id="3271" name="Picture 3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1"/>
                    <pic:cNvPicPr>
                      <a:picLocks noChangeAspect="1" noChangeArrowheads="1"/>
                    </pic:cNvPicPr>
                  </pic:nvPicPr>
                  <pic:blipFill>
                    <a:blip r:embed="rId3278">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34290"/>
            <wp:wrapNone/>
            <wp:docPr id="3272" name="Picture 3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2"/>
                    <pic:cNvPicPr>
                      <a:picLocks noChangeAspect="1" noChangeArrowheads="1"/>
                    </pic:cNvPicPr>
                  </pic:nvPicPr>
                  <pic:blipFill>
                    <a:blip r:embed="rId327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65" w:name="page66"/>
    <w:bookmarkEnd w:id="65"/>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7" w:lineRule="exact"/>
        <w:rPr>
          <w:sz w:val="20"/>
          <w:szCs w:val="20"/>
          <w:color w:val="auto"/>
        </w:rPr>
      </w:pPr>
    </w:p>
    <w:p>
      <w:pPr>
        <w:ind w:left="340" w:hanging="332"/>
        <w:spacing w:after="0" w:line="285" w:lineRule="auto"/>
        <w:tabs>
          <w:tab w:leader="none" w:pos="3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To calculate the amount of average “compensation actually paid” to our NEOs other than our CEO for 2023, the following amounts were deducted from and added to (as applicable) the average of the “Total” compensation of our non-CEO NEOs as reported in the SCT:</w:t>
      </w:r>
    </w:p>
    <w:p>
      <w:pPr>
        <w:spacing w:after="0" w:line="131"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1560" w:type="dxa"/>
            <w:vAlign w:val="bottom"/>
          </w:tcPr>
          <w:p>
            <w:pPr>
              <w:spacing w:after="0"/>
              <w:rPr>
                <w:sz w:val="14"/>
                <w:szCs w:val="14"/>
                <w:color w:val="auto"/>
              </w:rPr>
            </w:pPr>
          </w:p>
        </w:tc>
        <w:tc>
          <w:tcPr>
            <w:tcW w:w="2300" w:type="dxa"/>
            <w:vAlign w:val="bottom"/>
          </w:tcPr>
          <w:p>
            <w:pPr>
              <w:jc w:val="right"/>
              <w:ind w:right="28"/>
              <w:spacing w:after="0"/>
              <w:rPr>
                <w:sz w:val="20"/>
                <w:szCs w:val="20"/>
                <w:color w:val="auto"/>
              </w:rPr>
            </w:pPr>
            <w:r>
              <w:rPr>
                <w:rFonts w:ascii="Arial" w:cs="Arial" w:eastAsia="Arial" w:hAnsi="Arial"/>
                <w:sz w:val="14"/>
                <w:szCs w:val="14"/>
                <w:b w:val="1"/>
                <w:bCs w:val="1"/>
                <w:color w:val="0233A1"/>
              </w:rPr>
              <w:t>Average</w:t>
            </w:r>
          </w:p>
        </w:tc>
        <w:tc>
          <w:tcPr>
            <w:tcW w:w="15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40" w:type="dxa"/>
            <w:vAlign w:val="bottom"/>
          </w:tcPr>
          <w:p>
            <w:pPr>
              <w:jc w:val="right"/>
              <w:ind w:right="109"/>
              <w:spacing w:after="0"/>
              <w:rPr>
                <w:sz w:val="20"/>
                <w:szCs w:val="20"/>
                <w:color w:val="auto"/>
              </w:rPr>
            </w:pPr>
            <w:r>
              <w:rPr>
                <w:rFonts w:ascii="Arial" w:cs="Arial" w:eastAsia="Arial" w:hAnsi="Arial"/>
                <w:sz w:val="14"/>
                <w:szCs w:val="14"/>
                <w:b w:val="1"/>
                <w:bCs w:val="1"/>
                <w:color w:val="0233A1"/>
              </w:rPr>
              <w:t>Average Reported</w:t>
            </w: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2"/>
        </w:trPr>
        <w:tc>
          <w:tcPr>
            <w:tcW w:w="1560" w:type="dxa"/>
            <w:vAlign w:val="bottom"/>
          </w:tcPr>
          <w:p>
            <w:pPr>
              <w:spacing w:after="0"/>
              <w:rPr>
                <w:sz w:val="14"/>
                <w:szCs w:val="14"/>
                <w:color w:val="auto"/>
              </w:rPr>
            </w:pPr>
          </w:p>
        </w:tc>
        <w:tc>
          <w:tcPr>
            <w:tcW w:w="2300" w:type="dxa"/>
            <w:vAlign w:val="bottom"/>
          </w:tcPr>
          <w:p>
            <w:pPr>
              <w:jc w:val="right"/>
              <w:ind w:right="28"/>
              <w:spacing w:after="0"/>
              <w:rPr>
                <w:sz w:val="20"/>
                <w:szCs w:val="20"/>
                <w:color w:val="auto"/>
              </w:rPr>
            </w:pPr>
            <w:r>
              <w:rPr>
                <w:rFonts w:ascii="Arial" w:cs="Arial" w:eastAsia="Arial" w:hAnsi="Arial"/>
                <w:sz w:val="14"/>
                <w:szCs w:val="14"/>
                <w:b w:val="1"/>
                <w:bCs w:val="1"/>
                <w:color w:val="0233A1"/>
              </w:rPr>
              <w:t>Summary</w:t>
            </w:r>
          </w:p>
        </w:tc>
        <w:tc>
          <w:tcPr>
            <w:tcW w:w="15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40" w:type="dxa"/>
            <w:vAlign w:val="bottom"/>
          </w:tcPr>
          <w:p>
            <w:pPr>
              <w:jc w:val="right"/>
              <w:ind w:right="109"/>
              <w:spacing w:after="0"/>
              <w:rPr>
                <w:sz w:val="20"/>
                <w:szCs w:val="20"/>
                <w:color w:val="auto"/>
              </w:rPr>
            </w:pPr>
            <w:r>
              <w:rPr>
                <w:rFonts w:ascii="Arial" w:cs="Arial" w:eastAsia="Arial" w:hAnsi="Arial"/>
                <w:sz w:val="14"/>
                <w:szCs w:val="14"/>
                <w:b w:val="1"/>
                <w:bCs w:val="1"/>
                <w:color w:val="0233A1"/>
              </w:rPr>
              <w:t>Change in the</w:t>
            </w: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2"/>
        </w:trPr>
        <w:tc>
          <w:tcPr>
            <w:tcW w:w="1560" w:type="dxa"/>
            <w:vAlign w:val="bottom"/>
          </w:tcPr>
          <w:p>
            <w:pPr>
              <w:spacing w:after="0"/>
              <w:rPr>
                <w:sz w:val="14"/>
                <w:szCs w:val="14"/>
                <w:color w:val="auto"/>
              </w:rPr>
            </w:pPr>
          </w:p>
        </w:tc>
        <w:tc>
          <w:tcPr>
            <w:tcW w:w="2300" w:type="dxa"/>
            <w:vAlign w:val="bottom"/>
          </w:tcPr>
          <w:p>
            <w:pPr>
              <w:jc w:val="right"/>
              <w:ind w:right="28"/>
              <w:spacing w:after="0"/>
              <w:rPr>
                <w:sz w:val="20"/>
                <w:szCs w:val="20"/>
                <w:color w:val="auto"/>
              </w:rPr>
            </w:pPr>
            <w:r>
              <w:rPr>
                <w:rFonts w:ascii="Arial" w:cs="Arial" w:eastAsia="Arial" w:hAnsi="Arial"/>
                <w:sz w:val="14"/>
                <w:szCs w:val="14"/>
                <w:b w:val="1"/>
                <w:bCs w:val="1"/>
                <w:color w:val="0233A1"/>
              </w:rPr>
              <w:t>Compensation</w:t>
            </w:r>
          </w:p>
        </w:tc>
        <w:tc>
          <w:tcPr>
            <w:tcW w:w="1540" w:type="dxa"/>
            <w:vAlign w:val="bottom"/>
          </w:tcPr>
          <w:p>
            <w:pPr>
              <w:jc w:val="right"/>
              <w:ind w:right="129"/>
              <w:spacing w:after="0"/>
              <w:rPr>
                <w:sz w:val="20"/>
                <w:szCs w:val="20"/>
                <w:color w:val="auto"/>
              </w:rPr>
            </w:pPr>
            <w:r>
              <w:rPr>
                <w:rFonts w:ascii="Arial" w:cs="Arial" w:eastAsia="Arial" w:hAnsi="Arial"/>
                <w:sz w:val="14"/>
                <w:szCs w:val="14"/>
                <w:b w:val="1"/>
                <w:bCs w:val="1"/>
                <w:color w:val="0233A1"/>
              </w:rPr>
              <w:t>Average</w:t>
            </w:r>
          </w:p>
        </w:tc>
        <w:tc>
          <w:tcPr>
            <w:tcW w:w="1560" w:type="dxa"/>
            <w:vAlign w:val="bottom"/>
          </w:tcPr>
          <w:p>
            <w:pPr>
              <w:spacing w:after="0"/>
              <w:rPr>
                <w:sz w:val="14"/>
                <w:szCs w:val="14"/>
                <w:color w:val="auto"/>
              </w:rPr>
            </w:pPr>
          </w:p>
        </w:tc>
        <w:tc>
          <w:tcPr>
            <w:tcW w:w="1440" w:type="dxa"/>
            <w:vAlign w:val="bottom"/>
          </w:tcPr>
          <w:p>
            <w:pPr>
              <w:jc w:val="right"/>
              <w:ind w:right="109"/>
              <w:spacing w:after="0"/>
              <w:rPr>
                <w:sz w:val="20"/>
                <w:szCs w:val="20"/>
                <w:color w:val="auto"/>
              </w:rPr>
            </w:pPr>
            <w:r>
              <w:rPr>
                <w:rFonts w:ascii="Arial" w:cs="Arial" w:eastAsia="Arial" w:hAnsi="Arial"/>
                <w:sz w:val="14"/>
                <w:szCs w:val="14"/>
                <w:b w:val="1"/>
                <w:bCs w:val="1"/>
                <w:color w:val="0233A1"/>
              </w:rPr>
              <w:t>Actuarial Present</w:t>
            </w:r>
          </w:p>
        </w:tc>
        <w:tc>
          <w:tcPr>
            <w:tcW w:w="1320" w:type="dxa"/>
            <w:vAlign w:val="bottom"/>
          </w:tcPr>
          <w:p>
            <w:pPr>
              <w:jc w:val="right"/>
              <w:ind w:right="89"/>
              <w:spacing w:after="0"/>
              <w:rPr>
                <w:sz w:val="20"/>
                <w:szCs w:val="20"/>
                <w:color w:val="auto"/>
              </w:rPr>
            </w:pPr>
            <w:r>
              <w:rPr>
                <w:rFonts w:ascii="Arial" w:cs="Arial" w:eastAsia="Arial" w:hAnsi="Arial"/>
                <w:sz w:val="14"/>
                <w:szCs w:val="14"/>
                <w:b w:val="1"/>
                <w:bCs w:val="1"/>
                <w:color w:val="0233A1"/>
              </w:rPr>
              <w:t>Average</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0233A1"/>
              </w:rPr>
              <w:t>Average</w:t>
            </w:r>
          </w:p>
        </w:tc>
      </w:tr>
      <w:tr>
        <w:trPr>
          <w:trHeight w:val="162"/>
        </w:trPr>
        <w:tc>
          <w:tcPr>
            <w:tcW w:w="1560" w:type="dxa"/>
            <w:vAlign w:val="bottom"/>
          </w:tcPr>
          <w:p>
            <w:pPr>
              <w:spacing w:after="0"/>
              <w:rPr>
                <w:sz w:val="14"/>
                <w:szCs w:val="14"/>
                <w:color w:val="auto"/>
              </w:rPr>
            </w:pPr>
          </w:p>
        </w:tc>
        <w:tc>
          <w:tcPr>
            <w:tcW w:w="2300" w:type="dxa"/>
            <w:vAlign w:val="bottom"/>
          </w:tcPr>
          <w:p>
            <w:pPr>
              <w:jc w:val="right"/>
              <w:ind w:right="28"/>
              <w:spacing w:after="0"/>
              <w:rPr>
                <w:sz w:val="20"/>
                <w:szCs w:val="20"/>
                <w:color w:val="auto"/>
              </w:rPr>
            </w:pPr>
            <w:r>
              <w:rPr>
                <w:rFonts w:ascii="Arial" w:cs="Arial" w:eastAsia="Arial" w:hAnsi="Arial"/>
                <w:sz w:val="14"/>
                <w:szCs w:val="14"/>
                <w:b w:val="1"/>
                <w:bCs w:val="1"/>
                <w:color w:val="0233A1"/>
              </w:rPr>
              <w:t>Table Total for</w:t>
            </w:r>
          </w:p>
        </w:tc>
        <w:tc>
          <w:tcPr>
            <w:tcW w:w="1540" w:type="dxa"/>
            <w:vAlign w:val="bottom"/>
          </w:tcPr>
          <w:p>
            <w:pPr>
              <w:jc w:val="right"/>
              <w:ind w:right="129"/>
              <w:spacing w:after="0"/>
              <w:rPr>
                <w:sz w:val="20"/>
                <w:szCs w:val="20"/>
                <w:color w:val="auto"/>
              </w:rPr>
            </w:pPr>
            <w:r>
              <w:rPr>
                <w:rFonts w:ascii="Arial" w:cs="Arial" w:eastAsia="Arial" w:hAnsi="Arial"/>
                <w:sz w:val="14"/>
                <w:szCs w:val="14"/>
                <w:b w:val="1"/>
                <w:bCs w:val="1"/>
                <w:color w:val="0233A1"/>
              </w:rPr>
              <w:t>Reported Value of</w:t>
            </w:r>
          </w:p>
        </w:tc>
        <w:tc>
          <w:tcPr>
            <w:tcW w:w="1560" w:type="dxa"/>
            <w:vAlign w:val="bottom"/>
          </w:tcPr>
          <w:p>
            <w:pPr>
              <w:jc w:val="right"/>
              <w:ind w:right="129"/>
              <w:spacing w:after="0"/>
              <w:rPr>
                <w:sz w:val="20"/>
                <w:szCs w:val="20"/>
                <w:color w:val="auto"/>
              </w:rPr>
            </w:pPr>
            <w:r>
              <w:rPr>
                <w:rFonts w:ascii="Arial" w:cs="Arial" w:eastAsia="Arial" w:hAnsi="Arial"/>
                <w:sz w:val="14"/>
                <w:szCs w:val="14"/>
                <w:b w:val="1"/>
                <w:bCs w:val="1"/>
                <w:color w:val="0233A1"/>
              </w:rPr>
              <w:t>Average Equity</w:t>
            </w:r>
          </w:p>
        </w:tc>
        <w:tc>
          <w:tcPr>
            <w:tcW w:w="1440" w:type="dxa"/>
            <w:vAlign w:val="bottom"/>
          </w:tcPr>
          <w:p>
            <w:pPr>
              <w:jc w:val="right"/>
              <w:ind w:right="109"/>
              <w:spacing w:after="0"/>
              <w:rPr>
                <w:sz w:val="20"/>
                <w:szCs w:val="20"/>
                <w:color w:val="auto"/>
              </w:rPr>
            </w:pPr>
            <w:r>
              <w:rPr>
                <w:rFonts w:ascii="Arial" w:cs="Arial" w:eastAsia="Arial" w:hAnsi="Arial"/>
                <w:sz w:val="14"/>
                <w:szCs w:val="14"/>
                <w:b w:val="1"/>
                <w:bCs w:val="1"/>
                <w:color w:val="0233A1"/>
              </w:rPr>
              <w:t>Value of Pension</w:t>
            </w:r>
          </w:p>
        </w:tc>
        <w:tc>
          <w:tcPr>
            <w:tcW w:w="1320" w:type="dxa"/>
            <w:vAlign w:val="bottom"/>
          </w:tcPr>
          <w:p>
            <w:pPr>
              <w:jc w:val="right"/>
              <w:ind w:right="89"/>
              <w:spacing w:after="0"/>
              <w:rPr>
                <w:sz w:val="20"/>
                <w:szCs w:val="20"/>
                <w:color w:val="auto"/>
              </w:rPr>
            </w:pPr>
            <w:r>
              <w:rPr>
                <w:rFonts w:ascii="Arial" w:cs="Arial" w:eastAsia="Arial" w:hAnsi="Arial"/>
                <w:sz w:val="14"/>
                <w:szCs w:val="14"/>
                <w:b w:val="1"/>
                <w:bCs w:val="1"/>
                <w:color w:val="0233A1"/>
              </w:rPr>
              <w:t>Pension Benefit</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0233A1"/>
              </w:rPr>
              <w:t>Compensation</w:t>
            </w:r>
          </w:p>
        </w:tc>
      </w:tr>
      <w:tr>
        <w:trPr>
          <w:trHeight w:val="162"/>
        </w:trPr>
        <w:tc>
          <w:tcPr>
            <w:tcW w:w="1560" w:type="dxa"/>
            <w:vAlign w:val="bottom"/>
          </w:tcPr>
          <w:p>
            <w:pPr>
              <w:spacing w:after="0"/>
              <w:rPr>
                <w:sz w:val="14"/>
                <w:szCs w:val="14"/>
                <w:color w:val="auto"/>
              </w:rPr>
            </w:pPr>
          </w:p>
        </w:tc>
        <w:tc>
          <w:tcPr>
            <w:tcW w:w="2300" w:type="dxa"/>
            <w:vAlign w:val="bottom"/>
          </w:tcPr>
          <w:p>
            <w:pPr>
              <w:jc w:val="right"/>
              <w:ind w:right="28"/>
              <w:spacing w:after="0"/>
              <w:rPr>
                <w:sz w:val="20"/>
                <w:szCs w:val="20"/>
                <w:color w:val="auto"/>
              </w:rPr>
            </w:pPr>
            <w:r>
              <w:rPr>
                <w:rFonts w:ascii="Arial" w:cs="Arial" w:eastAsia="Arial" w:hAnsi="Arial"/>
                <w:sz w:val="14"/>
                <w:szCs w:val="14"/>
                <w:b w:val="1"/>
                <w:bCs w:val="1"/>
                <w:color w:val="0233A1"/>
              </w:rPr>
              <w:t>Non-</w:t>
            </w:r>
          </w:p>
        </w:tc>
        <w:tc>
          <w:tcPr>
            <w:tcW w:w="1540" w:type="dxa"/>
            <w:vAlign w:val="bottom"/>
          </w:tcPr>
          <w:p>
            <w:pPr>
              <w:jc w:val="right"/>
              <w:ind w:right="129"/>
              <w:spacing w:after="0"/>
              <w:rPr>
                <w:sz w:val="20"/>
                <w:szCs w:val="20"/>
                <w:color w:val="auto"/>
              </w:rPr>
            </w:pPr>
            <w:r>
              <w:rPr>
                <w:rFonts w:ascii="Arial" w:cs="Arial" w:eastAsia="Arial" w:hAnsi="Arial"/>
                <w:sz w:val="14"/>
                <w:szCs w:val="14"/>
                <w:b w:val="1"/>
                <w:bCs w:val="1"/>
                <w:color w:val="0233A1"/>
              </w:rPr>
              <w:t>Equity Awards for</w:t>
            </w:r>
          </w:p>
        </w:tc>
        <w:tc>
          <w:tcPr>
            <w:tcW w:w="1560" w:type="dxa"/>
            <w:vAlign w:val="bottom"/>
          </w:tcPr>
          <w:p>
            <w:pPr>
              <w:jc w:val="right"/>
              <w:ind w:right="129"/>
              <w:spacing w:after="0"/>
              <w:rPr>
                <w:sz w:val="20"/>
                <w:szCs w:val="20"/>
                <w:color w:val="auto"/>
              </w:rPr>
            </w:pPr>
            <w:r>
              <w:rPr>
                <w:rFonts w:ascii="Arial" w:cs="Arial" w:eastAsia="Arial" w:hAnsi="Arial"/>
                <w:sz w:val="14"/>
                <w:szCs w:val="14"/>
                <w:b w:val="1"/>
                <w:bCs w:val="1"/>
                <w:color w:val="0233A1"/>
              </w:rPr>
              <w:t>Award Adjustments</w:t>
            </w:r>
          </w:p>
        </w:tc>
        <w:tc>
          <w:tcPr>
            <w:tcW w:w="1440" w:type="dxa"/>
            <w:vAlign w:val="bottom"/>
          </w:tcPr>
          <w:p>
            <w:pPr>
              <w:jc w:val="right"/>
              <w:ind w:right="109"/>
              <w:spacing w:after="0"/>
              <w:rPr>
                <w:sz w:val="20"/>
                <w:szCs w:val="20"/>
                <w:color w:val="auto"/>
              </w:rPr>
            </w:pPr>
            <w:r>
              <w:rPr>
                <w:rFonts w:ascii="Arial" w:cs="Arial" w:eastAsia="Arial" w:hAnsi="Arial"/>
                <w:sz w:val="14"/>
                <w:szCs w:val="14"/>
                <w:b w:val="1"/>
                <w:bCs w:val="1"/>
                <w:color w:val="0233A1"/>
              </w:rPr>
              <w:t>Benefits for Non-</w:t>
            </w:r>
          </w:p>
        </w:tc>
        <w:tc>
          <w:tcPr>
            <w:tcW w:w="1320" w:type="dxa"/>
            <w:vAlign w:val="bottom"/>
          </w:tcPr>
          <w:p>
            <w:pPr>
              <w:jc w:val="right"/>
              <w:ind w:right="89"/>
              <w:spacing w:after="0"/>
              <w:rPr>
                <w:sz w:val="20"/>
                <w:szCs w:val="20"/>
                <w:color w:val="auto"/>
              </w:rPr>
            </w:pPr>
            <w:r>
              <w:rPr>
                <w:rFonts w:ascii="Arial" w:cs="Arial" w:eastAsia="Arial" w:hAnsi="Arial"/>
                <w:sz w:val="14"/>
                <w:szCs w:val="14"/>
                <w:b w:val="1"/>
                <w:bCs w:val="1"/>
                <w:color w:val="0233A1"/>
              </w:rPr>
              <w:t>Adjustments for</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0233A1"/>
              </w:rPr>
              <w:t>Actually Paid to</w:t>
            </w:r>
          </w:p>
        </w:tc>
      </w:tr>
      <w:tr>
        <w:trPr>
          <w:trHeight w:val="144"/>
        </w:trPr>
        <w:tc>
          <w:tcPr>
            <w:tcW w:w="1560" w:type="dxa"/>
            <w:vAlign w:val="bottom"/>
          </w:tcPr>
          <w:p>
            <w:pPr>
              <w:spacing w:after="0"/>
              <w:rPr>
                <w:sz w:val="12"/>
                <w:szCs w:val="12"/>
                <w:color w:val="auto"/>
              </w:rPr>
            </w:pPr>
          </w:p>
        </w:tc>
        <w:tc>
          <w:tcPr>
            <w:tcW w:w="2300" w:type="dxa"/>
            <w:vAlign w:val="bottom"/>
          </w:tcPr>
          <w:p>
            <w:pPr>
              <w:jc w:val="right"/>
              <w:ind w:right="28"/>
              <w:spacing w:after="0" w:line="145" w:lineRule="exact"/>
              <w:rPr>
                <w:sz w:val="20"/>
                <w:szCs w:val="20"/>
                <w:color w:val="auto"/>
              </w:rPr>
            </w:pPr>
            <w:r>
              <w:rPr>
                <w:rFonts w:ascii="Arial" w:cs="Arial" w:eastAsia="Arial" w:hAnsi="Arial"/>
                <w:sz w:val="14"/>
                <w:szCs w:val="14"/>
                <w:b w:val="1"/>
                <w:bCs w:val="1"/>
                <w:color w:val="0233A1"/>
              </w:rPr>
              <w:t>CEO NEOs</w:t>
            </w:r>
          </w:p>
        </w:tc>
        <w:tc>
          <w:tcPr>
            <w:tcW w:w="1540" w:type="dxa"/>
            <w:vAlign w:val="bottom"/>
          </w:tcPr>
          <w:p>
            <w:pPr>
              <w:jc w:val="right"/>
              <w:ind w:right="129"/>
              <w:spacing w:after="0" w:line="145" w:lineRule="exact"/>
              <w:rPr>
                <w:sz w:val="20"/>
                <w:szCs w:val="20"/>
                <w:color w:val="auto"/>
              </w:rPr>
            </w:pPr>
            <w:r>
              <w:rPr>
                <w:rFonts w:ascii="Arial" w:cs="Arial" w:eastAsia="Arial" w:hAnsi="Arial"/>
                <w:sz w:val="14"/>
                <w:szCs w:val="14"/>
                <w:b w:val="1"/>
                <w:bCs w:val="1"/>
                <w:color w:val="0233A1"/>
              </w:rPr>
              <w:t>Non-CEO NEOs</w:t>
            </w:r>
          </w:p>
        </w:tc>
        <w:tc>
          <w:tcPr>
            <w:tcW w:w="1560" w:type="dxa"/>
            <w:vAlign w:val="bottom"/>
          </w:tcPr>
          <w:p>
            <w:pPr>
              <w:jc w:val="right"/>
              <w:ind w:right="129"/>
              <w:spacing w:after="0" w:line="145" w:lineRule="exact"/>
              <w:rPr>
                <w:sz w:val="20"/>
                <w:szCs w:val="20"/>
                <w:color w:val="auto"/>
              </w:rPr>
            </w:pPr>
            <w:r>
              <w:rPr>
                <w:rFonts w:ascii="Arial" w:cs="Arial" w:eastAsia="Arial" w:hAnsi="Arial"/>
                <w:sz w:val="14"/>
                <w:szCs w:val="14"/>
                <w:b w:val="1"/>
                <w:bCs w:val="1"/>
                <w:color w:val="0233A1"/>
              </w:rPr>
              <w:t>for Non-CEO NEOs</w:t>
            </w:r>
          </w:p>
        </w:tc>
        <w:tc>
          <w:tcPr>
            <w:tcW w:w="1440" w:type="dxa"/>
            <w:vAlign w:val="bottom"/>
          </w:tcPr>
          <w:p>
            <w:pPr>
              <w:jc w:val="right"/>
              <w:ind w:right="109"/>
              <w:spacing w:after="0" w:line="145" w:lineRule="exact"/>
              <w:rPr>
                <w:sz w:val="20"/>
                <w:szCs w:val="20"/>
                <w:color w:val="auto"/>
              </w:rPr>
            </w:pPr>
            <w:r>
              <w:rPr>
                <w:rFonts w:ascii="Arial" w:cs="Arial" w:eastAsia="Arial" w:hAnsi="Arial"/>
                <w:sz w:val="14"/>
                <w:szCs w:val="14"/>
                <w:b w:val="1"/>
                <w:bCs w:val="1"/>
                <w:color w:val="0233A1"/>
              </w:rPr>
              <w:t>CEO NEOs</w:t>
            </w:r>
          </w:p>
        </w:tc>
        <w:tc>
          <w:tcPr>
            <w:tcW w:w="1320" w:type="dxa"/>
            <w:vAlign w:val="bottom"/>
          </w:tcPr>
          <w:p>
            <w:pPr>
              <w:jc w:val="right"/>
              <w:ind w:right="89"/>
              <w:spacing w:after="0" w:line="145" w:lineRule="exact"/>
              <w:rPr>
                <w:sz w:val="20"/>
                <w:szCs w:val="20"/>
                <w:color w:val="auto"/>
              </w:rPr>
            </w:pPr>
            <w:r>
              <w:rPr>
                <w:rFonts w:ascii="Arial" w:cs="Arial" w:eastAsia="Arial" w:hAnsi="Arial"/>
                <w:sz w:val="14"/>
                <w:szCs w:val="14"/>
                <w:b w:val="1"/>
                <w:bCs w:val="1"/>
                <w:color w:val="0233A1"/>
              </w:rPr>
              <w:t>Non-CEO NEOs</w:t>
            </w:r>
          </w:p>
        </w:tc>
        <w:tc>
          <w:tcPr>
            <w:tcW w:w="1180" w:type="dxa"/>
            <w:vAlign w:val="bottom"/>
          </w:tcPr>
          <w:p>
            <w:pPr>
              <w:jc w:val="right"/>
              <w:spacing w:after="0" w:line="145" w:lineRule="exact"/>
              <w:rPr>
                <w:sz w:val="20"/>
                <w:szCs w:val="20"/>
                <w:color w:val="auto"/>
              </w:rPr>
            </w:pPr>
            <w:r>
              <w:rPr>
                <w:rFonts w:ascii="Arial" w:cs="Arial" w:eastAsia="Arial" w:hAnsi="Arial"/>
                <w:sz w:val="14"/>
                <w:szCs w:val="14"/>
                <w:b w:val="1"/>
                <w:bCs w:val="1"/>
                <w:color w:val="0233A1"/>
              </w:rPr>
              <w:t>Non-CEO NEOs</w:t>
            </w:r>
          </w:p>
        </w:tc>
      </w:tr>
      <w:tr>
        <w:trPr>
          <w:trHeight w:val="189"/>
        </w:trPr>
        <w:tc>
          <w:tcPr>
            <w:tcW w:w="1560" w:type="dxa"/>
            <w:vAlign w:val="bottom"/>
            <w:tcBorders>
              <w:bottom w:val="single" w:sz="8" w:color="0233A1"/>
            </w:tcBorders>
          </w:tcPr>
          <w:p>
            <w:pPr>
              <w:ind w:left="20"/>
              <w:spacing w:after="0"/>
              <w:rPr>
                <w:sz w:val="20"/>
                <w:szCs w:val="20"/>
                <w:color w:val="auto"/>
              </w:rPr>
            </w:pPr>
            <w:r>
              <w:rPr>
                <w:rFonts w:ascii="Arial" w:cs="Arial" w:eastAsia="Arial" w:hAnsi="Arial"/>
                <w:sz w:val="14"/>
                <w:szCs w:val="14"/>
                <w:b w:val="1"/>
                <w:bCs w:val="1"/>
                <w:color w:val="0233A1"/>
              </w:rPr>
              <w:t>Year</w:t>
            </w:r>
          </w:p>
        </w:tc>
        <w:tc>
          <w:tcPr>
            <w:tcW w:w="2300" w:type="dxa"/>
            <w:vAlign w:val="bottom"/>
            <w:tcBorders>
              <w:bottom w:val="single" w:sz="8" w:color="0233A1"/>
            </w:tcBorders>
          </w:tcPr>
          <w:p>
            <w:pPr>
              <w:jc w:val="right"/>
              <w:ind w:right="28"/>
              <w:spacing w:after="0"/>
              <w:rPr>
                <w:sz w:val="20"/>
                <w:szCs w:val="20"/>
                <w:color w:val="auto"/>
              </w:rPr>
            </w:pPr>
            <w:r>
              <w:rPr>
                <w:rFonts w:ascii="Arial" w:cs="Arial" w:eastAsia="Arial" w:hAnsi="Arial"/>
                <w:sz w:val="14"/>
                <w:szCs w:val="14"/>
                <w:b w:val="1"/>
                <w:bCs w:val="1"/>
                <w:color w:val="0233A1"/>
              </w:rPr>
              <w:t>($)</w:t>
            </w:r>
          </w:p>
        </w:tc>
        <w:tc>
          <w:tcPr>
            <w:tcW w:w="1540" w:type="dxa"/>
            <w:vAlign w:val="bottom"/>
            <w:tcBorders>
              <w:bottom w:val="single" w:sz="8" w:color="0233A1"/>
            </w:tcBorders>
          </w:tcPr>
          <w:p>
            <w:pPr>
              <w:jc w:val="right"/>
              <w:spacing w:after="0" w:line="189" w:lineRule="exact"/>
              <w:rPr>
                <w:sz w:val="20"/>
                <w:szCs w:val="20"/>
                <w:color w:val="auto"/>
              </w:rPr>
            </w:pPr>
            <w:r>
              <w:rPr>
                <w:rFonts w:ascii="Arial" w:cs="Arial" w:eastAsia="Arial" w:hAnsi="Arial"/>
                <w:sz w:val="13"/>
                <w:szCs w:val="13"/>
                <w:b w:val="1"/>
                <w:bCs w:val="1"/>
                <w:color w:val="0233A1"/>
              </w:rPr>
              <w:t>($)</w:t>
            </w:r>
            <w:r>
              <w:rPr>
                <w:rFonts w:ascii="Arial" w:cs="Arial" w:eastAsia="Arial" w:hAnsi="Arial"/>
                <w:sz w:val="21"/>
                <w:szCs w:val="21"/>
                <w:color w:val="0233A1"/>
                <w:vertAlign w:val="superscript"/>
              </w:rPr>
              <w:t>(w)</w:t>
            </w:r>
          </w:p>
        </w:tc>
        <w:tc>
          <w:tcPr>
            <w:tcW w:w="1560" w:type="dxa"/>
            <w:vAlign w:val="bottom"/>
            <w:tcBorders>
              <w:bottom w:val="single" w:sz="8" w:color="0233A1"/>
            </w:tcBorders>
          </w:tcPr>
          <w:p>
            <w:pPr>
              <w:jc w:val="right"/>
              <w:spacing w:after="0" w:line="189" w:lineRule="exact"/>
              <w:rPr>
                <w:sz w:val="20"/>
                <w:szCs w:val="20"/>
                <w:color w:val="auto"/>
              </w:rPr>
            </w:pPr>
            <w:r>
              <w:rPr>
                <w:rFonts w:ascii="Arial" w:cs="Arial" w:eastAsia="Arial" w:hAnsi="Arial"/>
                <w:sz w:val="13"/>
                <w:szCs w:val="13"/>
                <w:b w:val="1"/>
                <w:bCs w:val="1"/>
                <w:color w:val="0233A1"/>
              </w:rPr>
              <w:t>($)</w:t>
            </w:r>
            <w:r>
              <w:rPr>
                <w:rFonts w:ascii="Arial" w:cs="Arial" w:eastAsia="Arial" w:hAnsi="Arial"/>
                <w:sz w:val="21"/>
                <w:szCs w:val="21"/>
                <w:color w:val="0233A1"/>
                <w:vertAlign w:val="superscript"/>
              </w:rPr>
              <w:t>(x)</w:t>
            </w:r>
          </w:p>
        </w:tc>
        <w:tc>
          <w:tcPr>
            <w:tcW w:w="1440" w:type="dxa"/>
            <w:vAlign w:val="bottom"/>
            <w:tcBorders>
              <w:bottom w:val="single" w:sz="8" w:color="0233A1"/>
            </w:tcBorders>
          </w:tcPr>
          <w:p>
            <w:pPr>
              <w:jc w:val="right"/>
              <w:spacing w:after="0" w:line="189" w:lineRule="exact"/>
              <w:rPr>
                <w:sz w:val="20"/>
                <w:szCs w:val="20"/>
                <w:color w:val="auto"/>
              </w:rPr>
            </w:pPr>
            <w:r>
              <w:rPr>
                <w:rFonts w:ascii="Arial" w:cs="Arial" w:eastAsia="Arial" w:hAnsi="Arial"/>
                <w:sz w:val="13"/>
                <w:szCs w:val="13"/>
                <w:b w:val="1"/>
                <w:bCs w:val="1"/>
                <w:color w:val="0233A1"/>
              </w:rPr>
              <w:t>($)</w:t>
            </w:r>
            <w:r>
              <w:rPr>
                <w:rFonts w:ascii="Arial" w:cs="Arial" w:eastAsia="Arial" w:hAnsi="Arial"/>
                <w:sz w:val="21"/>
                <w:szCs w:val="21"/>
                <w:color w:val="0233A1"/>
                <w:vertAlign w:val="superscript"/>
              </w:rPr>
              <w:t>(y)</w:t>
            </w:r>
          </w:p>
        </w:tc>
        <w:tc>
          <w:tcPr>
            <w:tcW w:w="1320" w:type="dxa"/>
            <w:vAlign w:val="bottom"/>
            <w:tcBorders>
              <w:bottom w:val="single" w:sz="8" w:color="0233A1"/>
            </w:tcBorders>
          </w:tcPr>
          <w:p>
            <w:pPr>
              <w:jc w:val="right"/>
              <w:spacing w:after="0" w:line="189" w:lineRule="exact"/>
              <w:rPr>
                <w:sz w:val="20"/>
                <w:szCs w:val="20"/>
                <w:color w:val="auto"/>
              </w:rPr>
            </w:pPr>
            <w:r>
              <w:rPr>
                <w:rFonts w:ascii="Arial" w:cs="Arial" w:eastAsia="Arial" w:hAnsi="Arial"/>
                <w:sz w:val="13"/>
                <w:szCs w:val="13"/>
                <w:b w:val="1"/>
                <w:bCs w:val="1"/>
                <w:color w:val="0233A1"/>
              </w:rPr>
              <w:t>($)</w:t>
            </w:r>
            <w:r>
              <w:rPr>
                <w:rFonts w:ascii="Arial" w:cs="Arial" w:eastAsia="Arial" w:hAnsi="Arial"/>
                <w:sz w:val="21"/>
                <w:szCs w:val="21"/>
                <w:color w:val="0233A1"/>
                <w:vertAlign w:val="superscript"/>
              </w:rPr>
              <w:t>(z)</w:t>
            </w:r>
          </w:p>
        </w:tc>
        <w:tc>
          <w:tcPr>
            <w:tcW w:w="1180" w:type="dxa"/>
            <w:vAlign w:val="bottom"/>
            <w:tcBorders>
              <w:bottom w:val="single" w:sz="8" w:color="0233A1"/>
            </w:tcBorders>
          </w:tcPr>
          <w:p>
            <w:pPr>
              <w:jc w:val="right"/>
              <w:spacing w:after="0"/>
              <w:rPr>
                <w:sz w:val="20"/>
                <w:szCs w:val="20"/>
                <w:color w:val="auto"/>
              </w:rPr>
            </w:pPr>
            <w:r>
              <w:rPr>
                <w:rFonts w:ascii="Arial" w:cs="Arial" w:eastAsia="Arial" w:hAnsi="Arial"/>
                <w:sz w:val="14"/>
                <w:szCs w:val="14"/>
                <w:b w:val="1"/>
                <w:bCs w:val="1"/>
                <w:color w:val="0233A1"/>
              </w:rPr>
              <w:t>($)</w:t>
            </w:r>
          </w:p>
        </w:tc>
      </w:tr>
      <w:tr>
        <w:trPr>
          <w:trHeight w:val="163"/>
        </w:trPr>
        <w:tc>
          <w:tcPr>
            <w:tcW w:w="1560" w:type="dxa"/>
            <w:vAlign w:val="bottom"/>
            <w:tcBorders>
              <w:bottom w:val="single" w:sz="8" w:color="0233A1"/>
            </w:tcBorders>
          </w:tcPr>
          <w:p>
            <w:pPr>
              <w:ind w:left="20"/>
              <w:spacing w:after="0" w:line="155" w:lineRule="exact"/>
              <w:rPr>
                <w:sz w:val="20"/>
                <w:szCs w:val="20"/>
                <w:color w:val="auto"/>
              </w:rPr>
            </w:pPr>
            <w:r>
              <w:rPr>
                <w:rFonts w:ascii="Arial" w:cs="Arial" w:eastAsia="Arial" w:hAnsi="Arial"/>
                <w:sz w:val="14"/>
                <w:szCs w:val="14"/>
                <w:color w:val="auto"/>
              </w:rPr>
              <w:t>2023</w:t>
            </w:r>
          </w:p>
        </w:tc>
        <w:tc>
          <w:tcPr>
            <w:tcW w:w="2300" w:type="dxa"/>
            <w:vAlign w:val="bottom"/>
            <w:tcBorders>
              <w:bottom w:val="single" w:sz="8" w:color="0233A1"/>
            </w:tcBorders>
          </w:tcPr>
          <w:p>
            <w:pPr>
              <w:jc w:val="right"/>
              <w:ind w:right="28"/>
              <w:spacing w:after="0" w:line="155" w:lineRule="exact"/>
              <w:rPr>
                <w:sz w:val="20"/>
                <w:szCs w:val="20"/>
                <w:color w:val="auto"/>
              </w:rPr>
            </w:pPr>
            <w:r>
              <w:rPr>
                <w:rFonts w:ascii="Arial" w:cs="Arial" w:eastAsia="Arial" w:hAnsi="Arial"/>
                <w:sz w:val="14"/>
                <w:szCs w:val="14"/>
                <w:color w:val="auto"/>
              </w:rPr>
              <w:t>5,907,339</w:t>
            </w:r>
          </w:p>
        </w:tc>
        <w:tc>
          <w:tcPr>
            <w:tcW w:w="1540" w:type="dxa"/>
            <w:vAlign w:val="bottom"/>
            <w:tcBorders>
              <w:bottom w:val="single" w:sz="8" w:color="0233A1"/>
            </w:tcBorders>
          </w:tcPr>
          <w:p>
            <w:pPr>
              <w:jc w:val="right"/>
              <w:ind w:right="129"/>
              <w:spacing w:after="0" w:line="155" w:lineRule="exact"/>
              <w:rPr>
                <w:sz w:val="20"/>
                <w:szCs w:val="20"/>
                <w:color w:val="auto"/>
              </w:rPr>
            </w:pPr>
            <w:r>
              <w:rPr>
                <w:rFonts w:ascii="Arial" w:cs="Arial" w:eastAsia="Arial" w:hAnsi="Arial"/>
                <w:sz w:val="14"/>
                <w:szCs w:val="14"/>
                <w:color w:val="auto"/>
              </w:rPr>
              <w:t>(3,424,994)</w:t>
            </w:r>
          </w:p>
        </w:tc>
        <w:tc>
          <w:tcPr>
            <w:tcW w:w="1560" w:type="dxa"/>
            <w:vAlign w:val="bottom"/>
            <w:tcBorders>
              <w:bottom w:val="single" w:sz="8" w:color="0233A1"/>
            </w:tcBorders>
          </w:tcPr>
          <w:p>
            <w:pPr>
              <w:jc w:val="right"/>
              <w:ind w:right="129"/>
              <w:spacing w:after="0" w:line="155" w:lineRule="exact"/>
              <w:rPr>
                <w:sz w:val="20"/>
                <w:szCs w:val="20"/>
                <w:color w:val="auto"/>
              </w:rPr>
            </w:pPr>
            <w:r>
              <w:rPr>
                <w:rFonts w:ascii="Arial" w:cs="Arial" w:eastAsia="Arial" w:hAnsi="Arial"/>
                <w:sz w:val="14"/>
                <w:szCs w:val="14"/>
                <w:color w:val="auto"/>
              </w:rPr>
              <w:t>7,053,306</w:t>
            </w:r>
          </w:p>
        </w:tc>
        <w:tc>
          <w:tcPr>
            <w:tcW w:w="1440" w:type="dxa"/>
            <w:vAlign w:val="bottom"/>
            <w:tcBorders>
              <w:bottom w:val="single" w:sz="8" w:color="0233A1"/>
            </w:tcBorders>
          </w:tcPr>
          <w:p>
            <w:pPr>
              <w:jc w:val="right"/>
              <w:ind w:right="109"/>
              <w:spacing w:after="0" w:line="155" w:lineRule="exact"/>
              <w:rPr>
                <w:sz w:val="20"/>
                <w:szCs w:val="20"/>
                <w:color w:val="auto"/>
              </w:rPr>
            </w:pPr>
            <w:r>
              <w:rPr>
                <w:rFonts w:ascii="Arial" w:cs="Arial" w:eastAsia="Arial" w:hAnsi="Arial"/>
                <w:sz w:val="14"/>
                <w:szCs w:val="14"/>
                <w:color w:val="auto"/>
              </w:rPr>
              <w:t>(272,117)</w:t>
            </w:r>
          </w:p>
        </w:tc>
        <w:tc>
          <w:tcPr>
            <w:tcW w:w="1320" w:type="dxa"/>
            <w:vAlign w:val="bottom"/>
            <w:tcBorders>
              <w:bottom w:val="single" w:sz="8" w:color="0233A1"/>
            </w:tcBorders>
          </w:tcPr>
          <w:p>
            <w:pPr>
              <w:jc w:val="right"/>
              <w:ind w:right="89"/>
              <w:spacing w:after="0" w:line="155" w:lineRule="exact"/>
              <w:rPr>
                <w:sz w:val="20"/>
                <w:szCs w:val="20"/>
                <w:color w:val="auto"/>
              </w:rPr>
            </w:pPr>
            <w:r>
              <w:rPr>
                <w:rFonts w:ascii="Arial" w:cs="Arial" w:eastAsia="Arial" w:hAnsi="Arial"/>
                <w:sz w:val="14"/>
                <w:szCs w:val="14"/>
                <w:color w:val="auto"/>
              </w:rPr>
              <w:t>41,210</w:t>
            </w:r>
          </w:p>
        </w:tc>
        <w:tc>
          <w:tcPr>
            <w:tcW w:w="1180" w:type="dxa"/>
            <w:vAlign w:val="bottom"/>
            <w:tcBorders>
              <w:bottom w:val="single" w:sz="8" w:color="0233A1"/>
            </w:tcBorders>
          </w:tcPr>
          <w:p>
            <w:pPr>
              <w:jc w:val="right"/>
              <w:spacing w:after="0" w:line="155" w:lineRule="exact"/>
              <w:rPr>
                <w:sz w:val="20"/>
                <w:szCs w:val="20"/>
                <w:color w:val="auto"/>
              </w:rPr>
            </w:pPr>
            <w:r>
              <w:rPr>
                <w:rFonts w:ascii="Arial" w:cs="Arial" w:eastAsia="Arial" w:hAnsi="Arial"/>
                <w:sz w:val="14"/>
                <w:szCs w:val="14"/>
                <w:color w:val="auto"/>
              </w:rPr>
              <w:t>9,304,743</w:t>
            </w:r>
          </w:p>
        </w:tc>
      </w:tr>
    </w:tbl>
    <w:p>
      <w:pPr>
        <w:spacing w:after="0" w:line="58"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Represents the average of the grant date fair value of the equity awards to our non-CEO NEOs in 2023, as reported in the “Stock Awards” column in the SCT.</w:t>
      </w:r>
    </w:p>
    <w:p>
      <w:pPr>
        <w:spacing w:after="0" w:line="55" w:lineRule="exact"/>
        <w:rPr>
          <w:rFonts w:ascii="Arial" w:cs="Arial" w:eastAsia="Arial" w:hAnsi="Arial"/>
          <w:sz w:val="14"/>
          <w:szCs w:val="14"/>
          <w:color w:val="auto"/>
        </w:rPr>
      </w:pPr>
    </w:p>
    <w:p>
      <w:pPr>
        <w:ind w:left="660" w:hanging="328"/>
        <w:spacing w:after="0" w:line="285" w:lineRule="auto"/>
        <w:tabs>
          <w:tab w:leader="none" w:pos="6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Represents the average of the year-over-year change in the fair value of equity awards to our non-CEO NEOs, as itemized in the table below. No awards vested in the year they were granted.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7180" w:type="dxa"/>
            <w:vAlign w:val="bottom"/>
            <w:tcBorders>
              <w:bottom w:val="single" w:sz="8" w:color="0233A1"/>
            </w:tcBorders>
          </w:tcPr>
          <w:p>
            <w:pPr>
              <w:ind w:left="60"/>
              <w:spacing w:after="0"/>
              <w:rPr>
                <w:sz w:val="20"/>
                <w:szCs w:val="20"/>
                <w:color w:val="auto"/>
              </w:rPr>
            </w:pPr>
            <w:r>
              <w:rPr>
                <w:rFonts w:ascii="Arial" w:cs="Arial" w:eastAsia="Arial" w:hAnsi="Arial"/>
                <w:sz w:val="14"/>
                <w:szCs w:val="14"/>
                <w:b w:val="1"/>
                <w:bCs w:val="1"/>
                <w:color w:val="0233A1"/>
              </w:rPr>
              <w:t>Fair Value of Equity Awards for Non-CEO NEOs</w:t>
            </w:r>
          </w:p>
        </w:tc>
        <w:tc>
          <w:tcPr>
            <w:tcW w:w="3400" w:type="dxa"/>
            <w:vAlign w:val="bottom"/>
            <w:tcBorders>
              <w:bottom w:val="single" w:sz="8" w:color="0233A1"/>
            </w:tcBorders>
          </w:tcPr>
          <w:p>
            <w:pPr>
              <w:jc w:val="right"/>
              <w:spacing w:after="0"/>
              <w:rPr>
                <w:sz w:val="20"/>
                <w:szCs w:val="20"/>
                <w:color w:val="auto"/>
              </w:rPr>
            </w:pPr>
            <w:r>
              <w:rPr>
                <w:rFonts w:ascii="Arial" w:cs="Arial" w:eastAsia="Arial" w:hAnsi="Arial"/>
                <w:sz w:val="14"/>
                <w:szCs w:val="14"/>
                <w:b w:val="1"/>
                <w:bCs w:val="1"/>
                <w:color w:val="0233A1"/>
              </w:rPr>
              <w:t>($)</w:t>
            </w:r>
          </w:p>
        </w:tc>
      </w:tr>
      <w:tr>
        <w:trPr>
          <w:trHeight w:val="160"/>
        </w:trPr>
        <w:tc>
          <w:tcPr>
            <w:tcW w:w="660" w:type="dxa"/>
            <w:vAlign w:val="bottom"/>
          </w:tcPr>
          <w:p>
            <w:pPr>
              <w:spacing w:after="0"/>
              <w:rPr>
                <w:sz w:val="13"/>
                <w:szCs w:val="13"/>
                <w:color w:val="auto"/>
              </w:rPr>
            </w:pPr>
          </w:p>
        </w:tc>
        <w:tc>
          <w:tcPr>
            <w:tcW w:w="7180" w:type="dxa"/>
            <w:vAlign w:val="bottom"/>
          </w:tcPr>
          <w:p>
            <w:pPr>
              <w:ind w:left="60"/>
              <w:spacing w:after="0" w:line="160" w:lineRule="exact"/>
              <w:rPr>
                <w:sz w:val="20"/>
                <w:szCs w:val="20"/>
                <w:color w:val="auto"/>
              </w:rPr>
            </w:pPr>
            <w:r>
              <w:rPr>
                <w:rFonts w:ascii="Arial" w:cs="Arial" w:eastAsia="Arial" w:hAnsi="Arial"/>
                <w:sz w:val="14"/>
                <w:szCs w:val="14"/>
                <w:color w:val="auto"/>
              </w:rPr>
              <w:t>As of year-end for awards granted during 2023</w:t>
            </w:r>
          </w:p>
        </w:tc>
        <w:tc>
          <w:tcPr>
            <w:tcW w:w="3400" w:type="dxa"/>
            <w:vAlign w:val="bottom"/>
          </w:tcPr>
          <w:p>
            <w:pPr>
              <w:jc w:val="right"/>
              <w:spacing w:after="0" w:line="160" w:lineRule="exact"/>
              <w:rPr>
                <w:sz w:val="20"/>
                <w:szCs w:val="20"/>
                <w:color w:val="auto"/>
              </w:rPr>
            </w:pPr>
            <w:r>
              <w:rPr>
                <w:rFonts w:ascii="Arial" w:cs="Arial" w:eastAsia="Arial" w:hAnsi="Arial"/>
                <w:sz w:val="14"/>
                <w:szCs w:val="14"/>
                <w:color w:val="auto"/>
              </w:rPr>
              <w:t>5,286,005</w:t>
            </w:r>
          </w:p>
        </w:tc>
      </w:tr>
      <w:tr>
        <w:trPr>
          <w:trHeight w:val="176"/>
        </w:trPr>
        <w:tc>
          <w:tcPr>
            <w:tcW w:w="660" w:type="dxa"/>
            <w:vAlign w:val="bottom"/>
          </w:tcPr>
          <w:p>
            <w:pPr>
              <w:spacing w:after="0"/>
              <w:rPr>
                <w:sz w:val="15"/>
                <w:szCs w:val="15"/>
                <w:color w:val="auto"/>
              </w:rPr>
            </w:pPr>
          </w:p>
        </w:tc>
        <w:tc>
          <w:tcPr>
            <w:tcW w:w="7180" w:type="dxa"/>
            <w:vAlign w:val="bottom"/>
          </w:tcPr>
          <w:p>
            <w:pPr>
              <w:ind w:left="60"/>
              <w:spacing w:after="0"/>
              <w:rPr>
                <w:sz w:val="20"/>
                <w:szCs w:val="20"/>
                <w:color w:val="auto"/>
              </w:rPr>
            </w:pPr>
            <w:r>
              <w:rPr>
                <w:rFonts w:ascii="Arial" w:cs="Arial" w:eastAsia="Arial" w:hAnsi="Arial"/>
                <w:sz w:val="14"/>
                <w:szCs w:val="14"/>
                <w:color w:val="auto"/>
              </w:rPr>
              <w:t>Year-over-year increase of unvested awards granted in prior years</w:t>
            </w:r>
          </w:p>
        </w:tc>
        <w:tc>
          <w:tcPr>
            <w:tcW w:w="3400" w:type="dxa"/>
            <w:vAlign w:val="bottom"/>
          </w:tcPr>
          <w:p>
            <w:pPr>
              <w:jc w:val="right"/>
              <w:spacing w:after="0"/>
              <w:rPr>
                <w:sz w:val="20"/>
                <w:szCs w:val="20"/>
                <w:color w:val="auto"/>
              </w:rPr>
            </w:pPr>
            <w:r>
              <w:rPr>
                <w:rFonts w:ascii="Arial" w:cs="Arial" w:eastAsia="Arial" w:hAnsi="Arial"/>
                <w:sz w:val="14"/>
                <w:szCs w:val="14"/>
                <w:color w:val="auto"/>
              </w:rPr>
              <w:t>831,292</w:t>
            </w:r>
          </w:p>
        </w:tc>
      </w:tr>
      <w:tr>
        <w:trPr>
          <w:trHeight w:val="171"/>
        </w:trPr>
        <w:tc>
          <w:tcPr>
            <w:tcW w:w="660" w:type="dxa"/>
            <w:vAlign w:val="bottom"/>
          </w:tcPr>
          <w:p>
            <w:pPr>
              <w:spacing w:after="0"/>
              <w:rPr>
                <w:sz w:val="14"/>
                <w:szCs w:val="14"/>
                <w:color w:val="auto"/>
              </w:rPr>
            </w:pPr>
          </w:p>
        </w:tc>
        <w:tc>
          <w:tcPr>
            <w:tcW w:w="7180" w:type="dxa"/>
            <w:vAlign w:val="bottom"/>
            <w:tcBorders>
              <w:bottom w:val="single" w:sz="8" w:color="0233A1"/>
            </w:tcBorders>
          </w:tcPr>
          <w:p>
            <w:pPr>
              <w:ind w:left="60"/>
              <w:spacing w:after="0"/>
              <w:rPr>
                <w:sz w:val="20"/>
                <w:szCs w:val="20"/>
                <w:color w:val="auto"/>
              </w:rPr>
            </w:pPr>
            <w:r>
              <w:rPr>
                <w:rFonts w:ascii="Arial" w:cs="Arial" w:eastAsia="Arial" w:hAnsi="Arial"/>
                <w:sz w:val="14"/>
                <w:szCs w:val="14"/>
                <w:color w:val="auto"/>
              </w:rPr>
              <w:t>Increase from prior fiscal year-end for awards that vested during 2023</w:t>
            </w:r>
          </w:p>
        </w:tc>
        <w:tc>
          <w:tcPr>
            <w:tcW w:w="3400" w:type="dxa"/>
            <w:vAlign w:val="bottom"/>
            <w:tcBorders>
              <w:bottom w:val="single" w:sz="8" w:color="0233A1"/>
            </w:tcBorders>
          </w:tcPr>
          <w:p>
            <w:pPr>
              <w:jc w:val="right"/>
              <w:spacing w:after="0"/>
              <w:rPr>
                <w:sz w:val="20"/>
                <w:szCs w:val="20"/>
                <w:color w:val="auto"/>
              </w:rPr>
            </w:pPr>
            <w:r>
              <w:rPr>
                <w:rFonts w:ascii="Arial" w:cs="Arial" w:eastAsia="Arial" w:hAnsi="Arial"/>
                <w:sz w:val="14"/>
                <w:szCs w:val="14"/>
                <w:color w:val="auto"/>
              </w:rPr>
              <w:t>936,009</w:t>
            </w:r>
          </w:p>
        </w:tc>
      </w:tr>
      <w:tr>
        <w:trPr>
          <w:trHeight w:val="163"/>
        </w:trPr>
        <w:tc>
          <w:tcPr>
            <w:tcW w:w="660" w:type="dxa"/>
            <w:vAlign w:val="bottom"/>
            <w:tcBorders>
              <w:bottom w:val="single" w:sz="8" w:color="EBECEE"/>
            </w:tcBorders>
            <w:shd w:val="clear" w:color="auto" w:fill="EBECEE"/>
          </w:tcPr>
          <w:p>
            <w:pPr>
              <w:spacing w:after="0"/>
              <w:rPr>
                <w:sz w:val="14"/>
                <w:szCs w:val="14"/>
                <w:color w:val="auto"/>
              </w:rPr>
            </w:pPr>
          </w:p>
        </w:tc>
        <w:tc>
          <w:tcPr>
            <w:tcW w:w="7180" w:type="dxa"/>
            <w:vAlign w:val="bottom"/>
            <w:tcBorders>
              <w:bottom w:val="single" w:sz="8" w:color="0233A1"/>
            </w:tcBorders>
            <w:shd w:val="clear" w:color="auto" w:fill="EBECEE"/>
          </w:tcPr>
          <w:p>
            <w:pPr>
              <w:ind w:left="60"/>
              <w:spacing w:after="0" w:line="155" w:lineRule="exact"/>
              <w:rPr>
                <w:sz w:val="20"/>
                <w:szCs w:val="20"/>
                <w:color w:val="auto"/>
              </w:rPr>
            </w:pPr>
            <w:r>
              <w:rPr>
                <w:rFonts w:ascii="Arial" w:cs="Arial" w:eastAsia="Arial" w:hAnsi="Arial"/>
                <w:sz w:val="14"/>
                <w:szCs w:val="14"/>
                <w:b w:val="1"/>
                <w:bCs w:val="1"/>
                <w:color w:val="auto"/>
              </w:rPr>
              <w:t>Total Equity Award Adjustments</w:t>
            </w:r>
          </w:p>
        </w:tc>
        <w:tc>
          <w:tcPr>
            <w:tcW w:w="3400" w:type="dxa"/>
            <w:vAlign w:val="bottom"/>
            <w:tcBorders>
              <w:bottom w:val="single" w:sz="8" w:color="0233A1"/>
            </w:tcBorders>
            <w:shd w:val="clear" w:color="auto" w:fill="EBECEE"/>
          </w:tcPr>
          <w:p>
            <w:pPr>
              <w:jc w:val="right"/>
              <w:spacing w:after="0" w:line="155" w:lineRule="exact"/>
              <w:rPr>
                <w:sz w:val="20"/>
                <w:szCs w:val="20"/>
                <w:color w:val="auto"/>
              </w:rPr>
            </w:pPr>
            <w:r>
              <w:rPr>
                <w:rFonts w:ascii="Arial" w:cs="Arial" w:eastAsia="Arial" w:hAnsi="Arial"/>
                <w:sz w:val="14"/>
                <w:szCs w:val="14"/>
                <w:b w:val="1"/>
                <w:bCs w:val="1"/>
                <w:color w:val="auto"/>
              </w:rPr>
              <w:t>7,053,306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-350520</wp:posOffset>
            </wp:positionV>
            <wp:extent cx="6720840" cy="8255"/>
            <wp:wrapNone/>
            <wp:docPr id="3273" name="Picture 3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3"/>
                    <pic:cNvPicPr>
                      <a:picLocks noChangeAspect="1" noChangeArrowheads="1"/>
                    </pic:cNvPicPr>
                  </pic:nvPicPr>
                  <pic:blipFill>
                    <a:blip r:embed="rId3280">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240030"/>
            <wp:wrapNone/>
            <wp:docPr id="3274" name="Picture 3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4"/>
                    <pic:cNvPicPr>
                      <a:picLocks noChangeAspect="1" noChangeArrowheads="1"/>
                    </pic:cNvPicPr>
                  </pic:nvPicPr>
                  <pic:blipFill>
                    <a:blip r:embed="rId3281">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38" w:lineRule="exact"/>
        <w:rPr>
          <w:sz w:val="20"/>
          <w:szCs w:val="20"/>
          <w:color w:val="auto"/>
        </w:rPr>
      </w:pPr>
    </w:p>
    <w:p>
      <w:pPr>
        <w:ind w:left="660" w:hanging="328"/>
        <w:spacing w:after="0" w:line="281" w:lineRule="auto"/>
        <w:tabs>
          <w:tab w:leader="none" w:pos="6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Represents the average change in 2023 in the actuarial present value of the accumulated benefits to our non-CEO NEOs under all benefit and actuarial pension plans in which they participate, as reported in the “Change in Pension Value &amp; Nonqualified Deferred Compensation Earnings” column in the SCT.</w:t>
      </w:r>
    </w:p>
    <w:p>
      <w:pPr>
        <w:spacing w:after="0" w:line="1" w:lineRule="exact"/>
        <w:rPr>
          <w:rFonts w:ascii="Arial" w:cs="Arial" w:eastAsia="Arial" w:hAnsi="Arial"/>
          <w:sz w:val="14"/>
          <w:szCs w:val="14"/>
          <w:color w:val="auto"/>
        </w:rPr>
      </w:pPr>
    </w:p>
    <w:p>
      <w:pPr>
        <w:ind w:left="660" w:hanging="328"/>
        <w:spacing w:after="0" w:line="262" w:lineRule="auto"/>
        <w:tabs>
          <w:tab w:leader="none" w:pos="6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Represents the actuarially determined service cost for services rendered in 2023 under all benefit and actuarial pension plans in which our non-CEO NEOs participate.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9"/>
          <w:szCs w:val="29"/>
          <w:color w:val="16458B"/>
        </w:rPr>
        <w:t>Pay-for-Performance Alignment</w:t>
      </w:r>
    </w:p>
    <w:p>
      <w:pPr>
        <w:spacing w:after="0" w:line="21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The following table identifies the five most important financial performance measures used by our Compensation Committee to link the “compensation actually paid” (</w:t>
      </w:r>
      <w:r>
        <w:rPr>
          <w:rFonts w:ascii="Arial" w:cs="Arial" w:eastAsia="Arial" w:hAnsi="Arial"/>
          <w:sz w:val="16"/>
          <w:szCs w:val="16"/>
          <w:b w:val="1"/>
          <w:bCs w:val="1"/>
          <w:color w:val="auto"/>
        </w:rPr>
        <w:t>CAP</w:t>
      </w:r>
      <w:r>
        <w:rPr>
          <w:rFonts w:ascii="Arial" w:cs="Arial" w:eastAsia="Arial" w:hAnsi="Arial"/>
          <w:sz w:val="16"/>
          <w:szCs w:val="16"/>
          <w:color w:val="auto"/>
        </w:rPr>
        <w:t>) to our CEO and other NEOs in 2023, calculated in accordance with SEC regulations, to company performance. The role of each of these performance measures on our NEOs’ compensation is discussed in the CD&amp;A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37160"/>
            <wp:wrapNone/>
            <wp:docPr id="3275" name="Picture 3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5"/>
                    <pic:cNvPicPr>
                      <a:picLocks noChangeAspect="1" noChangeArrowheads="1"/>
                    </pic:cNvPicPr>
                  </pic:nvPicPr>
                  <pic:blipFill>
                    <a:blip r:embed="rId328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Financial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3276" name="Picture 3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6"/>
                    <pic:cNvPicPr>
                      <a:picLocks noChangeAspect="1" noChangeArrowheads="1"/>
                    </pic:cNvPicPr>
                  </pic:nvPicPr>
                  <pic:blipFill>
                    <a:blip r:embed="rId32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277" name="Picture 3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7"/>
                    <pic:cNvPicPr>
                      <a:picLocks noChangeAspect="1" noChangeArrowheads="1"/>
                    </pic:cNvPicPr>
                  </pic:nvPicPr>
                  <pic:blipFill>
                    <a:blip r:embed="rId32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3278" name="Picture 3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8"/>
                    <pic:cNvPicPr>
                      <a:picLocks noChangeAspect="1" noChangeArrowheads="1"/>
                    </pic:cNvPicPr>
                  </pic:nvPicPr>
                  <pic:blipFill>
                    <a:blip r:embed="rId32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color w:val="auto"/>
        </w:rPr>
        <w:t>Free Cash Flow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3279" name="Picture 3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9"/>
                    <pic:cNvPicPr>
                      <a:picLocks noChangeAspect="1" noChangeArrowheads="1"/>
                    </pic:cNvPicPr>
                  </pic:nvPicPr>
                  <pic:blipFill>
                    <a:blip r:embed="rId32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color w:val="auto"/>
        </w:rPr>
        <w:t>Return on Capital Employed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3280" name="Picture 3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0"/>
                    <pic:cNvPicPr>
                      <a:picLocks noChangeAspect="1" noChangeArrowheads="1"/>
                    </pic:cNvPicPr>
                  </pic:nvPicPr>
                  <pic:blipFill>
                    <a:blip r:embed="rId32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color w:val="auto"/>
        </w:rPr>
        <w:t>Total Shareholder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7145"/>
            <wp:wrapNone/>
            <wp:docPr id="3281" name="Picture 3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1"/>
                    <pic:cNvPicPr>
                      <a:picLocks noChangeAspect="1" noChangeArrowheads="1"/>
                    </pic:cNvPicPr>
                  </pic:nvPicPr>
                  <pic:blipFill>
                    <a:blip r:embed="rId3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The charts on the following page reflect that the CAP over the four-year period ended December 31, 2023 generally aligns to trends in SLB’s TSR, net income, and adjusted EBITDA results over the same period. In addition, the chart titled “CAP vs. Total Shareholder Return (SLB and OSX)” reflects that SLB’s TSR over this four-year period aligns closely to OSX TSR over the same period. In 2020, the negative CAP for Mr. Le Peuch resulted primarily because he was not granted an LTI award in 2020, and was also impacted by stock price depreciation. In 2021, CAP for our CEO and other NEOs was primarily impacted by SLB’s share price appreciation of 43%. In 2022, CAP for our CEO and other NEOs was primarily impacted by SLB’s share price appreciation of 70%, partially offset by performance of unvested PSUs. For 2023, CAP for our CEO declined primarily because Mr. Le Peuch did not have any stock awards vest in 2023, and CAP for our other NEOs declined primarily as a result of SLB’s share price performance as compared to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184150</wp:posOffset>
            </wp:positionV>
            <wp:extent cx="471805" cy="282575"/>
            <wp:wrapNone/>
            <wp:docPr id="3282" name="Picture 3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2"/>
                    <pic:cNvPicPr>
                      <a:picLocks noChangeAspect="1" noChangeArrowheads="1"/>
                    </pic:cNvPicPr>
                  </pic:nvPicPr>
                  <pic:blipFill>
                    <a:blip r:embed="rId3289">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2024 Proxy Statement</w:t>
            </w:r>
          </w:p>
        </w:tc>
        <w:tc>
          <w:tcPr>
            <w:tcW w:w="3600" w:type="dxa"/>
            <w:vAlign w:val="bottom"/>
            <w:tcBorders>
              <w:bottom w:val="single" w:sz="8" w:color="auto"/>
            </w:tcBorders>
          </w:tcPr>
          <w:p>
            <w:pPr>
              <w:spacing w:after="0"/>
              <w:rPr>
                <w:sz w:val="12"/>
                <w:szCs w:val="12"/>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61</w:t>
            </w:r>
          </w:p>
        </w:tc>
        <w:tc>
          <w:tcPr>
            <w:tcW w:w="4480" w:type="dxa"/>
            <w:vAlign w:val="bottom"/>
            <w:tcBorders>
              <w:bottom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36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48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66" w:name="page67"/>
    <w:bookmarkEnd w:id="66"/>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 vs. Total Shareholder Return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(SLB and OSX)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100330</wp:posOffset>
            </wp:positionV>
            <wp:extent cx="5143500" cy="2751455"/>
            <wp:wrapNone/>
            <wp:docPr id="3283" name="Picture 3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3"/>
                    <pic:cNvPicPr>
                      <a:picLocks noChangeAspect="1" noChangeArrowheads="1"/>
                    </pic:cNvPicPr>
                  </pic:nvPicPr>
                  <pic:blipFill>
                    <a:blip r:embed="rId3290">
                      <a:extLst>
                        <a:ext uri="{28A0092B-C50C-407E-A947-70E740481C1C}"/>
                      </a:extLst>
                    </a:blip>
                    <a:srcRect/>
                    <a:stretch>
                      <a:fillRect/>
                    </a:stretch>
                  </pic:blipFill>
                  <pic:spPr bwMode="auto">
                    <a:xfrm>
                      <a:off x="0" y="0"/>
                      <a:ext cx="5143500" cy="2751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 vs.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111760</wp:posOffset>
            </wp:positionV>
            <wp:extent cx="5143500" cy="2888615"/>
            <wp:wrapNone/>
            <wp:docPr id="3284" name="Picture 3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4"/>
                    <pic:cNvPicPr>
                      <a:picLocks noChangeAspect="1" noChangeArrowheads="1"/>
                    </pic:cNvPicPr>
                  </pic:nvPicPr>
                  <pic:blipFill>
                    <a:blip r:embed="rId3291">
                      <a:extLst>
                        <a:ext uri="{28A0092B-C50C-407E-A947-70E740481C1C}"/>
                      </a:extLst>
                    </a:blip>
                    <a:srcRect/>
                    <a:stretch>
                      <a:fillRect/>
                    </a:stretch>
                  </pic:blipFill>
                  <pic:spPr bwMode="auto">
                    <a:xfrm>
                      <a:off x="0" y="0"/>
                      <a:ext cx="5143500" cy="2888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 vs.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6137910" cy="3377565"/>
            <wp:wrapNone/>
            <wp:docPr id="3285" name="Picture 3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5"/>
                    <pic:cNvPicPr>
                      <a:picLocks noChangeAspect="1" noChangeArrowheads="1"/>
                    </pic:cNvPicPr>
                  </pic:nvPicPr>
                  <pic:blipFill>
                    <a:blip r:embed="rId3292">
                      <a:extLst>
                        <a:ext uri="{28A0092B-C50C-407E-A947-70E740481C1C}"/>
                      </a:extLst>
                    </a:blip>
                    <a:srcRect/>
                    <a:stretch>
                      <a:fillRect/>
                    </a:stretch>
                  </pic:blipFill>
                  <pic:spPr bwMode="auto">
                    <a:xfrm>
                      <a:off x="0" y="0"/>
                      <a:ext cx="6137910" cy="3377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left="5540"/>
        <w:spacing w:after="0"/>
        <w:tabs>
          <w:tab w:leader="none" w:pos="9540" w:val="left"/>
        </w:tabs>
        <w:rPr>
          <w:sz w:val="20"/>
          <w:szCs w:val="20"/>
          <w:color w:val="auto"/>
        </w:rPr>
      </w:pPr>
      <w:r>
        <w:rPr>
          <w:rFonts w:ascii="Arial" w:cs="Arial" w:eastAsia="Arial" w:hAnsi="Arial"/>
          <w:sz w:val="16"/>
          <w:szCs w:val="16"/>
          <w:b w:val="1"/>
          <w:bCs w:val="1"/>
          <w:color w:val="auto"/>
        </w:rPr>
        <w:t>62</w:t>
      </w:r>
      <w:r>
        <w:rPr>
          <w:sz w:val="20"/>
          <w:szCs w:val="20"/>
          <w:color w:val="auto"/>
        </w:rPr>
        <w:tab/>
      </w:r>
      <w:r>
        <w:rPr>
          <w:rFonts w:ascii="Arial" w:cs="Arial" w:eastAsia="Arial" w:hAnsi="Arial"/>
          <w:sz w:val="16"/>
          <w:szCs w:val="16"/>
          <w:b w:val="1"/>
          <w:bCs w:val="1"/>
          <w:color w:val="636466"/>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-29845</wp:posOffset>
            </wp:positionV>
            <wp:extent cx="5417820" cy="17145"/>
            <wp:wrapNone/>
            <wp:docPr id="3286" name="Picture 3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6"/>
                    <pic:cNvPicPr>
                      <a:picLocks noChangeAspect="1" noChangeArrowheads="1"/>
                    </pic:cNvPicPr>
                  </pic:nvPicPr>
                  <pic:blipFill>
                    <a:blip r:embed="rId3293">
                      <a:extLst>
                        <a:ext uri="{28A0092B-C50C-407E-A947-70E740481C1C}"/>
                      </a:extLst>
                    </a:blip>
                    <a:srcRect/>
                    <a:stretch>
                      <a:fillRect/>
                    </a:stretch>
                  </pic:blipFill>
                  <pic:spPr bwMode="auto">
                    <a:xfrm>
                      <a:off x="0" y="0"/>
                      <a:ext cx="5417820" cy="17145"/>
                    </a:xfrm>
                    <a:prstGeom prst="rect">
                      <a:avLst/>
                    </a:prstGeom>
                    <a:noFill/>
                  </pic:spPr>
                </pic:pic>
              </a:graphicData>
            </a:graphic>
          </wp:anchor>
        </w:drawing>
      </w:r>
    </w:p>
    <w:p>
      <w:pPr>
        <w:sectPr>
          <w:pgSz w:w="11900" w:h="16838" w:orient="portrait"/>
          <w:cols w:equalWidth="0" w:num="1">
            <w:col w:w="11240"/>
          </w:cols>
          <w:pgMar w:left="320" w:top="238" w:right="339" w:bottom="0"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34290"/>
            <wp:wrapNone/>
            <wp:docPr id="3287" name="Picture 3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7"/>
                    <pic:cNvPicPr>
                      <a:picLocks noChangeAspect="1" noChangeArrowheads="1"/>
                    </pic:cNvPicPr>
                  </pic:nvPicPr>
                  <pic:blipFill>
                    <a:blip r:embed="rId329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7" w:lineRule="exact"/>
        <w:rPr>
          <w:sz w:val="20"/>
          <w:szCs w:val="20"/>
          <w:color w:val="auto"/>
        </w:rPr>
      </w:pPr>
    </w:p>
    <w:p>
      <w:pPr>
        <w:ind w:left="1980" w:right="840" w:hanging="1979"/>
        <w:spacing w:after="0" w:line="282" w:lineRule="auto"/>
        <w:rPr>
          <w:sz w:val="20"/>
          <w:szCs w:val="20"/>
          <w:color w:val="auto"/>
        </w:rPr>
      </w:pPr>
      <w:r>
        <w:rPr>
          <w:rFonts w:ascii="Arial" w:cs="Arial" w:eastAsia="Arial" w:hAnsi="Arial"/>
          <w:sz w:val="50"/>
          <w:szCs w:val="50"/>
          <w:b w:val="1"/>
          <w:bCs w:val="1"/>
          <w:color w:val="00329F"/>
        </w:rPr>
        <w:t xml:space="preserve">ITEM 3. </w:t>
      </w:r>
      <w:r>
        <w:rPr>
          <w:rFonts w:ascii="Arial" w:cs="Arial" w:eastAsia="Arial" w:hAnsi="Arial"/>
          <w:sz w:val="50"/>
          <w:szCs w:val="50"/>
          <w:color w:val="00329F"/>
        </w:rPr>
        <w:t>Approval of Financial Statements and</w:t>
      </w:r>
      <w:r>
        <w:rPr>
          <w:rFonts w:ascii="Arial" w:cs="Arial" w:eastAsia="Arial" w:hAnsi="Arial"/>
          <w:sz w:val="50"/>
          <w:szCs w:val="50"/>
          <w:b w:val="1"/>
          <w:bCs w:val="1"/>
          <w:color w:val="00329F"/>
        </w:rPr>
        <w:t xml:space="preserve"> </w:t>
      </w:r>
      <w:r>
        <w:rPr>
          <w:rFonts w:ascii="Arial" w:cs="Arial" w:eastAsia="Arial" w:hAnsi="Arial"/>
          <w:sz w:val="50"/>
          <w:szCs w:val="50"/>
          <w:color w:val="00329F"/>
        </w:rPr>
        <w:t>Dividends</w:t>
      </w:r>
    </w:p>
    <w:p>
      <w:pPr>
        <w:spacing w:after="0" w:line="263"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Following completion of the audit procedures performed by PwC, we are asking you to approve the following financial statements that are included in our 2023 Annual Report:</w:t>
      </w:r>
    </w:p>
    <w:p>
      <w:pPr>
        <w:spacing w:after="0" w:line="183" w:lineRule="exact"/>
        <w:rPr>
          <w:sz w:val="20"/>
          <w:szCs w:val="20"/>
          <w:color w:val="auto"/>
        </w:rPr>
      </w:pPr>
    </w:p>
    <w:p>
      <w:pPr>
        <w:ind w:left="500" w:hanging="168"/>
        <w:spacing w:after="0"/>
        <w:tabs>
          <w:tab w:leader="none" w:pos="500" w:val="left"/>
        </w:tabs>
        <w:numPr>
          <w:ilvl w:val="0"/>
          <w:numId w:val="60"/>
        </w:numPr>
        <w:rPr>
          <w:rFonts w:ascii="Arial" w:cs="Arial" w:eastAsia="Arial" w:hAnsi="Arial"/>
          <w:sz w:val="16"/>
          <w:szCs w:val="16"/>
          <w:b w:val="1"/>
          <w:bCs w:val="1"/>
          <w:color w:val="00329F"/>
        </w:rPr>
      </w:pPr>
      <w:r>
        <w:rPr>
          <w:rFonts w:ascii="Arial" w:cs="Arial" w:eastAsia="Arial" w:hAnsi="Arial"/>
          <w:sz w:val="16"/>
          <w:szCs w:val="16"/>
          <w:color w:val="auto"/>
        </w:rPr>
        <w:t>our consolidated balance sheet at December 31, 2023;</w:t>
      </w:r>
    </w:p>
    <w:p>
      <w:pPr>
        <w:spacing w:after="0" w:line="140" w:lineRule="exact"/>
        <w:rPr>
          <w:rFonts w:ascii="Arial" w:cs="Arial" w:eastAsia="Arial" w:hAnsi="Arial"/>
          <w:sz w:val="16"/>
          <w:szCs w:val="16"/>
          <w:b w:val="1"/>
          <w:bCs w:val="1"/>
          <w:color w:val="00329F"/>
        </w:rPr>
      </w:pPr>
    </w:p>
    <w:p>
      <w:pPr>
        <w:ind w:left="500" w:hanging="168"/>
        <w:spacing w:after="0"/>
        <w:tabs>
          <w:tab w:leader="none" w:pos="500" w:val="left"/>
        </w:tabs>
        <w:numPr>
          <w:ilvl w:val="0"/>
          <w:numId w:val="60"/>
        </w:numPr>
        <w:rPr>
          <w:rFonts w:ascii="Arial" w:cs="Arial" w:eastAsia="Arial" w:hAnsi="Arial"/>
          <w:sz w:val="16"/>
          <w:szCs w:val="16"/>
          <w:b w:val="1"/>
          <w:bCs w:val="1"/>
          <w:color w:val="00329F"/>
        </w:rPr>
      </w:pPr>
      <w:r>
        <w:rPr>
          <w:rFonts w:ascii="Arial" w:cs="Arial" w:eastAsia="Arial" w:hAnsi="Arial"/>
          <w:sz w:val="16"/>
          <w:szCs w:val="16"/>
          <w:color w:val="auto"/>
        </w:rPr>
        <w:t>our consolidated statement of income for the year ended December 31, 2023; and</w:t>
      </w:r>
    </w:p>
    <w:p>
      <w:pPr>
        <w:spacing w:after="0" w:line="140" w:lineRule="exact"/>
        <w:rPr>
          <w:rFonts w:ascii="Arial" w:cs="Arial" w:eastAsia="Arial" w:hAnsi="Arial"/>
          <w:sz w:val="16"/>
          <w:szCs w:val="16"/>
          <w:b w:val="1"/>
          <w:bCs w:val="1"/>
          <w:color w:val="00329F"/>
        </w:rPr>
      </w:pPr>
    </w:p>
    <w:p>
      <w:pPr>
        <w:ind w:left="500" w:hanging="168"/>
        <w:spacing w:after="0"/>
        <w:tabs>
          <w:tab w:leader="none" w:pos="500" w:val="left"/>
        </w:tabs>
        <w:numPr>
          <w:ilvl w:val="0"/>
          <w:numId w:val="60"/>
        </w:numPr>
        <w:rPr>
          <w:rFonts w:ascii="Arial" w:cs="Arial" w:eastAsia="Arial" w:hAnsi="Arial"/>
          <w:sz w:val="16"/>
          <w:szCs w:val="16"/>
          <w:b w:val="1"/>
          <w:bCs w:val="1"/>
          <w:color w:val="00329F"/>
        </w:rPr>
      </w:pPr>
      <w:r>
        <w:rPr>
          <w:rFonts w:ascii="Arial" w:cs="Arial" w:eastAsia="Arial" w:hAnsi="Arial"/>
          <w:sz w:val="16"/>
          <w:szCs w:val="16"/>
          <w:color w:val="auto"/>
        </w:rPr>
        <w:t>the declarations of dividends by our Board in 2023.</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You should refer to our 2023 Annual Report in considering this agenda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386080"/>
            <wp:wrapNone/>
            <wp:docPr id="3288" name="Picture 3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8"/>
                    <pic:cNvPicPr>
                      <a:picLocks noChangeAspect="1" noChangeArrowheads="1"/>
                    </pic:cNvPicPr>
                  </pic:nvPicPr>
                  <pic:blipFill>
                    <a:blip r:embed="rId3295">
                      <a:extLst>
                        <a:ext uri="{28A0092B-C50C-407E-A947-70E740481C1C}"/>
                      </a:extLst>
                    </a:blip>
                    <a:srcRect/>
                    <a:stretch>
                      <a:fillRect/>
                    </a:stretch>
                  </pic:blipFill>
                  <pic:spPr bwMode="auto">
                    <a:xfrm>
                      <a:off x="0" y="0"/>
                      <a:ext cx="7132320" cy="386080"/>
                    </a:xfrm>
                    <a:prstGeom prst="rect">
                      <a:avLst/>
                    </a:prstGeom>
                    <a:noFill/>
                  </pic:spPr>
                </pic:pic>
              </a:graphicData>
            </a:graphic>
          </wp:anchor>
        </w:drawing>
      </w:r>
    </w:p>
    <w:p>
      <w:pPr>
        <w:spacing w:after="0" w:line="216" w:lineRule="exact"/>
        <w:rPr>
          <w:sz w:val="20"/>
          <w:szCs w:val="20"/>
          <w:color w:val="auto"/>
        </w:rPr>
      </w:pPr>
    </w:p>
    <w:p>
      <w:pPr>
        <w:ind w:left="160"/>
        <w:spacing w:after="0"/>
        <w:rPr>
          <w:sz w:val="20"/>
          <w:szCs w:val="20"/>
          <w:color w:val="auto"/>
        </w:rPr>
      </w:pPr>
      <w:r>
        <w:rPr>
          <w:sz w:val="1"/>
          <w:szCs w:val="1"/>
          <w:color w:val="auto"/>
        </w:rPr>
        <w:drawing>
          <wp:inline distT="0" distB="0" distL="0" distR="0">
            <wp:extent cx="248285" cy="248285"/>
            <wp:effectExtent l="0" t="0" r="0" b="0"/>
            <wp:docPr id="3289" name="Picture 3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9"/>
                    <pic:cNvPicPr>
                      <a:picLocks noChangeAspect="1" noChangeArrowheads="1"/>
                    </pic:cNvPicPr>
                  </pic:nvPicPr>
                  <pic:blipFill>
                    <a:blip r:embed="rId3296">
                      <a:extLst>
                        <a:ext uri="{28A0092B-C50C-407E-A947-70E740481C1C}"/>
                      </a:extLst>
                    </a:blip>
                    <a:srcRect/>
                    <a:stretch>
                      <a:fillRect/>
                    </a:stretch>
                  </pic:blipFill>
                  <pic:spPr bwMode="auto">
                    <a:xfrm>
                      <a:off x="0" y="0"/>
                      <a:ext cx="248285" cy="248285"/>
                    </a:xfrm>
                    <a:prstGeom prst="rect">
                      <a:avLst/>
                    </a:prstGeom>
                    <a:noFill/>
                    <a:ln>
                      <a:noFill/>
                    </a:ln>
                  </pic:spPr>
                </pic:pic>
              </a:graphicData>
            </a:graphic>
          </wp:inline>
        </w:drawing>
      </w:r>
      <w:r>
        <w:rPr>
          <w:rFonts w:ascii="Arial" w:cs="Arial" w:eastAsia="Arial" w:hAnsi="Arial"/>
          <w:sz w:val="25"/>
          <w:szCs w:val="25"/>
          <w:color w:val="FFFFFF"/>
        </w:rPr>
        <w:t xml:space="preserve"> The Board of Directors recommends a vote </w:t>
      </w:r>
      <w:r>
        <w:rPr>
          <w:rFonts w:ascii="Arial" w:cs="Arial" w:eastAsia="Arial" w:hAnsi="Arial"/>
          <w:sz w:val="25"/>
          <w:szCs w:val="25"/>
          <w:b w:val="1"/>
          <w:bCs w:val="1"/>
          <w:color w:val="FFFFFF"/>
        </w:rPr>
        <w:t>FOR</w:t>
      </w:r>
      <w:r>
        <w:rPr>
          <w:rFonts w:ascii="Arial" w:cs="Arial" w:eastAsia="Arial" w:hAnsi="Arial"/>
          <w:sz w:val="25"/>
          <w:szCs w:val="25"/>
          <w:color w:val="FFFFFF"/>
        </w:rPr>
        <w:t xml:space="preserve"> this Item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291465</wp:posOffset>
            </wp:positionV>
            <wp:extent cx="471805" cy="283210"/>
            <wp:wrapNone/>
            <wp:docPr id="3290" name="Picture 3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0"/>
                    <pic:cNvPicPr>
                      <a:picLocks noChangeAspect="1" noChangeArrowheads="1"/>
                    </pic:cNvPicPr>
                  </pic:nvPicPr>
                  <pic:blipFill>
                    <a:blip r:embed="rId3297">
                      <a:extLst>
                        <a:ext uri="{28A0092B-C50C-407E-A947-70E740481C1C}"/>
                      </a:extLst>
                    </a:blip>
                    <a:srcRect/>
                    <a:stretch>
                      <a:fillRect/>
                    </a:stretch>
                  </pic:blipFill>
                  <pic:spPr bwMode="auto">
                    <a:xfrm>
                      <a:off x="0" y="0"/>
                      <a:ext cx="471805" cy="28321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2024 Proxy Statement</w:t>
            </w:r>
          </w:p>
        </w:tc>
        <w:tc>
          <w:tcPr>
            <w:tcW w:w="3600" w:type="dxa"/>
            <w:vAlign w:val="bottom"/>
            <w:tcBorders>
              <w:bottom w:val="single" w:sz="8" w:color="auto"/>
            </w:tcBorders>
          </w:tcPr>
          <w:p>
            <w:pPr>
              <w:spacing w:after="0"/>
              <w:rPr>
                <w:sz w:val="12"/>
                <w:szCs w:val="12"/>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63</w:t>
            </w:r>
          </w:p>
        </w:tc>
        <w:tc>
          <w:tcPr>
            <w:tcW w:w="4480" w:type="dxa"/>
            <w:vAlign w:val="bottom"/>
            <w:tcBorders>
              <w:bottom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36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48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69" w:name="page70"/>
    <w:bookmarkEnd w:id="69"/>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7" w:lineRule="exact"/>
        <w:rPr>
          <w:sz w:val="20"/>
          <w:szCs w:val="20"/>
          <w:color w:val="auto"/>
        </w:rPr>
      </w:pPr>
    </w:p>
    <w:p>
      <w:pPr>
        <w:jc w:val="right"/>
        <w:ind w:right="2420"/>
        <w:spacing w:after="0" w:line="282" w:lineRule="auto"/>
        <w:rPr>
          <w:sz w:val="20"/>
          <w:szCs w:val="20"/>
          <w:color w:val="auto"/>
        </w:rPr>
      </w:pPr>
      <w:r>
        <w:rPr>
          <w:rFonts w:ascii="Arial" w:cs="Arial" w:eastAsia="Arial" w:hAnsi="Arial"/>
          <w:sz w:val="50"/>
          <w:szCs w:val="50"/>
          <w:b w:val="1"/>
          <w:bCs w:val="1"/>
          <w:color w:val="00329F"/>
        </w:rPr>
        <w:t xml:space="preserve">ITEM 4. </w:t>
      </w:r>
      <w:r>
        <w:rPr>
          <w:rFonts w:ascii="Arial" w:cs="Arial" w:eastAsia="Arial" w:hAnsi="Arial"/>
          <w:sz w:val="50"/>
          <w:szCs w:val="50"/>
          <w:color w:val="00329F"/>
        </w:rPr>
        <w:t>Ratification of Appointment of</w:t>
      </w:r>
      <w:r>
        <w:rPr>
          <w:rFonts w:ascii="Arial" w:cs="Arial" w:eastAsia="Arial" w:hAnsi="Arial"/>
          <w:sz w:val="50"/>
          <w:szCs w:val="50"/>
          <w:b w:val="1"/>
          <w:bCs w:val="1"/>
          <w:color w:val="00329F"/>
        </w:rPr>
        <w:t xml:space="preserve"> </w:t>
      </w:r>
      <w:r>
        <w:rPr>
          <w:rFonts w:ascii="Arial" w:cs="Arial" w:eastAsia="Arial" w:hAnsi="Arial"/>
          <w:sz w:val="50"/>
          <w:szCs w:val="50"/>
          <w:color w:val="00329F"/>
        </w:rPr>
        <w:t>Independent Auditors for 2024</w:t>
      </w:r>
    </w:p>
    <w:p>
      <w:pPr>
        <w:spacing w:after="0" w:line="26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PwC has been selected by our Audit Committee as the independent registered public accounting firm to audit SLB’s annual financial statements for the year ending December 31, 2024. Although ratification is not required by our bylaws or otherwise, as a matter of good corporate governance, we are asking you to ratify, on an advisory basis, the appointment of PwC as our independent auditor for the year ending December 31, 2024. If the appointment is not ratified, the Audit Committee will consider whether it is appropriate to select another independent registered public accounting firm.</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representative of PwC is expected to attend our 2024 AGM, and will be available to respond to appropriate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386080"/>
            <wp:wrapNone/>
            <wp:docPr id="3291" name="Picture 3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1"/>
                    <pic:cNvPicPr>
                      <a:picLocks noChangeAspect="1" noChangeArrowheads="1"/>
                    </pic:cNvPicPr>
                  </pic:nvPicPr>
                  <pic:blipFill>
                    <a:blip r:embed="rId3298">
                      <a:extLst>
                        <a:ext uri="{28A0092B-C50C-407E-A947-70E740481C1C}"/>
                      </a:extLst>
                    </a:blip>
                    <a:srcRect/>
                    <a:stretch>
                      <a:fillRect/>
                    </a:stretch>
                  </pic:blipFill>
                  <pic:spPr bwMode="auto">
                    <a:xfrm>
                      <a:off x="0" y="0"/>
                      <a:ext cx="7132320" cy="386080"/>
                    </a:xfrm>
                    <a:prstGeom prst="rect">
                      <a:avLst/>
                    </a:prstGeom>
                    <a:noFill/>
                  </pic:spPr>
                </pic:pic>
              </a:graphicData>
            </a:graphic>
          </wp:anchor>
        </w:drawing>
      </w:r>
    </w:p>
    <w:p>
      <w:pPr>
        <w:spacing w:after="0" w:line="230" w:lineRule="exact"/>
        <w:rPr>
          <w:sz w:val="20"/>
          <w:szCs w:val="20"/>
          <w:color w:val="auto"/>
        </w:rPr>
      </w:pPr>
    </w:p>
    <w:p>
      <w:pPr>
        <w:ind w:left="160"/>
        <w:spacing w:after="0"/>
        <w:rPr>
          <w:sz w:val="20"/>
          <w:szCs w:val="20"/>
          <w:color w:val="auto"/>
        </w:rPr>
      </w:pPr>
      <w:r>
        <w:rPr>
          <w:sz w:val="1"/>
          <w:szCs w:val="1"/>
          <w:color w:val="auto"/>
        </w:rPr>
        <w:drawing>
          <wp:inline distT="0" distB="0" distL="0" distR="0">
            <wp:extent cx="248285" cy="248285"/>
            <wp:effectExtent l="0" t="0" r="0" b="0"/>
            <wp:docPr id="3292" name="Picture 3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2"/>
                    <pic:cNvPicPr>
                      <a:picLocks noChangeAspect="1" noChangeArrowheads="1"/>
                    </pic:cNvPicPr>
                  </pic:nvPicPr>
                  <pic:blipFill>
                    <a:blip r:embed="rId3299">
                      <a:extLst>
                        <a:ext uri="{28A0092B-C50C-407E-A947-70E740481C1C}"/>
                      </a:extLst>
                    </a:blip>
                    <a:srcRect/>
                    <a:stretch>
                      <a:fillRect/>
                    </a:stretch>
                  </pic:blipFill>
                  <pic:spPr bwMode="auto">
                    <a:xfrm>
                      <a:off x="0" y="0"/>
                      <a:ext cx="248285" cy="248285"/>
                    </a:xfrm>
                    <a:prstGeom prst="rect">
                      <a:avLst/>
                    </a:prstGeom>
                    <a:noFill/>
                    <a:ln>
                      <a:noFill/>
                    </a:ln>
                  </pic:spPr>
                </pic:pic>
              </a:graphicData>
            </a:graphic>
          </wp:inline>
        </w:drawing>
      </w:r>
      <w:r>
        <w:rPr>
          <w:rFonts w:ascii="Arial" w:cs="Arial" w:eastAsia="Arial" w:hAnsi="Arial"/>
          <w:sz w:val="25"/>
          <w:szCs w:val="25"/>
          <w:color w:val="FFFFFF"/>
        </w:rPr>
        <w:t xml:space="preserve"> The Board of Directors recommends a vote </w:t>
      </w:r>
      <w:r>
        <w:rPr>
          <w:rFonts w:ascii="Arial" w:cs="Arial" w:eastAsia="Arial" w:hAnsi="Arial"/>
          <w:sz w:val="25"/>
          <w:szCs w:val="25"/>
          <w:b w:val="1"/>
          <w:bCs w:val="1"/>
          <w:color w:val="FFFFFF"/>
        </w:rPr>
        <w:t>FOR</w:t>
      </w:r>
      <w:r>
        <w:rPr>
          <w:rFonts w:ascii="Arial" w:cs="Arial" w:eastAsia="Arial" w:hAnsi="Arial"/>
          <w:sz w:val="25"/>
          <w:szCs w:val="25"/>
          <w:color w:val="FFFFFF"/>
        </w:rPr>
        <w:t xml:space="preserve"> this Item 4.</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5"/>
          <w:szCs w:val="25"/>
          <w:color w:val="00329F"/>
        </w:rPr>
        <w:t>Fees Paid to PwC</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PwC has billed SLB the fees set forth in the table below for</w:t>
      </w:r>
    </w:p>
    <w:p>
      <w:pPr>
        <w:spacing w:after="0" w:line="208" w:lineRule="exact"/>
        <w:rPr>
          <w:sz w:val="20"/>
          <w:szCs w:val="20"/>
          <w:color w:val="auto"/>
        </w:rPr>
      </w:pPr>
    </w:p>
    <w:p>
      <w:pPr>
        <w:ind w:left="500" w:hanging="168"/>
        <w:spacing w:after="0"/>
        <w:tabs>
          <w:tab w:leader="none" w:pos="500" w:val="left"/>
        </w:tabs>
        <w:numPr>
          <w:ilvl w:val="0"/>
          <w:numId w:val="61"/>
        </w:numPr>
        <w:rPr>
          <w:rFonts w:ascii="Arial" w:cs="Arial" w:eastAsia="Arial" w:hAnsi="Arial"/>
          <w:sz w:val="16"/>
          <w:szCs w:val="16"/>
          <w:b w:val="1"/>
          <w:bCs w:val="1"/>
          <w:color w:val="00329F"/>
        </w:rPr>
      </w:pPr>
      <w:r>
        <w:rPr>
          <w:rFonts w:ascii="Arial" w:cs="Arial" w:eastAsia="Arial" w:hAnsi="Arial"/>
          <w:sz w:val="16"/>
          <w:szCs w:val="16"/>
          <w:color w:val="auto"/>
        </w:rPr>
        <w:t>the audit of SLB’s 2023 and 2022 annual financial statements and reviews of SLB’s quarterly financial statements and other audit services, and</w:t>
      </w:r>
    </w:p>
    <w:p>
      <w:pPr>
        <w:spacing w:after="0" w:line="99" w:lineRule="exact"/>
        <w:rPr>
          <w:rFonts w:ascii="Arial" w:cs="Arial" w:eastAsia="Arial" w:hAnsi="Arial"/>
          <w:sz w:val="16"/>
          <w:szCs w:val="16"/>
          <w:b w:val="1"/>
          <w:bCs w:val="1"/>
          <w:color w:val="00329F"/>
        </w:rPr>
      </w:pPr>
    </w:p>
    <w:p>
      <w:pPr>
        <w:ind w:left="500" w:hanging="168"/>
        <w:spacing w:after="0"/>
        <w:tabs>
          <w:tab w:leader="none" w:pos="500" w:val="left"/>
        </w:tabs>
        <w:numPr>
          <w:ilvl w:val="0"/>
          <w:numId w:val="61"/>
        </w:numPr>
        <w:rPr>
          <w:rFonts w:ascii="Arial" w:cs="Arial" w:eastAsia="Arial" w:hAnsi="Arial"/>
          <w:sz w:val="16"/>
          <w:szCs w:val="16"/>
          <w:b w:val="1"/>
          <w:bCs w:val="1"/>
          <w:color w:val="00329F"/>
        </w:rPr>
      </w:pPr>
      <w:r>
        <w:rPr>
          <w:rFonts w:ascii="Arial" w:cs="Arial" w:eastAsia="Arial" w:hAnsi="Arial"/>
          <w:sz w:val="16"/>
          <w:szCs w:val="16"/>
          <w:color w:val="auto"/>
        </w:rPr>
        <w:t>the other services described below that were billed in 2023 and 2022.</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780" w:type="dxa"/>
            <w:vAlign w:val="bottom"/>
            <w:vMerge w:val="restart"/>
          </w:tcPr>
          <w:p>
            <w:pPr>
              <w:ind w:left="60"/>
              <w:spacing w:after="0"/>
              <w:rPr>
                <w:sz w:val="20"/>
                <w:szCs w:val="20"/>
                <w:color w:val="auto"/>
              </w:rPr>
            </w:pPr>
            <w:r>
              <w:rPr>
                <w:rFonts w:ascii="Arial" w:cs="Arial" w:eastAsia="Arial" w:hAnsi="Arial"/>
                <w:sz w:val="16"/>
                <w:szCs w:val="16"/>
                <w:b w:val="1"/>
                <w:bCs w:val="1"/>
                <w:color w:val="00329F"/>
              </w:rPr>
              <w:t>(Stated in thousands)</w:t>
            </w:r>
          </w:p>
        </w:tc>
        <w:tc>
          <w:tcPr>
            <w:tcW w:w="240" w:type="dxa"/>
            <w:vAlign w:val="bottom"/>
            <w:tcBorders>
              <w:bottom w:val="single" w:sz="8" w:color="0233A1"/>
            </w:tcBorders>
          </w:tcPr>
          <w:p>
            <w:pPr>
              <w:spacing w:after="0"/>
              <w:rPr>
                <w:sz w:val="17"/>
                <w:szCs w:val="17"/>
                <w:color w:val="auto"/>
              </w:rPr>
            </w:pPr>
          </w:p>
        </w:tc>
        <w:tc>
          <w:tcPr>
            <w:tcW w:w="2220" w:type="dxa"/>
            <w:vAlign w:val="bottom"/>
            <w:tcBorders>
              <w:bottom w:val="single" w:sz="8" w:color="0233A1"/>
            </w:tcBorders>
            <w:gridSpan w:val="3"/>
          </w:tcPr>
          <w:p>
            <w:pPr>
              <w:jc w:val="right"/>
              <w:ind w:right="19"/>
              <w:spacing w:after="0"/>
              <w:rPr>
                <w:sz w:val="20"/>
                <w:szCs w:val="20"/>
                <w:color w:val="auto"/>
              </w:rPr>
            </w:pPr>
            <w:r>
              <w:rPr>
                <w:rFonts w:ascii="Arial" w:cs="Arial" w:eastAsia="Arial" w:hAnsi="Arial"/>
                <w:sz w:val="16"/>
                <w:szCs w:val="16"/>
                <w:b w:val="1"/>
                <w:bCs w:val="1"/>
                <w:color w:val="00329F"/>
              </w:rPr>
              <w:t>Year Ended December 31,</w:t>
            </w:r>
          </w:p>
        </w:tc>
        <w:tc>
          <w:tcPr>
            <w:tcW w:w="0" w:type="dxa"/>
            <w:vAlign w:val="bottom"/>
          </w:tcPr>
          <w:p>
            <w:pPr>
              <w:spacing w:after="0"/>
              <w:rPr>
                <w:sz w:val="1"/>
                <w:szCs w:val="1"/>
                <w:color w:val="auto"/>
              </w:rPr>
            </w:pPr>
          </w:p>
        </w:tc>
      </w:tr>
      <w:tr>
        <w:trPr>
          <w:trHeight w:val="183"/>
        </w:trPr>
        <w:tc>
          <w:tcPr>
            <w:tcW w:w="8780" w:type="dxa"/>
            <w:vAlign w:val="bottom"/>
            <w:tcBorders>
              <w:bottom w:val="single" w:sz="8" w:color="0233A1"/>
            </w:tcBorders>
            <w:vMerge w:val="continue"/>
          </w:tcPr>
          <w:p>
            <w:pPr>
              <w:spacing w:after="0"/>
              <w:rPr>
                <w:sz w:val="15"/>
                <w:szCs w:val="15"/>
                <w:color w:val="auto"/>
              </w:rPr>
            </w:pPr>
          </w:p>
        </w:tc>
        <w:tc>
          <w:tcPr>
            <w:tcW w:w="240" w:type="dxa"/>
            <w:vAlign w:val="bottom"/>
            <w:tcBorders>
              <w:bottom w:val="single" w:sz="8" w:color="0233A1"/>
            </w:tcBorders>
          </w:tcPr>
          <w:p>
            <w:pPr>
              <w:spacing w:after="0"/>
              <w:rPr>
                <w:sz w:val="15"/>
                <w:szCs w:val="15"/>
                <w:color w:val="auto"/>
              </w:rPr>
            </w:pPr>
          </w:p>
        </w:tc>
        <w:tc>
          <w:tcPr>
            <w:tcW w:w="780" w:type="dxa"/>
            <w:vAlign w:val="bottom"/>
            <w:tcBorders>
              <w:bottom w:val="single" w:sz="8" w:color="0233A1"/>
            </w:tcBorders>
          </w:tcPr>
          <w:p>
            <w:pPr>
              <w:jc w:val="right"/>
              <w:ind w:right="39"/>
              <w:spacing w:after="0" w:line="183" w:lineRule="exact"/>
              <w:rPr>
                <w:sz w:val="20"/>
                <w:szCs w:val="20"/>
                <w:color w:val="auto"/>
              </w:rPr>
            </w:pPr>
            <w:r>
              <w:rPr>
                <w:rFonts w:ascii="Arial" w:cs="Arial" w:eastAsia="Arial" w:hAnsi="Arial"/>
                <w:sz w:val="16"/>
                <w:szCs w:val="16"/>
                <w:b w:val="1"/>
                <w:bCs w:val="1"/>
                <w:color w:val="00329F"/>
              </w:rPr>
              <w:t>2023</w:t>
            </w:r>
          </w:p>
        </w:tc>
        <w:tc>
          <w:tcPr>
            <w:tcW w:w="520" w:type="dxa"/>
            <w:vAlign w:val="bottom"/>
            <w:tcBorders>
              <w:bottom w:val="single" w:sz="8" w:color="0233A1"/>
            </w:tcBorders>
          </w:tcPr>
          <w:p>
            <w:pPr>
              <w:spacing w:after="0"/>
              <w:rPr>
                <w:sz w:val="15"/>
                <w:szCs w:val="15"/>
                <w:color w:val="auto"/>
              </w:rPr>
            </w:pPr>
          </w:p>
        </w:tc>
        <w:tc>
          <w:tcPr>
            <w:tcW w:w="920" w:type="dxa"/>
            <w:vAlign w:val="bottom"/>
            <w:tcBorders>
              <w:bottom w:val="single" w:sz="8" w:color="0233A1"/>
            </w:tcBorders>
          </w:tcPr>
          <w:p>
            <w:pPr>
              <w:jc w:val="right"/>
              <w:ind w:right="19"/>
              <w:spacing w:after="0" w:line="183" w:lineRule="exact"/>
              <w:rPr>
                <w:sz w:val="20"/>
                <w:szCs w:val="20"/>
                <w:color w:val="auto"/>
              </w:rPr>
            </w:pPr>
            <w:r>
              <w:rPr>
                <w:rFonts w:ascii="Arial" w:cs="Arial" w:eastAsia="Arial" w:hAnsi="Arial"/>
                <w:sz w:val="16"/>
                <w:szCs w:val="16"/>
                <w:color w:val="00329F"/>
              </w:rPr>
              <w:t>2022</w:t>
            </w:r>
          </w:p>
        </w:tc>
        <w:tc>
          <w:tcPr>
            <w:tcW w:w="0" w:type="dxa"/>
            <w:vAlign w:val="bottom"/>
          </w:tcPr>
          <w:p>
            <w:pPr>
              <w:spacing w:after="0"/>
              <w:rPr>
                <w:sz w:val="1"/>
                <w:szCs w:val="1"/>
                <w:color w:val="auto"/>
              </w:rPr>
            </w:pPr>
          </w:p>
        </w:tc>
      </w:tr>
      <w:tr>
        <w:trPr>
          <w:trHeight w:val="224"/>
        </w:trPr>
        <w:tc>
          <w:tcPr>
            <w:tcW w:w="8780" w:type="dxa"/>
            <w:vAlign w:val="bottom"/>
          </w:tcPr>
          <w:p>
            <w:pPr>
              <w:ind w:left="60"/>
              <w:spacing w:after="0" w:line="223" w:lineRule="exact"/>
              <w:rPr>
                <w:sz w:val="20"/>
                <w:szCs w:val="20"/>
                <w:color w:val="auto"/>
              </w:rPr>
            </w:pPr>
            <w:r>
              <w:rPr>
                <w:rFonts w:ascii="Arial" w:cs="Arial" w:eastAsia="Arial" w:hAnsi="Arial"/>
                <w:sz w:val="16"/>
                <w:szCs w:val="16"/>
                <w:color w:val="auto"/>
              </w:rPr>
              <w:t>Audit Fees</w:t>
            </w:r>
            <w:r>
              <w:rPr>
                <w:rFonts w:ascii="Arial" w:cs="Arial" w:eastAsia="Arial" w:hAnsi="Arial"/>
                <w:sz w:val="25"/>
                <w:szCs w:val="25"/>
                <w:color w:val="auto"/>
                <w:vertAlign w:val="superscript"/>
              </w:rPr>
              <w:t>(1)</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b w:val="1"/>
                <w:bCs w:val="1"/>
                <w:color w:val="auto"/>
              </w:rPr>
              <w:t>15,501</w:t>
            </w:r>
          </w:p>
        </w:tc>
        <w:tc>
          <w:tcPr>
            <w:tcW w:w="5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13,909</w:t>
            </w:r>
          </w:p>
        </w:tc>
        <w:tc>
          <w:tcPr>
            <w:tcW w:w="0" w:type="dxa"/>
            <w:vAlign w:val="bottom"/>
          </w:tcPr>
          <w:p>
            <w:pPr>
              <w:spacing w:after="0"/>
              <w:rPr>
                <w:sz w:val="1"/>
                <w:szCs w:val="1"/>
                <w:color w:val="auto"/>
              </w:rPr>
            </w:pPr>
          </w:p>
        </w:tc>
      </w:tr>
      <w:tr>
        <w:trPr>
          <w:trHeight w:val="243"/>
        </w:trPr>
        <w:tc>
          <w:tcPr>
            <w:tcW w:w="8780" w:type="dxa"/>
            <w:vAlign w:val="bottom"/>
          </w:tcPr>
          <w:p>
            <w:pPr>
              <w:ind w:left="60"/>
              <w:spacing w:after="0" w:line="243" w:lineRule="exact"/>
              <w:rPr>
                <w:sz w:val="20"/>
                <w:szCs w:val="20"/>
                <w:color w:val="auto"/>
              </w:rPr>
            </w:pPr>
            <w:r>
              <w:rPr>
                <w:rFonts w:ascii="Arial" w:cs="Arial" w:eastAsia="Arial" w:hAnsi="Arial"/>
                <w:sz w:val="16"/>
                <w:szCs w:val="16"/>
                <w:color w:val="auto"/>
              </w:rPr>
              <w:t>Audit-Related Fees</w:t>
            </w:r>
            <w:r>
              <w:rPr>
                <w:rFonts w:ascii="Arial" w:cs="Arial" w:eastAsia="Arial" w:hAnsi="Arial"/>
                <w:sz w:val="26"/>
                <w:szCs w:val="26"/>
                <w:color w:val="auto"/>
                <w:vertAlign w:val="superscript"/>
              </w:rPr>
              <w:t>(2)</w:t>
            </w:r>
          </w:p>
        </w:tc>
        <w:tc>
          <w:tcPr>
            <w:tcW w:w="240" w:type="dxa"/>
            <w:vAlign w:val="bottom"/>
          </w:tcPr>
          <w:p>
            <w:pPr>
              <w:spacing w:after="0"/>
              <w:rPr>
                <w:sz w:val="21"/>
                <w:szCs w:val="21"/>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b w:val="1"/>
                <w:bCs w:val="1"/>
                <w:color w:val="auto"/>
              </w:rPr>
              <w:t>951</w:t>
            </w:r>
          </w:p>
        </w:tc>
        <w:tc>
          <w:tcPr>
            <w:tcW w:w="52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634</w:t>
            </w:r>
          </w:p>
        </w:tc>
        <w:tc>
          <w:tcPr>
            <w:tcW w:w="0" w:type="dxa"/>
            <w:vAlign w:val="bottom"/>
          </w:tcPr>
          <w:p>
            <w:pPr>
              <w:spacing w:after="0"/>
              <w:rPr>
                <w:sz w:val="1"/>
                <w:szCs w:val="1"/>
                <w:color w:val="auto"/>
              </w:rPr>
            </w:pPr>
          </w:p>
        </w:tc>
      </w:tr>
      <w:tr>
        <w:trPr>
          <w:trHeight w:val="243"/>
        </w:trPr>
        <w:tc>
          <w:tcPr>
            <w:tcW w:w="8780" w:type="dxa"/>
            <w:vAlign w:val="bottom"/>
          </w:tcPr>
          <w:p>
            <w:pPr>
              <w:ind w:left="60"/>
              <w:spacing w:after="0" w:line="243" w:lineRule="exact"/>
              <w:rPr>
                <w:sz w:val="20"/>
                <w:szCs w:val="20"/>
                <w:color w:val="auto"/>
              </w:rPr>
            </w:pPr>
            <w:r>
              <w:rPr>
                <w:rFonts w:ascii="Arial" w:cs="Arial" w:eastAsia="Arial" w:hAnsi="Arial"/>
                <w:sz w:val="16"/>
                <w:szCs w:val="16"/>
                <w:color w:val="auto"/>
              </w:rPr>
              <w:t>Tax Fees</w:t>
            </w:r>
            <w:r>
              <w:rPr>
                <w:rFonts w:ascii="Arial" w:cs="Arial" w:eastAsia="Arial" w:hAnsi="Arial"/>
                <w:sz w:val="26"/>
                <w:szCs w:val="26"/>
                <w:color w:val="auto"/>
                <w:vertAlign w:val="superscript"/>
              </w:rPr>
              <w:t>(3)</w:t>
            </w:r>
          </w:p>
        </w:tc>
        <w:tc>
          <w:tcPr>
            <w:tcW w:w="240" w:type="dxa"/>
            <w:vAlign w:val="bottom"/>
          </w:tcPr>
          <w:p>
            <w:pPr>
              <w:spacing w:after="0"/>
              <w:rPr>
                <w:sz w:val="21"/>
                <w:szCs w:val="21"/>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b w:val="1"/>
                <w:bCs w:val="1"/>
                <w:color w:val="auto"/>
              </w:rPr>
              <w:t>3,648</w:t>
            </w:r>
          </w:p>
        </w:tc>
        <w:tc>
          <w:tcPr>
            <w:tcW w:w="52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2,993</w:t>
            </w:r>
          </w:p>
        </w:tc>
        <w:tc>
          <w:tcPr>
            <w:tcW w:w="0" w:type="dxa"/>
            <w:vAlign w:val="bottom"/>
          </w:tcPr>
          <w:p>
            <w:pPr>
              <w:spacing w:after="0"/>
              <w:rPr>
                <w:sz w:val="1"/>
                <w:szCs w:val="1"/>
                <w:color w:val="auto"/>
              </w:rPr>
            </w:pPr>
          </w:p>
        </w:tc>
      </w:tr>
      <w:tr>
        <w:trPr>
          <w:trHeight w:val="242"/>
        </w:trPr>
        <w:tc>
          <w:tcPr>
            <w:tcW w:w="8780" w:type="dxa"/>
            <w:vAlign w:val="bottom"/>
            <w:tcBorders>
              <w:bottom w:val="single" w:sz="8" w:color="0233A1"/>
            </w:tcBorders>
          </w:tcPr>
          <w:p>
            <w:pPr>
              <w:ind w:left="60"/>
              <w:spacing w:after="0" w:line="242" w:lineRule="exact"/>
              <w:rPr>
                <w:sz w:val="20"/>
                <w:szCs w:val="20"/>
                <w:color w:val="auto"/>
              </w:rPr>
            </w:pPr>
            <w:r>
              <w:rPr>
                <w:rFonts w:ascii="Arial" w:cs="Arial" w:eastAsia="Arial" w:hAnsi="Arial"/>
                <w:sz w:val="16"/>
                <w:szCs w:val="16"/>
                <w:color w:val="auto"/>
              </w:rPr>
              <w:t>All Other Fees</w:t>
            </w:r>
            <w:r>
              <w:rPr>
                <w:rFonts w:ascii="Arial" w:cs="Arial" w:eastAsia="Arial" w:hAnsi="Arial"/>
                <w:sz w:val="26"/>
                <w:szCs w:val="26"/>
                <w:color w:val="auto"/>
                <w:vertAlign w:val="superscript"/>
              </w:rPr>
              <w:t>(4)</w:t>
            </w:r>
          </w:p>
        </w:tc>
        <w:tc>
          <w:tcPr>
            <w:tcW w:w="240" w:type="dxa"/>
            <w:vAlign w:val="bottom"/>
            <w:tcBorders>
              <w:bottom w:val="single" w:sz="8" w:color="0233A1"/>
            </w:tcBorders>
          </w:tcPr>
          <w:p>
            <w:pPr>
              <w:spacing w:after="0"/>
              <w:rPr>
                <w:sz w:val="21"/>
                <w:szCs w:val="21"/>
                <w:color w:val="auto"/>
              </w:rPr>
            </w:pPr>
          </w:p>
        </w:tc>
        <w:tc>
          <w:tcPr>
            <w:tcW w:w="780" w:type="dxa"/>
            <w:vAlign w:val="bottom"/>
            <w:tcBorders>
              <w:bottom w:val="single" w:sz="8" w:color="0233A1"/>
            </w:tcBorders>
          </w:tcPr>
          <w:p>
            <w:pPr>
              <w:jc w:val="right"/>
              <w:ind w:right="3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0233A1"/>
            </w:tcBorders>
          </w:tcPr>
          <w:p>
            <w:pPr>
              <w:spacing w:after="0"/>
              <w:rPr>
                <w:sz w:val="21"/>
                <w:szCs w:val="21"/>
                <w:color w:val="auto"/>
              </w:rPr>
            </w:pPr>
          </w:p>
        </w:tc>
        <w:tc>
          <w:tcPr>
            <w:tcW w:w="920" w:type="dxa"/>
            <w:vAlign w:val="bottom"/>
            <w:tcBorders>
              <w:bottom w:val="single" w:sz="8" w:color="0233A1"/>
            </w:tcBorders>
          </w:tcPr>
          <w:p>
            <w:pPr>
              <w:jc w:val="right"/>
              <w:ind w:right="19"/>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189"/>
        </w:trPr>
        <w:tc>
          <w:tcPr>
            <w:tcW w:w="8780" w:type="dxa"/>
            <w:vAlign w:val="bottom"/>
            <w:tcBorders>
              <w:bottom w:val="single" w:sz="8" w:color="0233A1"/>
            </w:tcBorders>
            <w:shd w:val="clear" w:color="auto" w:fill="EBECEE"/>
          </w:tcPr>
          <w:p>
            <w:pPr>
              <w:ind w:left="60"/>
              <w:spacing w:after="0" w:line="183" w:lineRule="exact"/>
              <w:rPr>
                <w:sz w:val="20"/>
                <w:szCs w:val="20"/>
                <w:color w:val="auto"/>
              </w:rPr>
            </w:pPr>
            <w:r>
              <w:rPr>
                <w:rFonts w:ascii="Arial" w:cs="Arial" w:eastAsia="Arial" w:hAnsi="Arial"/>
                <w:sz w:val="16"/>
                <w:szCs w:val="16"/>
                <w:b w:val="1"/>
                <w:bCs w:val="1"/>
                <w:color w:val="auto"/>
              </w:rPr>
              <w:t>Total</w:t>
            </w:r>
          </w:p>
        </w:tc>
        <w:tc>
          <w:tcPr>
            <w:tcW w:w="240" w:type="dxa"/>
            <w:vAlign w:val="bottom"/>
            <w:tcBorders>
              <w:bottom w:val="single" w:sz="8" w:color="0233A1"/>
            </w:tcBorders>
            <w:shd w:val="clear" w:color="auto" w:fill="EBECEE"/>
          </w:tcPr>
          <w:p>
            <w:pPr>
              <w:jc w:val="right"/>
              <w:ind w:right="39"/>
              <w:spacing w:after="0" w:line="183" w:lineRule="exact"/>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0233A1"/>
            </w:tcBorders>
            <w:shd w:val="clear" w:color="auto" w:fill="EBECEE"/>
          </w:tcPr>
          <w:p>
            <w:pPr>
              <w:jc w:val="right"/>
              <w:ind w:right="39"/>
              <w:spacing w:after="0" w:line="183" w:lineRule="exact"/>
              <w:rPr>
                <w:sz w:val="20"/>
                <w:szCs w:val="20"/>
                <w:color w:val="auto"/>
              </w:rPr>
            </w:pPr>
            <w:r>
              <w:rPr>
                <w:rFonts w:ascii="Arial" w:cs="Arial" w:eastAsia="Arial" w:hAnsi="Arial"/>
                <w:sz w:val="16"/>
                <w:szCs w:val="16"/>
                <w:b w:val="1"/>
                <w:bCs w:val="1"/>
                <w:color w:val="auto"/>
              </w:rPr>
              <w:t>20,099</w:t>
            </w:r>
          </w:p>
        </w:tc>
        <w:tc>
          <w:tcPr>
            <w:tcW w:w="520" w:type="dxa"/>
            <w:vAlign w:val="bottom"/>
            <w:tcBorders>
              <w:bottom w:val="single" w:sz="8" w:color="0233A1"/>
            </w:tcBorders>
            <w:shd w:val="clear" w:color="auto" w:fill="EBECEE"/>
          </w:tcPr>
          <w:p>
            <w:pPr>
              <w:jc w:val="right"/>
              <w:ind w:right="219"/>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0233A1"/>
            </w:tcBorders>
            <w:shd w:val="clear" w:color="auto" w:fill="EBECEE"/>
          </w:tcPr>
          <w:p>
            <w:pPr>
              <w:jc w:val="right"/>
              <w:ind w:right="19"/>
              <w:spacing w:after="0" w:line="183" w:lineRule="exact"/>
              <w:rPr>
                <w:sz w:val="20"/>
                <w:szCs w:val="20"/>
                <w:color w:val="auto"/>
              </w:rPr>
            </w:pPr>
            <w:r>
              <w:rPr>
                <w:rFonts w:ascii="Arial" w:cs="Arial" w:eastAsia="Arial" w:hAnsi="Arial"/>
                <w:sz w:val="16"/>
                <w:szCs w:val="16"/>
                <w:color w:val="auto"/>
              </w:rPr>
              <w:t>17,580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8890"/>
            <wp:wrapNone/>
            <wp:docPr id="3293" name="Picture 3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3"/>
                    <pic:cNvPicPr>
                      <a:picLocks noChangeAspect="1" noChangeArrowheads="1"/>
                    </pic:cNvPicPr>
                  </pic:nvPicPr>
                  <pic:blipFill>
                    <a:blip r:embed="rId330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8890"/>
            <wp:wrapNone/>
            <wp:docPr id="3294" name="Picture 3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4"/>
                    <pic:cNvPicPr>
                      <a:picLocks noChangeAspect="1" noChangeArrowheads="1"/>
                    </pic:cNvPicPr>
                  </pic:nvPicPr>
                  <pic:blipFill>
                    <a:blip r:embed="rId330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-607695</wp:posOffset>
            </wp:positionV>
            <wp:extent cx="7132320" cy="8890"/>
            <wp:wrapNone/>
            <wp:docPr id="3295" name="Picture 3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5"/>
                    <pic:cNvPicPr>
                      <a:picLocks noChangeAspect="1" noChangeArrowheads="1"/>
                    </pic:cNvPicPr>
                  </pic:nvPicPr>
                  <pic:blipFill>
                    <a:blip r:embed="rId33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 w:lineRule="exact"/>
        <w:rPr>
          <w:sz w:val="20"/>
          <w:szCs w:val="20"/>
          <w:color w:val="auto"/>
        </w:rPr>
      </w:pPr>
    </w:p>
    <w:p>
      <w:pPr>
        <w:ind w:left="340" w:hanging="278"/>
        <w:spacing w:after="0"/>
        <w:tabs>
          <w:tab w:leader="none" w:pos="3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Includes fees for integrated and statutory audits.</w:t>
      </w:r>
    </w:p>
    <w:p>
      <w:pPr>
        <w:spacing w:after="0" w:line="59" w:lineRule="exact"/>
        <w:rPr>
          <w:rFonts w:ascii="Arial" w:cs="Arial" w:eastAsia="Arial" w:hAnsi="Arial"/>
          <w:sz w:val="16"/>
          <w:szCs w:val="16"/>
          <w:color w:val="auto"/>
        </w:rPr>
      </w:pPr>
    </w:p>
    <w:p>
      <w:pPr>
        <w:ind w:left="340" w:hanging="278"/>
        <w:spacing w:after="0"/>
        <w:tabs>
          <w:tab w:leader="none" w:pos="3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Consists of fees for employee benefit plan audits and other audit-related items.</w:t>
      </w:r>
    </w:p>
    <w:p>
      <w:pPr>
        <w:spacing w:after="0" w:line="59" w:lineRule="exact"/>
        <w:rPr>
          <w:rFonts w:ascii="Arial" w:cs="Arial" w:eastAsia="Arial" w:hAnsi="Arial"/>
          <w:sz w:val="16"/>
          <w:szCs w:val="16"/>
          <w:color w:val="auto"/>
        </w:rPr>
      </w:pPr>
    </w:p>
    <w:p>
      <w:pPr>
        <w:ind w:left="340" w:hanging="278"/>
        <w:spacing w:after="0"/>
        <w:tabs>
          <w:tab w:leader="none" w:pos="3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Consists of fees for tax compliance, tax planning, and other permitted tax services.</w:t>
      </w:r>
    </w:p>
    <w:p>
      <w:pPr>
        <w:spacing w:after="0" w:line="59" w:lineRule="exact"/>
        <w:rPr>
          <w:rFonts w:ascii="Arial" w:cs="Arial" w:eastAsia="Arial" w:hAnsi="Arial"/>
          <w:sz w:val="16"/>
          <w:szCs w:val="16"/>
          <w:color w:val="auto"/>
        </w:rPr>
      </w:pPr>
    </w:p>
    <w:p>
      <w:pPr>
        <w:ind w:left="340" w:hanging="278"/>
        <w:spacing w:after="0"/>
        <w:tabs>
          <w:tab w:leader="none" w:pos="3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Consists of fees for permitted advisory services.</w:t>
      </w:r>
    </w:p>
    <w:p>
      <w:pPr>
        <w:spacing w:after="0" w:line="20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When evaluating PwC’s independence, the Audit Committee considers PwC’s provision of all services not related to the audit of our annual financial statements and reviews of our interim financial statements.</w:t>
      </w:r>
    </w:p>
    <w:p>
      <w:pPr>
        <w:spacing w:after="0" w:line="242" w:lineRule="exact"/>
        <w:rPr>
          <w:sz w:val="20"/>
          <w:szCs w:val="20"/>
          <w:color w:val="auto"/>
        </w:rPr>
      </w:pPr>
    </w:p>
    <w:p>
      <w:pPr>
        <w:spacing w:after="0"/>
        <w:rPr>
          <w:sz w:val="20"/>
          <w:szCs w:val="20"/>
          <w:color w:val="auto"/>
        </w:rPr>
      </w:pPr>
      <w:r>
        <w:rPr>
          <w:rFonts w:ascii="Arial" w:cs="Arial" w:eastAsia="Arial" w:hAnsi="Arial"/>
          <w:sz w:val="25"/>
          <w:szCs w:val="25"/>
          <w:color w:val="00329F"/>
        </w:rPr>
        <w:t>Audit Committee’s Pre-Approval Policy and Procedures</w:t>
      </w:r>
    </w:p>
    <w:p>
      <w:pPr>
        <w:spacing w:after="0" w:line="20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The Audit Committee has a policy to pre-approve all services provided to Schlumberger Limited and its subsidiaries by SLB’s independent registered public accounting firm. The Audit Committee has adopted a schedule for annual approval of the audit and related audit plan, as well as approval of other anticipated audit-related services; anticipated tax compliance, tax planning, and tax advisory services; and other anticipated services. In addition, the Audit Committee (or an authorized committee member acting under delegated authority of the Audit Committee) will consider any proposed services not approved as part of this annual process. For 2023 and 2022, all audit and non-audit services were pre-approved by the Audit Committee.</w:t>
      </w:r>
    </w:p>
    <w:p>
      <w:pPr>
        <w:spacing w:after="0" w:line="266" w:lineRule="exact"/>
        <w:rPr>
          <w:sz w:val="20"/>
          <w:szCs w:val="20"/>
          <w:color w:val="auto"/>
        </w:rPr>
      </w:pPr>
    </w:p>
    <w:p>
      <w:pPr>
        <w:spacing w:after="0"/>
        <w:rPr>
          <w:sz w:val="20"/>
          <w:szCs w:val="20"/>
          <w:color w:val="auto"/>
        </w:rPr>
      </w:pPr>
      <w:r>
        <w:rPr>
          <w:rFonts w:ascii="Arial" w:cs="Arial" w:eastAsia="Arial" w:hAnsi="Arial"/>
          <w:sz w:val="25"/>
          <w:szCs w:val="25"/>
          <w:color w:val="00329F"/>
        </w:rPr>
        <w:t>Shareholder Feedback</w:t>
      </w:r>
    </w:p>
    <w:p>
      <w:pPr>
        <w:spacing w:after="0" w:line="20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6"/>
          <w:szCs w:val="16"/>
          <w:color w:val="auto"/>
        </w:rPr>
        <w:t>At our 2023 AGM, the proposal to ratify the appointment of PwC as our independent auditor for 2023 received the support of 93% of the votes cast. In selecting PwC as SLB’s independent auditor for 2024, the Audit Committee considered this substantial support of our shareholders, as well as PwC’s substantial experience auditing SLB’s complex global accounts and the regulatory requirement that the PwC lead engagement partner rotate every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312420</wp:posOffset>
            </wp:positionV>
            <wp:extent cx="471170" cy="282575"/>
            <wp:wrapNone/>
            <wp:docPr id="3296" name="Picture 3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6"/>
                    <pic:cNvPicPr>
                      <a:picLocks noChangeAspect="1" noChangeArrowheads="1"/>
                    </pic:cNvPicPr>
                  </pic:nvPicPr>
                  <pic:blipFill>
                    <a:blip r:embed="rId3303">
                      <a:extLst>
                        <a:ext uri="{28A0092B-C50C-407E-A947-70E740481C1C}"/>
                      </a:extLst>
                    </a:blip>
                    <a:srcRect/>
                    <a:stretch>
                      <a:fillRect/>
                    </a:stretch>
                  </pic:blipFill>
                  <pic:spPr bwMode="auto">
                    <a:xfrm>
                      <a:off x="0" y="0"/>
                      <a:ext cx="471170" cy="28257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jc w:val="both"/>
        <w:ind w:left="5540"/>
        <w:spacing w:after="0"/>
        <w:tabs>
          <w:tab w:leader="none" w:pos="9540" w:val="left"/>
        </w:tabs>
        <w:rPr>
          <w:sz w:val="20"/>
          <w:szCs w:val="20"/>
          <w:color w:val="auto"/>
        </w:rPr>
      </w:pPr>
      <w:r>
        <w:rPr>
          <w:rFonts w:ascii="Arial" w:cs="Arial" w:eastAsia="Arial" w:hAnsi="Arial"/>
          <w:sz w:val="16"/>
          <w:szCs w:val="16"/>
          <w:b w:val="1"/>
          <w:bCs w:val="1"/>
          <w:color w:val="auto"/>
        </w:rPr>
        <w:t>64</w:t>
      </w:r>
      <w:r>
        <w:rPr>
          <w:sz w:val="20"/>
          <w:szCs w:val="20"/>
          <w:color w:val="auto"/>
        </w:rPr>
        <w:tab/>
      </w:r>
      <w:r>
        <w:rPr>
          <w:rFonts w:ascii="Arial" w:cs="Arial" w:eastAsia="Arial" w:hAnsi="Arial"/>
          <w:sz w:val="16"/>
          <w:szCs w:val="16"/>
          <w:b w:val="1"/>
          <w:bCs w:val="1"/>
          <w:color w:val="636466"/>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-29845</wp:posOffset>
            </wp:positionV>
            <wp:extent cx="5417820" cy="17145"/>
            <wp:wrapNone/>
            <wp:docPr id="3297" name="Picture 3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7"/>
                    <pic:cNvPicPr>
                      <a:picLocks noChangeAspect="1" noChangeArrowheads="1"/>
                    </pic:cNvPicPr>
                  </pic:nvPicPr>
                  <pic:blipFill>
                    <a:blip r:embed="rId3304">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34290"/>
            <wp:wrapNone/>
            <wp:docPr id="3298" name="Picture 3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8"/>
                    <pic:cNvPicPr>
                      <a:picLocks noChangeAspect="1" noChangeArrowheads="1"/>
                    </pic:cNvPicPr>
                  </pic:nvPicPr>
                  <pic:blipFill>
                    <a:blip r:embed="rId330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70" w:name="page71"/>
    <w:bookmarkEnd w:id="70"/>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color w:val="234DB0"/>
        </w:rPr>
        <w:t>Audit Committee Report</w:t>
      </w:r>
    </w:p>
    <w:p>
      <w:pPr>
        <w:spacing w:after="0" w:line="36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6"/>
          <w:szCs w:val="16"/>
          <w:color w:val="auto"/>
        </w:rPr>
        <w:t>During 2023, the Audit Committee periodically reviewed and discussed SLB’s consolidated financial statements with Company management and PwC, SLB’s independent registered public accounting firm, including matters raised by PwC pursuant to applicable Public Company Accounting Oversight Board (</w:t>
      </w:r>
      <w:r>
        <w:rPr>
          <w:rFonts w:ascii="Arial" w:cs="Arial" w:eastAsia="Arial" w:hAnsi="Arial"/>
          <w:sz w:val="16"/>
          <w:szCs w:val="16"/>
          <w:b w:val="1"/>
          <w:bCs w:val="1"/>
          <w:color w:val="auto"/>
        </w:rPr>
        <w:t>PCAOB</w:t>
      </w:r>
      <w:r>
        <w:rPr>
          <w:rFonts w:ascii="Arial" w:cs="Arial" w:eastAsia="Arial" w:hAnsi="Arial"/>
          <w:sz w:val="16"/>
          <w:szCs w:val="16"/>
          <w:color w:val="auto"/>
        </w:rPr>
        <w:t>) requirements. The Audit Committee also discussed with Company management and PwC the evaluation of SLB’s reporting and internal controls undertaken in connection with certifications made by SLB’s Chief Executive Officer and Chief Financial Officer in SLB’s periodic SEC filings pursuant to the Sarbanes-Oxley Act of 2002. The Audit Committee also reviewed and discussed such other matters as it deemed appropriate, including SLB’s compliance with Section 404 and other relevant provisions of the Sarbanes-Oxley Act of 2002 and rules adopted or proposed to be adopted by the SEC and the NYSE.</w:t>
      </w:r>
    </w:p>
    <w:p>
      <w:pPr>
        <w:spacing w:after="0" w:line="168"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6"/>
          <w:szCs w:val="16"/>
          <w:color w:val="auto"/>
        </w:rPr>
        <w:t>The Audit Committee also reviewed with PwC the matters required to be discussed by the independent registered public accounting firm with the Audit Committee under applicable requirements of the PCAOB and the SEC.</w:t>
      </w:r>
    </w:p>
    <w:p>
      <w:pPr>
        <w:spacing w:after="0" w:line="142"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6"/>
          <w:szCs w:val="16"/>
          <w:color w:val="auto"/>
        </w:rPr>
        <w:t>PwC provided the Audit Committee with the required PCAOB disclosures and letters concerning its independence with respect to the Company, and the Audit Committee discussed PwC’s independence with them.</w:t>
      </w:r>
    </w:p>
    <w:p>
      <w:pPr>
        <w:spacing w:after="0" w:line="142"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6"/>
          <w:szCs w:val="16"/>
          <w:color w:val="auto"/>
        </w:rPr>
        <w:t>Based on the foregoing reviews and discussions, the Audit Committee recommended that the Board include the audited consolidated financial statements in SLB’s Annual Report on Form 10-K for the year ended December 31, 2023, as filed with the SEC on January 24, 2024.</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329F"/>
        </w:rPr>
        <w:t>Submitted by the Audit Committee of the SLB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72390</wp:posOffset>
            </wp:positionV>
            <wp:extent cx="771525" cy="916940"/>
            <wp:wrapNone/>
            <wp:docPr id="3299" name="Picture 3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9"/>
                    <pic:cNvPicPr>
                      <a:picLocks noChangeAspect="1" noChangeArrowheads="1"/>
                    </pic:cNvPicPr>
                  </pic:nvPicPr>
                  <pic:blipFill>
                    <a:blip r:embed="rId3306">
                      <a:extLst>
                        <a:ext uri="{28A0092B-C50C-407E-A947-70E740481C1C}"/>
                      </a:extLst>
                    </a:blip>
                    <a:srcRect/>
                    <a:stretch>
                      <a:fillRect/>
                    </a:stretch>
                  </pic:blipFill>
                  <pic:spPr bwMode="auto">
                    <a:xfrm>
                      <a:off x="0" y="0"/>
                      <a:ext cx="771525" cy="91694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72390</wp:posOffset>
            </wp:positionV>
            <wp:extent cx="771525" cy="908685"/>
            <wp:wrapNone/>
            <wp:docPr id="3300" name="Picture 3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0"/>
                    <pic:cNvPicPr>
                      <a:picLocks noChangeAspect="1" noChangeArrowheads="1"/>
                    </pic:cNvPicPr>
                  </pic:nvPicPr>
                  <pic:blipFill>
                    <a:blip r:embed="rId3307">
                      <a:extLst>
                        <a:ext uri="{28A0092B-C50C-407E-A947-70E740481C1C}"/>
                      </a:extLst>
                    </a:blip>
                    <a:srcRect/>
                    <a:stretch>
                      <a:fillRect/>
                    </a:stretch>
                  </pic:blipFill>
                  <pic:spPr bwMode="auto">
                    <a:xfrm>
                      <a:off x="0" y="0"/>
                      <a:ext cx="771525" cy="90868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72390</wp:posOffset>
            </wp:positionV>
            <wp:extent cx="771525" cy="916940"/>
            <wp:wrapNone/>
            <wp:docPr id="3301" name="Picture 3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1"/>
                    <pic:cNvPicPr>
                      <a:picLocks noChangeAspect="1" noChangeArrowheads="1"/>
                    </pic:cNvPicPr>
                  </pic:nvPicPr>
                  <pic:blipFill>
                    <a:blip r:embed="rId3308">
                      <a:extLst>
                        <a:ext uri="{28A0092B-C50C-407E-A947-70E740481C1C}"/>
                      </a:extLst>
                    </a:blip>
                    <a:srcRect/>
                    <a:stretch>
                      <a:fillRect/>
                    </a:stretch>
                  </pic:blipFill>
                  <pic:spPr bwMode="auto">
                    <a:xfrm>
                      <a:off x="0" y="0"/>
                      <a:ext cx="771525" cy="91694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72390</wp:posOffset>
            </wp:positionV>
            <wp:extent cx="771525" cy="908685"/>
            <wp:wrapNone/>
            <wp:docPr id="3302" name="Picture 3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2"/>
                    <pic:cNvPicPr>
                      <a:picLocks noChangeAspect="1" noChangeArrowheads="1"/>
                    </pic:cNvPicPr>
                  </pic:nvPicPr>
                  <pic:blipFill>
                    <a:blip r:embed="rId3309">
                      <a:extLst>
                        <a:ext uri="{28A0092B-C50C-407E-A947-70E740481C1C}"/>
                      </a:extLst>
                    </a:blip>
                    <a:srcRect/>
                    <a:stretch>
                      <a:fillRect/>
                    </a:stretch>
                  </pic:blipFill>
                  <pic:spPr bwMode="auto">
                    <a:xfrm>
                      <a:off x="0" y="0"/>
                      <a:ext cx="77152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80" w:type="dxa"/>
            <w:vAlign w:val="bottom"/>
            <w:gridSpan w:val="2"/>
          </w:tcPr>
          <w:p>
            <w:pPr>
              <w:ind w:left="520"/>
              <w:spacing w:after="0"/>
              <w:rPr>
                <w:sz w:val="20"/>
                <w:szCs w:val="20"/>
                <w:color w:val="auto"/>
              </w:rPr>
            </w:pPr>
            <w:r>
              <w:rPr>
                <w:rFonts w:ascii="Arial" w:cs="Arial" w:eastAsia="Arial" w:hAnsi="Arial"/>
                <w:sz w:val="16"/>
                <w:szCs w:val="16"/>
                <w:color w:val="auto"/>
              </w:rPr>
              <w:t>Patrick de La Chevardière, Chair</w:t>
            </w:r>
          </w:p>
        </w:tc>
        <w:tc>
          <w:tcPr>
            <w:tcW w:w="2180" w:type="dxa"/>
            <w:vAlign w:val="bottom"/>
            <w:gridSpan w:val="2"/>
          </w:tcPr>
          <w:p>
            <w:pPr>
              <w:jc w:val="right"/>
              <w:ind w:right="119"/>
              <w:spacing w:after="0"/>
              <w:rPr>
                <w:sz w:val="20"/>
                <w:szCs w:val="20"/>
                <w:color w:val="auto"/>
              </w:rPr>
            </w:pPr>
            <w:r>
              <w:rPr>
                <w:rFonts w:ascii="Arial" w:cs="Arial" w:eastAsia="Arial" w:hAnsi="Arial"/>
                <w:sz w:val="16"/>
                <w:szCs w:val="16"/>
                <w:color w:val="auto"/>
              </w:rPr>
              <w:t>Samuel Leupold</w:t>
            </w:r>
          </w:p>
        </w:tc>
        <w:tc>
          <w:tcPr>
            <w:tcW w:w="3360" w:type="dxa"/>
            <w:vAlign w:val="bottom"/>
          </w:tcPr>
          <w:p>
            <w:pPr>
              <w:ind w:left="1480"/>
              <w:spacing w:after="0"/>
              <w:rPr>
                <w:sz w:val="20"/>
                <w:szCs w:val="20"/>
                <w:color w:val="auto"/>
              </w:rPr>
            </w:pPr>
            <w:r>
              <w:rPr>
                <w:rFonts w:ascii="Arial" w:cs="Arial" w:eastAsia="Arial" w:hAnsi="Arial"/>
                <w:sz w:val="16"/>
                <w:szCs w:val="16"/>
                <w:color w:val="auto"/>
              </w:rPr>
              <w:t>Tatiana Mitrova</w:t>
            </w:r>
          </w:p>
        </w:tc>
        <w:tc>
          <w:tcPr>
            <w:tcW w:w="2020" w:type="dxa"/>
            <w:vAlign w:val="bottom"/>
            <w:gridSpan w:val="2"/>
          </w:tcPr>
          <w:p>
            <w:pPr>
              <w:ind w:left="780"/>
              <w:spacing w:after="0"/>
              <w:rPr>
                <w:sz w:val="20"/>
                <w:szCs w:val="20"/>
                <w:color w:val="auto"/>
              </w:rPr>
            </w:pPr>
            <w:r>
              <w:rPr>
                <w:rFonts w:ascii="Arial" w:cs="Arial" w:eastAsia="Arial" w:hAnsi="Arial"/>
                <w:sz w:val="16"/>
                <w:szCs w:val="16"/>
                <w:color w:val="auto"/>
              </w:rPr>
              <w:t>Jeff Sheets</w:t>
            </w:r>
          </w:p>
        </w:tc>
        <w:tc>
          <w:tcPr>
            <w:tcW w:w="0" w:type="dxa"/>
            <w:vAlign w:val="bottom"/>
          </w:tcPr>
          <w:p>
            <w:pPr>
              <w:spacing w:after="0"/>
              <w:rPr>
                <w:sz w:val="1"/>
                <w:szCs w:val="1"/>
                <w:color w:val="auto"/>
              </w:rPr>
            </w:pPr>
          </w:p>
        </w:tc>
      </w:tr>
      <w:tr>
        <w:trPr>
          <w:trHeight w:val="562"/>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2024 Proxy Statement</w:t>
            </w:r>
          </w:p>
        </w:tc>
        <w:tc>
          <w:tcPr>
            <w:tcW w:w="18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65</w:t>
            </w:r>
          </w:p>
        </w:tc>
        <w:tc>
          <w:tcPr>
            <w:tcW w:w="3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1800" w:type="dxa"/>
            <w:vAlign w:val="bottom"/>
            <w:vMerge w:val="continue"/>
          </w:tcPr>
          <w:p>
            <w:pPr>
              <w:spacing w:after="0"/>
              <w:rPr>
                <w:sz w:val="7"/>
                <w:szCs w:val="7"/>
                <w:color w:val="auto"/>
              </w:rPr>
            </w:pPr>
          </w:p>
        </w:tc>
        <w:tc>
          <w:tcPr>
            <w:tcW w:w="1880" w:type="dxa"/>
            <w:vAlign w:val="bottom"/>
          </w:tcPr>
          <w:p>
            <w:pPr>
              <w:spacing w:after="0"/>
              <w:rPr>
                <w:sz w:val="7"/>
                <w:szCs w:val="7"/>
                <w:color w:val="auto"/>
              </w:rPr>
            </w:pPr>
          </w:p>
        </w:tc>
        <w:tc>
          <w:tcPr>
            <w:tcW w:w="172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33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1880" w:type="dxa"/>
            <w:vAlign w:val="bottom"/>
            <w:tcBorders>
              <w:bottom w:val="single" w:sz="8" w:color="C0C0C0"/>
            </w:tcBorders>
          </w:tcPr>
          <w:p>
            <w:pPr>
              <w:spacing w:after="0"/>
              <w:rPr>
                <w:sz w:val="24"/>
                <w:szCs w:val="24"/>
                <w:color w:val="auto"/>
              </w:rPr>
            </w:pPr>
          </w:p>
        </w:tc>
        <w:tc>
          <w:tcPr>
            <w:tcW w:w="172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3360" w:type="dxa"/>
            <w:vAlign w:val="bottom"/>
            <w:tcBorders>
              <w:bottom w:val="single" w:sz="8" w:color="C0C0C0"/>
            </w:tcBorders>
          </w:tcPr>
          <w:p>
            <w:pPr>
              <w:spacing w:after="0"/>
              <w:rPr>
                <w:sz w:val="24"/>
                <w:szCs w:val="24"/>
                <w:color w:val="auto"/>
              </w:rPr>
            </w:pPr>
          </w:p>
        </w:tc>
        <w:tc>
          <w:tcPr>
            <w:tcW w:w="112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-471170</wp:posOffset>
            </wp:positionV>
            <wp:extent cx="471805" cy="282575"/>
            <wp:wrapNone/>
            <wp:docPr id="3303" name="Picture 3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3"/>
                    <pic:cNvPicPr>
                      <a:picLocks noChangeAspect="1" noChangeArrowheads="1"/>
                    </pic:cNvPicPr>
                  </pic:nvPicPr>
                  <pic:blipFill>
                    <a:blip r:embed="rId3310">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71" w:name="page72"/>
    <w:bookmarkEnd w:id="71"/>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9" w:lineRule="exact"/>
        <w:rPr>
          <w:sz w:val="20"/>
          <w:szCs w:val="20"/>
          <w:color w:val="auto"/>
        </w:rPr>
      </w:pPr>
    </w:p>
    <w:p>
      <w:pPr>
        <w:spacing w:after="0"/>
        <w:rPr>
          <w:sz w:val="20"/>
          <w:szCs w:val="20"/>
          <w:color w:val="auto"/>
        </w:rPr>
      </w:pPr>
      <w:r>
        <w:rPr>
          <w:rFonts w:ascii="Arial" w:cs="Arial" w:eastAsia="Arial" w:hAnsi="Arial"/>
          <w:sz w:val="50"/>
          <w:szCs w:val="50"/>
          <w:color w:val="00329F"/>
        </w:rPr>
        <w:t>Information About the Meeting</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2270" w:type="dxa"/>
        <w:tblCellMar>
          <w:top w:w="0" w:type="dxa"/>
          <w:left w:w="0" w:type="dxa"/>
          <w:bottom w:w="0" w:type="dxa"/>
          <w:right w:w="0" w:type="dxa"/>
        </w:tblCellMar>
      </w:tblPr>
      <w:tr>
        <w:trPr>
          <w:trHeight w:val="276"/>
        </w:trPr>
        <w:tc>
          <w:tcPr>
            <w:tcW w:w="184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00329F"/>
              </w:rPr>
              <w:t>Meeting Date:</w:t>
            </w:r>
          </w:p>
        </w:tc>
        <w:tc>
          <w:tcPr>
            <w:tcW w:w="49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Wednesday, April 3, 2024</w:t>
            </w:r>
          </w:p>
        </w:tc>
      </w:tr>
      <w:tr>
        <w:trPr>
          <w:trHeight w:val="34"/>
        </w:trPr>
        <w:tc>
          <w:tcPr>
            <w:tcW w:w="1840" w:type="dxa"/>
            <w:vAlign w:val="bottom"/>
            <w:tcBorders>
              <w:left w:val="single" w:sz="8" w:color="auto"/>
              <w:bottom w:val="single" w:sz="8" w:color="auto"/>
              <w:right w:val="single" w:sz="8" w:color="auto"/>
            </w:tcBorders>
          </w:tcPr>
          <w:p>
            <w:pPr>
              <w:spacing w:after="0"/>
              <w:rPr>
                <w:sz w:val="3"/>
                <w:szCs w:val="3"/>
                <w:color w:val="auto"/>
              </w:rPr>
            </w:pPr>
          </w:p>
        </w:tc>
        <w:tc>
          <w:tcPr>
            <w:tcW w:w="4900" w:type="dxa"/>
            <w:vAlign w:val="bottom"/>
            <w:tcBorders>
              <w:bottom w:val="single" w:sz="8" w:color="auto"/>
              <w:right w:val="single" w:sz="8" w:color="auto"/>
            </w:tcBorders>
          </w:tcPr>
          <w:p>
            <w:pPr>
              <w:spacing w:after="0"/>
              <w:rPr>
                <w:sz w:val="3"/>
                <w:szCs w:val="3"/>
                <w:color w:val="auto"/>
              </w:rPr>
            </w:pPr>
          </w:p>
        </w:tc>
      </w:tr>
      <w:tr>
        <w:trPr>
          <w:trHeight w:val="222"/>
        </w:trPr>
        <w:tc>
          <w:tcPr>
            <w:tcW w:w="1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00329F"/>
              </w:rPr>
              <w:t>Place:</w:t>
            </w:r>
          </w:p>
        </w:tc>
        <w:tc>
          <w:tcPr>
            <w:tcW w:w="49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Curaçao Marriott Beach Resort</w:t>
            </w:r>
          </w:p>
        </w:tc>
      </w:tr>
      <w:tr>
        <w:trPr>
          <w:trHeight w:val="189"/>
        </w:trPr>
        <w:tc>
          <w:tcPr>
            <w:tcW w:w="1840" w:type="dxa"/>
            <w:vAlign w:val="bottom"/>
            <w:tcBorders>
              <w:left w:val="single" w:sz="8" w:color="auto"/>
              <w:right w:val="single" w:sz="8" w:color="auto"/>
            </w:tcBorders>
          </w:tcPr>
          <w:p>
            <w:pPr>
              <w:spacing w:after="0"/>
              <w:rPr>
                <w:sz w:val="16"/>
                <w:szCs w:val="16"/>
                <w:color w:val="auto"/>
              </w:rPr>
            </w:pPr>
          </w:p>
        </w:tc>
        <w:tc>
          <w:tcPr>
            <w:tcW w:w="49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John F Kennedy Boulevard, 3, Piscadera Bay</w:t>
            </w:r>
          </w:p>
        </w:tc>
      </w:tr>
      <w:tr>
        <w:trPr>
          <w:trHeight w:val="215"/>
        </w:trPr>
        <w:tc>
          <w:tcPr>
            <w:tcW w:w="1840" w:type="dxa"/>
            <w:vAlign w:val="bottom"/>
            <w:tcBorders>
              <w:left w:val="single" w:sz="8" w:color="auto"/>
              <w:right w:val="single" w:sz="8" w:color="auto"/>
            </w:tcBorders>
          </w:tcPr>
          <w:p>
            <w:pPr>
              <w:spacing w:after="0"/>
              <w:rPr>
                <w:sz w:val="18"/>
                <w:szCs w:val="18"/>
                <w:color w:val="auto"/>
              </w:rPr>
            </w:pPr>
          </w:p>
        </w:tc>
        <w:tc>
          <w:tcPr>
            <w:tcW w:w="49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Willemstad, Curaçao</w:t>
            </w:r>
          </w:p>
        </w:tc>
      </w:tr>
      <w:tr>
        <w:trPr>
          <w:trHeight w:val="43"/>
        </w:trPr>
        <w:tc>
          <w:tcPr>
            <w:tcW w:w="1840" w:type="dxa"/>
            <w:vAlign w:val="bottom"/>
            <w:tcBorders>
              <w:left w:val="single" w:sz="8" w:color="auto"/>
              <w:bottom w:val="single" w:sz="8" w:color="auto"/>
              <w:right w:val="single" w:sz="8" w:color="auto"/>
            </w:tcBorders>
          </w:tcPr>
          <w:p>
            <w:pPr>
              <w:spacing w:after="0"/>
              <w:rPr>
                <w:sz w:val="3"/>
                <w:szCs w:val="3"/>
                <w:color w:val="auto"/>
              </w:rPr>
            </w:pPr>
          </w:p>
        </w:tc>
        <w:tc>
          <w:tcPr>
            <w:tcW w:w="4900" w:type="dxa"/>
            <w:vAlign w:val="bottom"/>
            <w:tcBorders>
              <w:bottom w:val="single" w:sz="8" w:color="auto"/>
              <w:right w:val="single" w:sz="8" w:color="auto"/>
            </w:tcBorders>
          </w:tcPr>
          <w:p>
            <w:pPr>
              <w:spacing w:after="0"/>
              <w:rPr>
                <w:sz w:val="3"/>
                <w:szCs w:val="3"/>
                <w:color w:val="auto"/>
              </w:rPr>
            </w:pPr>
          </w:p>
        </w:tc>
      </w:tr>
      <w:tr>
        <w:trPr>
          <w:trHeight w:val="256"/>
        </w:trPr>
        <w:tc>
          <w:tcPr>
            <w:tcW w:w="1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00329F"/>
              </w:rPr>
              <w:t>Time:</w:t>
            </w:r>
          </w:p>
        </w:tc>
        <w:tc>
          <w:tcPr>
            <w:tcW w:w="49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9:00 a.m. Curaçao time</w:t>
            </w:r>
          </w:p>
        </w:tc>
      </w:tr>
      <w:tr>
        <w:trPr>
          <w:trHeight w:val="34"/>
        </w:trPr>
        <w:tc>
          <w:tcPr>
            <w:tcW w:w="1840" w:type="dxa"/>
            <w:vAlign w:val="bottom"/>
            <w:tcBorders>
              <w:left w:val="single" w:sz="8" w:color="auto"/>
              <w:bottom w:val="single" w:sz="8" w:color="auto"/>
              <w:right w:val="single" w:sz="8" w:color="auto"/>
            </w:tcBorders>
          </w:tcPr>
          <w:p>
            <w:pPr>
              <w:spacing w:after="0"/>
              <w:rPr>
                <w:sz w:val="3"/>
                <w:szCs w:val="3"/>
                <w:color w:val="auto"/>
              </w:rPr>
            </w:pPr>
          </w:p>
        </w:tc>
        <w:tc>
          <w:tcPr>
            <w:tcW w:w="4900" w:type="dxa"/>
            <w:vAlign w:val="bottom"/>
            <w:tcBorders>
              <w:bottom w:val="single" w:sz="8" w:color="auto"/>
              <w:right w:val="single" w:sz="8" w:color="auto"/>
            </w:tcBorders>
          </w:tcPr>
          <w:p>
            <w:pPr>
              <w:spacing w:after="0"/>
              <w:rPr>
                <w:sz w:val="3"/>
                <w:szCs w:val="3"/>
                <w:color w:val="auto"/>
              </w:rPr>
            </w:pPr>
          </w:p>
        </w:tc>
      </w:tr>
      <w:tr>
        <w:trPr>
          <w:trHeight w:val="256"/>
        </w:trPr>
        <w:tc>
          <w:tcPr>
            <w:tcW w:w="1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00329F"/>
              </w:rPr>
              <w:t>Record Date:</w:t>
            </w:r>
          </w:p>
        </w:tc>
        <w:tc>
          <w:tcPr>
            <w:tcW w:w="49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February 7, 2024</w:t>
            </w:r>
          </w:p>
        </w:tc>
      </w:tr>
      <w:tr>
        <w:trPr>
          <w:trHeight w:val="35"/>
        </w:trPr>
        <w:tc>
          <w:tcPr>
            <w:tcW w:w="1840" w:type="dxa"/>
            <w:vAlign w:val="bottom"/>
            <w:tcBorders>
              <w:left w:val="single" w:sz="8" w:color="auto"/>
              <w:bottom w:val="single" w:sz="8" w:color="auto"/>
              <w:right w:val="single" w:sz="8" w:color="auto"/>
            </w:tcBorders>
          </w:tcPr>
          <w:p>
            <w:pPr>
              <w:spacing w:after="0"/>
              <w:rPr>
                <w:sz w:val="3"/>
                <w:szCs w:val="3"/>
                <w:color w:val="auto"/>
              </w:rPr>
            </w:pPr>
          </w:p>
        </w:tc>
        <w:tc>
          <w:tcPr>
            <w:tcW w:w="4900" w:type="dxa"/>
            <w:vAlign w:val="bottom"/>
            <w:tcBorders>
              <w:bottom w:val="single" w:sz="8" w:color="auto"/>
              <w:right w:val="single" w:sz="8" w:color="auto"/>
            </w:tcBorders>
          </w:tcPr>
          <w:p>
            <w:pPr>
              <w:spacing w:after="0"/>
              <w:rPr>
                <w:sz w:val="3"/>
                <w:szCs w:val="3"/>
                <w:color w:val="auto"/>
              </w:rPr>
            </w:pPr>
          </w:p>
        </w:tc>
      </w:tr>
    </w:tbl>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This proxy statement is first being made available to our shareholders on or about February 22, 2024. It is furnished in connection with the solicitation of proxies by the SLB Board of Directors to be voted during the 2024 AGM and at any postponement or adjournment of the 2024 AGM.</w:t>
      </w:r>
    </w:p>
    <w:p>
      <w:pPr>
        <w:spacing w:after="0" w:line="142"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To be admitted to the meeting, shareholders of record and beneficial owners as of the close of business on February 7, 2024 must present a passport or other government-issued identification with a photograph and, for beneficial owners, proof of ownership as of February 7, 2024, such as the Notice of Internet Availability, and/or the top half of the proxy card or voting instruction card that was sent to you with this proxy statement.</w:t>
      </w:r>
    </w:p>
    <w:p>
      <w:pPr>
        <w:spacing w:after="0" w:line="15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Chairperson of the meeting will determine the procedures for conducting the meeting and will limit the meeting to those matters properly brought by or at the direction of our Board or properly presented by a shareholder.</w:t>
      </w:r>
    </w:p>
    <w:p>
      <w:pPr>
        <w:spacing w:after="0" w:line="242" w:lineRule="exact"/>
        <w:rPr>
          <w:sz w:val="20"/>
          <w:szCs w:val="20"/>
          <w:color w:val="auto"/>
        </w:rPr>
      </w:pPr>
    </w:p>
    <w:p>
      <w:pPr>
        <w:spacing w:after="0"/>
        <w:rPr>
          <w:sz w:val="20"/>
          <w:szCs w:val="20"/>
          <w:color w:val="auto"/>
        </w:rPr>
      </w:pPr>
      <w:r>
        <w:rPr>
          <w:rFonts w:ascii="Arial" w:cs="Arial" w:eastAsia="Arial" w:hAnsi="Arial"/>
          <w:sz w:val="25"/>
          <w:szCs w:val="25"/>
          <w:color w:val="00329F"/>
        </w:rPr>
        <w:t>Proxy Materials are Available on the Internet</w:t>
      </w:r>
    </w:p>
    <w:p>
      <w:pPr>
        <w:spacing w:after="0" w:line="20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We are furnishing proxy materials to our shareholders primarily via the Internet instead of mailing printed copies of those materials to each shareholder. By doing so, we save costs and reduce the environmental impact of our 2024 AGM. On February 22, 2024, we mailed a Notice of Internet Availability to certain of our shareholders with instructions on how to access the proxy materials online and vote online or by telephone. If you would like to receive a paper copy of our proxy materials, please follow the instructions included in the Notice of Internet Availability. If you previously chose to receive our proxy materials electronically, you will continue to receive access to these materials via email unless you elect otherwise.</w:t>
      </w:r>
    </w:p>
    <w:p>
      <w:pPr>
        <w:spacing w:after="0" w:line="266" w:lineRule="exact"/>
        <w:rPr>
          <w:sz w:val="20"/>
          <w:szCs w:val="20"/>
          <w:color w:val="auto"/>
        </w:rPr>
      </w:pPr>
    </w:p>
    <w:p>
      <w:pPr>
        <w:spacing w:after="0"/>
        <w:rPr>
          <w:sz w:val="20"/>
          <w:szCs w:val="20"/>
          <w:color w:val="auto"/>
        </w:rPr>
      </w:pPr>
      <w:r>
        <w:rPr>
          <w:rFonts w:ascii="Arial" w:cs="Arial" w:eastAsia="Arial" w:hAnsi="Arial"/>
          <w:sz w:val="25"/>
          <w:szCs w:val="25"/>
          <w:color w:val="00329F"/>
        </w:rPr>
        <w:t>Proxies</w:t>
      </w:r>
    </w:p>
    <w:p>
      <w:pPr>
        <w:spacing w:after="0" w:line="207"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Shares cannot be voted at the meeting unless the owner of record is present in person or is represented by proxy. SLB is incorporated in Curaçao and, in accordance with Curaçao law, meetings of shareholders are held in Curaçao. Because many shareholders cannot personally attend the meeting, it is necessary that a large number be represented by proxy.</w:t>
      </w: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color w:val="00329F"/>
        </w:rPr>
        <w:t>Record Date</w:t>
      </w:r>
    </w:p>
    <w:p>
      <w:pPr>
        <w:spacing w:after="0" w:line="20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 xml:space="preserve">Each shareholder of record at the close of business on the record date, </w:t>
      </w:r>
      <w:r>
        <w:rPr>
          <w:rFonts w:ascii="Arial" w:cs="Arial" w:eastAsia="Arial" w:hAnsi="Arial"/>
          <w:sz w:val="16"/>
          <w:szCs w:val="16"/>
          <w:b w:val="1"/>
          <w:bCs w:val="1"/>
          <w:color w:val="00329F"/>
        </w:rPr>
        <w:t>February 7, 2024</w:t>
      </w:r>
      <w:r>
        <w:rPr>
          <w:rFonts w:ascii="Arial" w:cs="Arial" w:eastAsia="Arial" w:hAnsi="Arial"/>
          <w:sz w:val="16"/>
          <w:szCs w:val="16"/>
          <w:color w:val="auto"/>
        </w:rPr>
        <w:t>, is entitled to one vote for each director nominee and one vote for each of the other proposals to be voted on, with respect to each share registered in that shareholder’s name. A shareholder of record is a person or entity who held shares on the record date registered in that shareholder’s name on the records of Computershare Trust Company, N.A. (</w:t>
      </w:r>
      <w:r>
        <w:rPr>
          <w:rFonts w:ascii="Arial" w:cs="Arial" w:eastAsia="Arial" w:hAnsi="Arial"/>
          <w:sz w:val="16"/>
          <w:szCs w:val="16"/>
          <w:b w:val="1"/>
          <w:bCs w:val="1"/>
          <w:color w:val="auto"/>
        </w:rPr>
        <w:t>Computershare</w:t>
      </w:r>
      <w:r>
        <w:rPr>
          <w:rFonts w:ascii="Arial" w:cs="Arial" w:eastAsia="Arial" w:hAnsi="Arial"/>
          <w:sz w:val="16"/>
          <w:szCs w:val="16"/>
          <w:color w:val="auto"/>
        </w:rPr>
        <w:t>), SLB’s stock transfer agent. On the record date, February 7, 2024, there were 1,432,365,447 shares of SLB common stock outstanding and entitled to vote. Persons who held shares on the record date through a broker, bank, or other nominee are referred to as beneficial owners.</w:t>
      </w:r>
    </w:p>
    <w:p>
      <w:pPr>
        <w:spacing w:after="0" w:line="266" w:lineRule="exact"/>
        <w:rPr>
          <w:sz w:val="20"/>
          <w:szCs w:val="20"/>
          <w:color w:val="auto"/>
        </w:rPr>
      </w:pPr>
    </w:p>
    <w:p>
      <w:pPr>
        <w:spacing w:after="0"/>
        <w:rPr>
          <w:sz w:val="20"/>
          <w:szCs w:val="20"/>
          <w:color w:val="auto"/>
        </w:rPr>
      </w:pPr>
      <w:r>
        <w:rPr>
          <w:rFonts w:ascii="Arial" w:cs="Arial" w:eastAsia="Arial" w:hAnsi="Arial"/>
          <w:sz w:val="25"/>
          <w:szCs w:val="25"/>
          <w:color w:val="00329F"/>
        </w:rPr>
        <w:t>Quorum</w:t>
      </w:r>
    </w:p>
    <w:p>
      <w:pPr>
        <w:spacing w:after="0" w:line="2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Holders of at least one-half of the outstanding shares entitled to vote at the 2024 AGM must be present in person or represented by proxy to constitute a quorum to take any action at the meeting. Abstentions and broker non-votes will be considered as present for quorum purposes, as discussed under “— Effect of Broker Non-Votes and Abstentions.” If a quorum is not present at the meeting, the Board may call a second general meeting of shareholders, at which the quorum requirement will not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471170" cy="282575"/>
            <wp:wrapNone/>
            <wp:docPr id="3304" name="Picture 3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4"/>
                    <pic:cNvPicPr>
                      <a:picLocks noChangeAspect="1" noChangeArrowheads="1"/>
                    </pic:cNvPicPr>
                  </pic:nvPicPr>
                  <pic:blipFill>
                    <a:blip r:embed="rId3311">
                      <a:extLst>
                        <a:ext uri="{28A0092B-C50C-407E-A947-70E740481C1C}"/>
                      </a:extLst>
                    </a:blip>
                    <a:srcRect/>
                    <a:stretch>
                      <a:fillRect/>
                    </a:stretch>
                  </pic:blipFill>
                  <pic:spPr bwMode="auto">
                    <a:xfrm>
                      <a:off x="0" y="0"/>
                      <a:ext cx="471170" cy="28257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both"/>
        <w:ind w:left="5540"/>
        <w:spacing w:after="0"/>
        <w:tabs>
          <w:tab w:leader="none" w:pos="9540" w:val="left"/>
        </w:tabs>
        <w:rPr>
          <w:sz w:val="20"/>
          <w:szCs w:val="20"/>
          <w:color w:val="auto"/>
        </w:rPr>
      </w:pPr>
      <w:r>
        <w:rPr>
          <w:rFonts w:ascii="Arial" w:cs="Arial" w:eastAsia="Arial" w:hAnsi="Arial"/>
          <w:sz w:val="16"/>
          <w:szCs w:val="16"/>
          <w:b w:val="1"/>
          <w:bCs w:val="1"/>
          <w:color w:val="auto"/>
        </w:rPr>
        <w:t>66</w:t>
      </w:r>
      <w:r>
        <w:rPr>
          <w:sz w:val="20"/>
          <w:szCs w:val="20"/>
          <w:color w:val="auto"/>
        </w:rPr>
        <w:tab/>
      </w:r>
      <w:r>
        <w:rPr>
          <w:rFonts w:ascii="Arial" w:cs="Arial" w:eastAsia="Arial" w:hAnsi="Arial"/>
          <w:sz w:val="16"/>
          <w:szCs w:val="16"/>
          <w:b w:val="1"/>
          <w:bCs w:val="1"/>
          <w:color w:val="636466"/>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-29845</wp:posOffset>
            </wp:positionV>
            <wp:extent cx="5417820" cy="17145"/>
            <wp:wrapNone/>
            <wp:docPr id="3305" name="Picture 3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5"/>
                    <pic:cNvPicPr>
                      <a:picLocks noChangeAspect="1" noChangeArrowheads="1"/>
                    </pic:cNvPicPr>
                  </pic:nvPicPr>
                  <pic:blipFill>
                    <a:blip r:embed="rId3312">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34290"/>
            <wp:wrapNone/>
            <wp:docPr id="3306" name="Picture 3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6"/>
                    <pic:cNvPicPr>
                      <a:picLocks noChangeAspect="1" noChangeArrowheads="1"/>
                    </pic:cNvPicPr>
                  </pic:nvPicPr>
                  <pic:blipFill>
                    <a:blip r:embed="rId33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72" w:name="page73"/>
    <w:bookmarkEnd w:id="72"/>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3" w:lineRule="exact"/>
        <w:rPr>
          <w:sz w:val="20"/>
          <w:szCs w:val="20"/>
          <w:color w:val="auto"/>
        </w:rPr>
      </w:pPr>
    </w:p>
    <w:p>
      <w:pPr>
        <w:spacing w:after="0"/>
        <w:rPr>
          <w:sz w:val="20"/>
          <w:szCs w:val="20"/>
          <w:color w:val="auto"/>
        </w:rPr>
      </w:pPr>
      <w:r>
        <w:rPr>
          <w:rFonts w:ascii="Arial" w:cs="Arial" w:eastAsia="Arial" w:hAnsi="Arial"/>
          <w:sz w:val="25"/>
          <w:szCs w:val="25"/>
          <w:color w:val="00329F"/>
        </w:rPr>
        <w:t>Votes Required to Adopt Proposals</w:t>
      </w:r>
    </w:p>
    <w:p>
      <w:pPr>
        <w:spacing w:after="0" w:line="220"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To be elected, director nominees must receive a majority of the votes cast, which means the number of votes cast FOR a director nominee must exceed the number of votes cast AGAINST that nominee. Approval of each of the other matters on the agenda also requires the affirmative vote of the majority of the votes cast (excluding any abstentions).</w:t>
      </w: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color w:val="00329F"/>
        </w:rPr>
        <w:t>Important Voting Information for Beneficial Owners</w:t>
      </w:r>
    </w:p>
    <w:p>
      <w:pPr>
        <w:spacing w:after="0" w:line="2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If your SLB shares are held for you in “street name”—which means you own your shares through a brokerage, bank, or other institutional account—then you are considered the beneficial owner of those shares, but not the record holder. This means that you vote by providing instructions to your broker rather than directly to SLB. If you do not provide voting instructions, your shares may not be represented or voted at the meeting, as discussed under “—Effect of Broker Non-Votes and Abstentions.”</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color w:val="00329F"/>
        </w:rPr>
        <w:t>Effect of Broker Non-Votes and Abstentions</w:t>
      </w:r>
    </w:p>
    <w:p>
      <w:pPr>
        <w:spacing w:after="0" w:line="20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6"/>
          <w:szCs w:val="16"/>
          <w:color w:val="auto"/>
        </w:rPr>
        <w:t>Brokers holding shares must vote according to specific instructions they receive from the beneficial owners of those shares. If brokers do not receive specific instructions, brokers may in routine matters vote the shares in their discretion (such as Items 3 and 4 in this proxy statement), but they are not permitted to vote on the other, non-routine matters unless you provide voting instructions, resulting in a “broker non-vote” for the matters on which a broker does not vote. Abstentions occur when you abstain or instruct your broker to abstain from voting on a particular matter instead of voting for or against the matter. Abstentions and broker non-votes will be considered as present for quorum purposes, but they are not considered as votes cast and will not be counted in determining the outcome of the vote on the election of directors or on any of the other proposals on non-routine matters.</w:t>
      </w:r>
    </w:p>
    <w:p>
      <w:pPr>
        <w:spacing w:after="0" w:line="268" w:lineRule="exact"/>
        <w:rPr>
          <w:sz w:val="20"/>
          <w:szCs w:val="20"/>
          <w:color w:val="auto"/>
        </w:rPr>
      </w:pPr>
    </w:p>
    <w:p>
      <w:pPr>
        <w:spacing w:after="0"/>
        <w:rPr>
          <w:sz w:val="20"/>
          <w:szCs w:val="20"/>
          <w:color w:val="auto"/>
        </w:rPr>
      </w:pPr>
      <w:r>
        <w:rPr>
          <w:rFonts w:ascii="Arial" w:cs="Arial" w:eastAsia="Arial" w:hAnsi="Arial"/>
          <w:sz w:val="25"/>
          <w:szCs w:val="25"/>
          <w:color w:val="00329F"/>
        </w:rPr>
        <w:t>How to Cast Your Vote</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Shareholders with shares registered in their names with Computershare may authorize a proxy:</w:t>
      </w:r>
    </w:p>
    <w:p>
      <w:pPr>
        <w:spacing w:after="0" w:line="266" w:lineRule="exact"/>
        <w:rPr>
          <w:sz w:val="20"/>
          <w:szCs w:val="20"/>
          <w:color w:val="auto"/>
        </w:rPr>
      </w:pPr>
    </w:p>
    <w:p>
      <w:pPr>
        <w:ind w:left="900"/>
        <w:spacing w:after="0"/>
        <w:rPr>
          <w:sz w:val="20"/>
          <w:szCs w:val="20"/>
          <w:color w:val="auto"/>
        </w:rPr>
      </w:pPr>
      <w:r>
        <w:rPr>
          <w:rFonts w:ascii="Arial" w:cs="Arial" w:eastAsia="Arial" w:hAnsi="Arial"/>
          <w:sz w:val="14"/>
          <w:szCs w:val="14"/>
          <w:b w:val="1"/>
          <w:bCs w:val="1"/>
          <w:color w:val="00329F"/>
        </w:rPr>
        <w:t>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282575" cy="248285"/>
            <wp:wrapNone/>
            <wp:docPr id="3307" name="Picture 3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7"/>
                    <pic:cNvPicPr>
                      <a:picLocks noChangeAspect="1" noChangeArrowheads="1"/>
                    </pic:cNvPicPr>
                  </pic:nvPicPr>
                  <pic:blipFill>
                    <a:blip r:embed="rId3314">
                      <a:extLst>
                        <a:ext uri="{28A0092B-C50C-407E-A947-70E740481C1C}"/>
                      </a:extLst>
                    </a:blip>
                    <a:srcRect/>
                    <a:stretch>
                      <a:fillRect/>
                    </a:stretch>
                  </pic:blipFill>
                  <pic:spPr bwMode="auto">
                    <a:xfrm>
                      <a:off x="0" y="0"/>
                      <a:ext cx="282575" cy="248285"/>
                    </a:xfrm>
                    <a:prstGeom prst="rect">
                      <a:avLst/>
                    </a:prstGeom>
                    <a:noFill/>
                  </pic:spPr>
                </pic:pic>
              </a:graphicData>
            </a:graphic>
          </wp:anchor>
        </w:drawing>
      </w:r>
    </w:p>
    <w:p>
      <w:pPr>
        <w:ind w:left="900"/>
        <w:spacing w:after="0"/>
        <w:rPr>
          <w:sz w:val="20"/>
          <w:szCs w:val="20"/>
          <w:color w:val="auto"/>
        </w:rPr>
      </w:pPr>
      <w:r>
        <w:rPr>
          <w:rFonts w:ascii="Arial" w:cs="Arial" w:eastAsia="Arial" w:hAnsi="Arial"/>
          <w:sz w:val="14"/>
          <w:szCs w:val="14"/>
          <w:i w:val="1"/>
          <w:iCs w:val="1"/>
          <w:color w:val="auto"/>
        </w:rPr>
        <w:t>www.proxypush.com/SLB</w:t>
      </w:r>
    </w:p>
    <w:p>
      <w:pPr>
        <w:spacing w:after="0" w:line="190" w:lineRule="exact"/>
        <w:rPr>
          <w:sz w:val="20"/>
          <w:szCs w:val="20"/>
          <w:color w:val="auto"/>
        </w:rPr>
      </w:pPr>
    </w:p>
    <w:p>
      <w:pPr>
        <w:ind w:left="900"/>
        <w:spacing w:after="0"/>
        <w:rPr>
          <w:sz w:val="20"/>
          <w:szCs w:val="20"/>
          <w:color w:val="auto"/>
        </w:rPr>
      </w:pPr>
      <w:r>
        <w:rPr>
          <w:rFonts w:ascii="Arial" w:cs="Arial" w:eastAsia="Arial" w:hAnsi="Arial"/>
          <w:sz w:val="14"/>
          <w:szCs w:val="14"/>
          <w:b w:val="1"/>
          <w:bCs w:val="1"/>
          <w:color w:val="00329F"/>
        </w:rPr>
        <w:t>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231140" cy="222885"/>
            <wp:wrapNone/>
            <wp:docPr id="3308" name="Picture 3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8"/>
                    <pic:cNvPicPr>
                      <a:picLocks noChangeAspect="1" noChangeArrowheads="1"/>
                    </pic:cNvPicPr>
                  </pic:nvPicPr>
                  <pic:blipFill>
                    <a:blip r:embed="rId3315">
                      <a:extLst>
                        <a:ext uri="{28A0092B-C50C-407E-A947-70E740481C1C}"/>
                      </a:extLst>
                    </a:blip>
                    <a:srcRect/>
                    <a:stretch>
                      <a:fillRect/>
                    </a:stretch>
                  </pic:blipFill>
                  <pic:spPr bwMode="auto">
                    <a:xfrm>
                      <a:off x="0" y="0"/>
                      <a:ext cx="231140" cy="222885"/>
                    </a:xfrm>
                    <a:prstGeom prst="rect">
                      <a:avLst/>
                    </a:prstGeom>
                    <a:noFill/>
                  </pic:spPr>
                </pic:pic>
              </a:graphicData>
            </a:graphic>
          </wp:anchor>
        </w:drawing>
      </w:r>
    </w:p>
    <w:p>
      <w:pPr>
        <w:ind w:left="900"/>
        <w:spacing w:after="0"/>
        <w:rPr>
          <w:sz w:val="20"/>
          <w:szCs w:val="20"/>
          <w:color w:val="auto"/>
        </w:rPr>
      </w:pPr>
      <w:r>
        <w:rPr>
          <w:rFonts w:ascii="Arial" w:cs="Arial" w:eastAsia="Arial" w:hAnsi="Arial"/>
          <w:sz w:val="14"/>
          <w:szCs w:val="14"/>
          <w:color w:val="auto"/>
        </w:rPr>
        <w:t>(866) 240-5191</w:t>
      </w:r>
    </w:p>
    <w:p>
      <w:pPr>
        <w:spacing w:after="0" w:line="149" w:lineRule="exact"/>
        <w:rPr>
          <w:sz w:val="20"/>
          <w:szCs w:val="20"/>
          <w:color w:val="auto"/>
        </w:rPr>
      </w:pPr>
    </w:p>
    <w:p>
      <w:pPr>
        <w:ind w:left="900"/>
        <w:spacing w:after="0"/>
        <w:rPr>
          <w:sz w:val="20"/>
          <w:szCs w:val="20"/>
          <w:color w:val="auto"/>
        </w:rPr>
      </w:pPr>
      <w:r>
        <w:rPr>
          <w:rFonts w:ascii="Arial" w:cs="Arial" w:eastAsia="Arial" w:hAnsi="Arial"/>
          <w:sz w:val="14"/>
          <w:szCs w:val="14"/>
          <w:b w:val="1"/>
          <w:bCs w:val="1"/>
          <w:color w:val="00329F"/>
        </w:rPr>
        <w:t>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222885" cy="222885"/>
            <wp:wrapNone/>
            <wp:docPr id="3309" name="Picture 3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9"/>
                    <pic:cNvPicPr>
                      <a:picLocks noChangeAspect="1" noChangeArrowheads="1"/>
                    </pic:cNvPicPr>
                  </pic:nvPicPr>
                  <pic:blipFill>
                    <a:blip r:embed="rId3316">
                      <a:extLst>
                        <a:ext uri="{28A0092B-C50C-407E-A947-70E740481C1C}"/>
                      </a:extLst>
                    </a:blip>
                    <a:srcRect/>
                    <a:stretch>
                      <a:fillRect/>
                    </a:stretch>
                  </pic:blipFill>
                  <pic:spPr bwMode="auto">
                    <a:xfrm>
                      <a:off x="0" y="0"/>
                      <a:ext cx="222885" cy="222885"/>
                    </a:xfrm>
                    <a:prstGeom prst="rect">
                      <a:avLst/>
                    </a:prstGeom>
                    <a:noFill/>
                  </pic:spPr>
                </pic:pic>
              </a:graphicData>
            </a:graphic>
          </wp:anchor>
        </w:drawing>
      </w:r>
    </w:p>
    <w:p>
      <w:pPr>
        <w:ind w:left="900"/>
        <w:spacing w:after="0"/>
        <w:rPr>
          <w:sz w:val="20"/>
          <w:szCs w:val="20"/>
          <w:color w:val="auto"/>
        </w:rPr>
      </w:pPr>
      <w:r>
        <w:rPr>
          <w:rFonts w:ascii="Arial" w:cs="Arial" w:eastAsia="Arial" w:hAnsi="Arial"/>
          <w:sz w:val="14"/>
          <w:szCs w:val="14"/>
          <w:color w:val="auto"/>
        </w:rPr>
        <w:t>Sign, date, and mail your proxy card</w:t>
      </w:r>
    </w:p>
    <w:p>
      <w:pPr>
        <w:spacing w:after="0" w:line="293"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The internet and telephone voting facilities for shareholders of record will close at 11:59 p.m. Eastern time on Tuesday, April 2, 2024. The internet and telephone voting procedures have been designed to authenticate shareholders and to allow you to vote your SLB shares and to confirm that your instructions have been properly recorded.</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Many banks, brokerage firms, and other nominees participate in programs that also permit beneficial owners to direct their vote by the internet or telephone. If you are a beneficial owner whose shares are held in an account at a bank, brokerage firm, or other nominee that participates in such a program, you may direct the vote of those shares by the internet or telephone by following the instructions on any voting instruction form or electronic voting instructions that you receive from your bank, brokerage firm or other nominee.</w:t>
      </w:r>
    </w:p>
    <w:p>
      <w:pPr>
        <w:spacing w:after="0" w:line="16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All shares entitled to vote at the 2024 AGM and represented at the meeting by properly executed, unrevoked proxies will be voted at the meeting in accordance with your instructions. If you are a shareholder with shares registered in your name with Computershare and you submit a properly executed proxy card or indicate your voting preference via phone or internet but do not direct how to vote on certain items, the persons named as proxies will vote as the Board recommends on each such proposal.</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color w:val="00329F"/>
        </w:rPr>
        <w:t>Changing Your Vote or Revoking Your Proxy</w:t>
      </w:r>
    </w:p>
    <w:p>
      <w:pPr>
        <w:spacing w:after="0" w:line="207" w:lineRule="exact"/>
        <w:rPr>
          <w:sz w:val="20"/>
          <w:szCs w:val="20"/>
          <w:color w:val="auto"/>
        </w:rPr>
      </w:pPr>
    </w:p>
    <w:p>
      <w:pPr>
        <w:jc w:val="both"/>
        <w:ind w:right="20" w:firstLine="324"/>
        <w:spacing w:after="0" w:line="266" w:lineRule="auto"/>
        <w:rPr>
          <w:sz w:val="20"/>
          <w:szCs w:val="20"/>
          <w:color w:val="auto"/>
        </w:rPr>
      </w:pPr>
      <w:r>
        <w:rPr>
          <w:rFonts w:ascii="Arial" w:cs="Arial" w:eastAsia="Arial" w:hAnsi="Arial"/>
          <w:sz w:val="16"/>
          <w:szCs w:val="16"/>
          <w:color w:val="auto"/>
        </w:rPr>
        <w:t>If you are a shareholder of record, you can change your vote or revoke your proxy at any time by timely delivering a properly executed, later-dated proxy (including an internet or telephone vote by April 2, 2024) or by voting by ballot at the 2024 AGM. If you hold shares through a bank, broker, or other nominee, you must follow the instructions of your bank, broker, or other nominee to change or revoke your voting instructions.</w:t>
      </w: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color w:val="00329F"/>
        </w:rPr>
        <w:t>Soliciting Proxies</w:t>
      </w:r>
    </w:p>
    <w:p>
      <w:pPr>
        <w:spacing w:after="0" w:line="2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SLB will pay the cost of furnishing proxy materials to all shareholders and of soliciting proxies. We have retained D.F. King &amp; Co., Inc. to assist in the solicitation of proxies for a fee estimated at $17,050 plus reasonable expenses. SLB directors, officers, and employees may also solicit proxies for no additional compensation. We will reimburse brokerage firms, fiduciaries, and custodians for their reasonable expenses in forwarding the solicitation material to beneficial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190500</wp:posOffset>
            </wp:positionV>
            <wp:extent cx="471805" cy="282575"/>
            <wp:wrapNone/>
            <wp:docPr id="3310" name="Picture 3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0"/>
                    <pic:cNvPicPr>
                      <a:picLocks noChangeAspect="1" noChangeArrowheads="1"/>
                    </pic:cNvPicPr>
                  </pic:nvPicPr>
                  <pic:blipFill>
                    <a:blip r:embed="rId3317">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2024 Proxy Statement</w:t>
            </w:r>
          </w:p>
        </w:tc>
        <w:tc>
          <w:tcPr>
            <w:tcW w:w="3600" w:type="dxa"/>
            <w:vAlign w:val="bottom"/>
            <w:tcBorders>
              <w:bottom w:val="single" w:sz="8" w:color="auto"/>
            </w:tcBorders>
          </w:tcPr>
          <w:p>
            <w:pPr>
              <w:spacing w:after="0"/>
              <w:rPr>
                <w:sz w:val="12"/>
                <w:szCs w:val="12"/>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67</w:t>
            </w:r>
          </w:p>
        </w:tc>
        <w:tc>
          <w:tcPr>
            <w:tcW w:w="4480" w:type="dxa"/>
            <w:vAlign w:val="bottom"/>
            <w:tcBorders>
              <w:bottom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36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48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73" w:name="page74"/>
    <w:bookmarkEnd w:id="73"/>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3" w:lineRule="exact"/>
        <w:rPr>
          <w:sz w:val="20"/>
          <w:szCs w:val="20"/>
          <w:color w:val="auto"/>
        </w:rPr>
      </w:pPr>
    </w:p>
    <w:p>
      <w:pPr>
        <w:spacing w:after="0"/>
        <w:rPr>
          <w:sz w:val="20"/>
          <w:szCs w:val="20"/>
          <w:color w:val="auto"/>
        </w:rPr>
      </w:pPr>
      <w:r>
        <w:rPr>
          <w:rFonts w:ascii="Arial" w:cs="Arial" w:eastAsia="Arial" w:hAnsi="Arial"/>
          <w:sz w:val="25"/>
          <w:szCs w:val="25"/>
          <w:color w:val="00329F"/>
        </w:rPr>
        <w:t>Duplicate Mailings</w:t>
      </w:r>
    </w:p>
    <w:p>
      <w:pPr>
        <w:spacing w:after="0" w:line="220"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When a shareholder owns shares in more than one account, or when shareholders live at the same address, duplicate mailings may result. If you receive duplicate reports, you can help support SLB’s sustainability goals and eliminate added expense by requesting that only one copy be sent. To eliminate duplicate mailings, contact Computershare at the following address: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Computershare Trust Company, N.A.</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P.O. Box 43006</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Providence, RI 02940-3006</w:t>
      </w:r>
    </w:p>
    <w:p>
      <w:pPr>
        <w:spacing w:after="0" w:line="5" w:lineRule="exact"/>
        <w:rPr>
          <w:sz w:val="20"/>
          <w:szCs w:val="20"/>
          <w:color w:val="auto"/>
        </w:rPr>
      </w:pPr>
    </w:p>
    <w:p>
      <w:pPr>
        <w:ind w:left="480" w:hanging="148"/>
        <w:spacing w:after="0"/>
        <w:tabs>
          <w:tab w:leader="none" w:pos="4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1 (877) 745-9341</w:t>
      </w:r>
    </w:p>
    <w:p>
      <w:pPr>
        <w:spacing w:after="0" w:line="5" w:lineRule="exact"/>
        <w:rPr>
          <w:rFonts w:ascii="Arial" w:cs="Arial" w:eastAsia="Arial" w:hAnsi="Arial"/>
          <w:sz w:val="16"/>
          <w:szCs w:val="16"/>
          <w:color w:val="auto"/>
        </w:rPr>
      </w:pPr>
    </w:p>
    <w:p>
      <w:pPr>
        <w:ind w:left="480" w:hanging="148"/>
        <w:spacing w:after="0"/>
        <w:tabs>
          <w:tab w:leader="none" w:pos="4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1 (781) 575-2707</w:t>
      </w:r>
    </w:p>
    <w:p>
      <w:pPr>
        <w:spacing w:after="0" w:line="19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will promptly deliver, upon written or oral request to the address or telephone number above by shareholders at a shared address to which a single copy of the documents was delivered, a separate copy of this proxy statement and the 2023 Annual Report.</w:t>
      </w:r>
    </w:p>
    <w:p>
      <w:pPr>
        <w:spacing w:after="0" w:line="242" w:lineRule="exact"/>
        <w:rPr>
          <w:sz w:val="20"/>
          <w:szCs w:val="20"/>
          <w:color w:val="auto"/>
        </w:rPr>
      </w:pPr>
    </w:p>
    <w:p>
      <w:pPr>
        <w:spacing w:after="0"/>
        <w:rPr>
          <w:sz w:val="20"/>
          <w:szCs w:val="20"/>
          <w:color w:val="auto"/>
        </w:rPr>
      </w:pPr>
      <w:r>
        <w:rPr>
          <w:rFonts w:ascii="Arial" w:cs="Arial" w:eastAsia="Arial" w:hAnsi="Arial"/>
          <w:sz w:val="25"/>
          <w:szCs w:val="25"/>
          <w:color w:val="00329F"/>
        </w:rPr>
        <w:t>Shareholder Proposals at 2025 AGM</w:t>
      </w:r>
    </w:p>
    <w:p>
      <w:pPr>
        <w:spacing w:after="0" w:line="2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 xml:space="preserve">In order for a shareholder proposal to be considered for inclusion in the proxy statement for our 2025 AGM pursuant to Rule 14a-8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or for director nominations to be included pursuant to SLB’s proxy access bylaw provisions, such proposals or notice of nominations must be received by the Secretary of the Company, 5599 San Felipe, Houston, Texas 77056, no later than October 25, 2024, and, in the case of a proxy access nomination, no earlier than September 25, 2024.</w:t>
      </w:r>
    </w:p>
    <w:p>
      <w:pPr>
        <w:spacing w:after="0" w:line="16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For shareholder proposals to be introduced for consideration at our 2025 AGM other than pursuant to Rule 14a-8 and for shareholder candidates to be nominated for election as directors other than pursuant to our proxy access bylaw provisions, notice must be delivered to the Secretary of the Company at our executive offices in Houston, Texas, not later than 90 days nor earlier than 120 days before the first anniversary of the date of the 2024 AGM. Accordingly, any such notice must be received no earlier than December 4, 2024, and no later than January 3, 2025, and must otherwise satisfy the requirements of our bylaws. Under the rules of the Exchange Act, we may use discretionary authority to vote with respect to any proposal not included in our proxy materials that is properly presented by a shareholder in person at the 2025 AGM if the shareholder making the proposal fails to meet these deadlines and fails to satisfy the requirements of Rule 14a-4 under the Exchange Act.</w:t>
      </w:r>
    </w:p>
    <w:p>
      <w:pPr>
        <w:spacing w:after="0" w:line="16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6"/>
          <w:szCs w:val="16"/>
          <w:color w:val="auto"/>
        </w:rPr>
        <w:t>Further, to comply with the SEC’s universal proxy rules, if a shareholder intends to solicit proxies in support of director nominees submitted under these advance notice provisions, then we must receive proper written notice including all information required by Rule 14a-19 under the Exchange Act, delivered to the Secretary of the Company at our executive offices in Houston, Texas, by February 2, 2025 (or, if the 2025 AGM is called for a date that is more than 30</w:t>
      </w:r>
    </w:p>
    <w:p>
      <w:pPr>
        <w:spacing w:after="0" w:line="184" w:lineRule="auto"/>
        <w:rPr>
          <w:sz w:val="20"/>
          <w:szCs w:val="20"/>
          <w:color w:val="auto"/>
        </w:rPr>
      </w:pPr>
      <w:r>
        <w:rPr>
          <w:rFonts w:ascii="Arial" w:cs="Arial" w:eastAsia="Arial" w:hAnsi="Arial"/>
          <w:sz w:val="16"/>
          <w:szCs w:val="16"/>
          <w:color w:val="auto"/>
        </w:rPr>
        <w:t>days before or more than 30 days after such anniversary date, then notice must be provided not later than the close of business on the later of the 60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w:t>
      </w:r>
    </w:p>
    <w:p>
      <w:pPr>
        <w:spacing w:after="0" w:line="1" w:lineRule="exact"/>
        <w:rPr>
          <w:sz w:val="20"/>
          <w:szCs w:val="20"/>
          <w:color w:val="auto"/>
        </w:rPr>
      </w:pPr>
    </w:p>
    <w:p>
      <w:pPr>
        <w:jc w:val="both"/>
        <w:spacing w:after="0" w:line="214" w:lineRule="auto"/>
        <w:rPr>
          <w:sz w:val="20"/>
          <w:szCs w:val="20"/>
          <w:color w:val="auto"/>
        </w:rPr>
      </w:pPr>
      <w:r>
        <w:rPr>
          <w:rFonts w:ascii="Arial" w:cs="Arial" w:eastAsia="Arial" w:hAnsi="Arial"/>
          <w:sz w:val="16"/>
          <w:szCs w:val="16"/>
          <w:color w:val="auto"/>
        </w:rPr>
        <w:t>prior to the 2025 AGM or the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following the date on which public announcement of the 2025 AGM is made). The notice requirement under Rule 14a-19 is in addition to the applicable advance notice requirements under our bylaws.</w:t>
      </w:r>
    </w:p>
    <w:p>
      <w:pPr>
        <w:spacing w:after="0" w:line="277" w:lineRule="exact"/>
        <w:rPr>
          <w:sz w:val="20"/>
          <w:szCs w:val="20"/>
          <w:color w:val="auto"/>
        </w:rPr>
      </w:pPr>
    </w:p>
    <w:p>
      <w:pPr>
        <w:spacing w:after="0"/>
        <w:rPr>
          <w:sz w:val="20"/>
          <w:szCs w:val="20"/>
          <w:color w:val="auto"/>
        </w:rPr>
      </w:pPr>
      <w:r>
        <w:rPr>
          <w:rFonts w:ascii="Arial" w:cs="Arial" w:eastAsia="Arial" w:hAnsi="Arial"/>
          <w:sz w:val="25"/>
          <w:szCs w:val="25"/>
          <w:color w:val="00329F"/>
        </w:rPr>
        <w:t>Other Business</w:t>
      </w:r>
    </w:p>
    <w:p>
      <w:pPr>
        <w:spacing w:after="0" w:line="207" w:lineRule="exact"/>
        <w:rPr>
          <w:sz w:val="20"/>
          <w:szCs w:val="20"/>
          <w:color w:val="auto"/>
        </w:rPr>
      </w:pPr>
    </w:p>
    <w:p>
      <w:pPr>
        <w:jc w:val="both"/>
        <w:ind w:right="20" w:firstLine="324"/>
        <w:spacing w:after="0" w:line="266" w:lineRule="auto"/>
        <w:rPr>
          <w:sz w:val="20"/>
          <w:szCs w:val="20"/>
          <w:color w:val="auto"/>
        </w:rPr>
      </w:pPr>
      <w:r>
        <w:rPr>
          <w:rFonts w:ascii="Arial" w:cs="Arial" w:eastAsia="Arial" w:hAnsi="Arial"/>
          <w:sz w:val="16"/>
          <w:szCs w:val="16"/>
          <w:color w:val="auto"/>
        </w:rPr>
        <w:t>As of February 22, 2024, we know of no other business that will be presented at the 2024 AGM other than the matters described in this proxy statement. If any additional matters are properly presented at the meeting, we intend to vote the enclosed proxy in accordance with the discretion of the persons named in the proxy.</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Please sign, date, and return the accompanying proxy in the enclosed envelope at your earliest convenience.</w:t>
      </w:r>
    </w:p>
    <w:p>
      <w:pPr>
        <w:spacing w:after="0" w:line="194" w:lineRule="exact"/>
        <w:rPr>
          <w:sz w:val="20"/>
          <w:szCs w:val="20"/>
          <w:color w:val="auto"/>
        </w:rPr>
      </w:pPr>
    </w:p>
    <w:p>
      <w:pPr>
        <w:ind w:left="878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72390</wp:posOffset>
            </wp:positionV>
            <wp:extent cx="1551940" cy="283210"/>
            <wp:wrapNone/>
            <wp:docPr id="3311" name="Picture 3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1"/>
                    <pic:cNvPicPr>
                      <a:picLocks noChangeAspect="1" noChangeArrowheads="1"/>
                    </pic:cNvPicPr>
                  </pic:nvPicPr>
                  <pic:blipFill>
                    <a:blip r:embed="rId3318">
                      <a:extLst>
                        <a:ext uri="{28A0092B-C50C-407E-A947-70E740481C1C}"/>
                      </a:extLst>
                    </a:blip>
                    <a:srcRect/>
                    <a:stretch>
                      <a:fillRect/>
                    </a:stretch>
                  </pic:blipFill>
                  <pic:spPr bwMode="auto">
                    <a:xfrm>
                      <a:off x="0" y="0"/>
                      <a:ext cx="155194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Dianne B. Ralston</w:t>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3"/>
          <w:szCs w:val="13"/>
          <w:i w:val="1"/>
          <w:iCs w:val="1"/>
          <w:color w:val="auto"/>
        </w:rPr>
        <w:t>Chief Legal Officer and Secretary</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Houston, Texas</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February 22,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471170" cy="282575"/>
            <wp:wrapNone/>
            <wp:docPr id="3312" name="Picture 3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2"/>
                    <pic:cNvPicPr>
                      <a:picLocks noChangeAspect="1" noChangeArrowheads="1"/>
                    </pic:cNvPicPr>
                  </pic:nvPicPr>
                  <pic:blipFill>
                    <a:blip r:embed="rId3319">
                      <a:extLst>
                        <a:ext uri="{28A0092B-C50C-407E-A947-70E740481C1C}"/>
                      </a:extLst>
                    </a:blip>
                    <a:srcRect/>
                    <a:stretch>
                      <a:fillRect/>
                    </a:stretch>
                  </pic:blipFill>
                  <pic:spPr bwMode="auto">
                    <a:xfrm>
                      <a:off x="0" y="0"/>
                      <a:ext cx="471170" cy="28257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5540"/>
        <w:spacing w:after="0"/>
        <w:tabs>
          <w:tab w:leader="none" w:pos="9540" w:val="left"/>
        </w:tabs>
        <w:rPr>
          <w:sz w:val="20"/>
          <w:szCs w:val="20"/>
          <w:color w:val="auto"/>
        </w:rPr>
      </w:pPr>
      <w:r>
        <w:rPr>
          <w:rFonts w:ascii="Arial" w:cs="Arial" w:eastAsia="Arial" w:hAnsi="Arial"/>
          <w:sz w:val="16"/>
          <w:szCs w:val="16"/>
          <w:b w:val="1"/>
          <w:bCs w:val="1"/>
          <w:color w:val="auto"/>
        </w:rPr>
        <w:t>68</w:t>
      </w:r>
      <w:r>
        <w:rPr>
          <w:sz w:val="20"/>
          <w:szCs w:val="20"/>
          <w:color w:val="auto"/>
        </w:rPr>
        <w:tab/>
      </w:r>
      <w:r>
        <w:rPr>
          <w:rFonts w:ascii="Arial" w:cs="Arial" w:eastAsia="Arial" w:hAnsi="Arial"/>
          <w:sz w:val="16"/>
          <w:szCs w:val="16"/>
          <w:b w:val="1"/>
          <w:bCs w:val="1"/>
          <w:color w:val="636466"/>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-29845</wp:posOffset>
            </wp:positionV>
            <wp:extent cx="5417820" cy="17145"/>
            <wp:wrapNone/>
            <wp:docPr id="3313" name="Picture 3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3"/>
                    <pic:cNvPicPr>
                      <a:picLocks noChangeAspect="1" noChangeArrowheads="1"/>
                    </pic:cNvPicPr>
                  </pic:nvPicPr>
                  <pic:blipFill>
                    <a:blip r:embed="rId3320">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34290"/>
            <wp:wrapNone/>
            <wp:docPr id="3314" name="Picture 3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4"/>
                    <pic:cNvPicPr>
                      <a:picLocks noChangeAspect="1" noChangeArrowheads="1"/>
                    </pic:cNvPicPr>
                  </pic:nvPicPr>
                  <pic:blipFill>
                    <a:blip r:embed="rId33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74" w:name="page75"/>
    <w:bookmarkEnd w:id="74"/>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9" w:lineRule="exact"/>
        <w:rPr>
          <w:sz w:val="20"/>
          <w:szCs w:val="20"/>
          <w:color w:val="auto"/>
        </w:rPr>
      </w:pPr>
    </w:p>
    <w:p>
      <w:pPr>
        <w:spacing w:after="0"/>
        <w:rPr>
          <w:sz w:val="20"/>
          <w:szCs w:val="20"/>
          <w:color w:val="auto"/>
        </w:rPr>
      </w:pPr>
      <w:r>
        <w:rPr>
          <w:rFonts w:ascii="Arial" w:cs="Arial" w:eastAsia="Arial" w:hAnsi="Arial"/>
          <w:sz w:val="50"/>
          <w:szCs w:val="50"/>
          <w:color w:val="0233A1"/>
        </w:rPr>
        <w:t>Appendix A</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9"/>
          <w:szCs w:val="29"/>
          <w:color w:val="16458B"/>
        </w:rPr>
        <w:t>Non-GAAP Financial Measures</w:t>
      </w:r>
    </w:p>
    <w:p>
      <w:pPr>
        <w:spacing w:after="0" w:line="360" w:lineRule="exact"/>
        <w:rPr>
          <w:sz w:val="20"/>
          <w:szCs w:val="20"/>
          <w:color w:val="auto"/>
        </w:rPr>
      </w:pPr>
    </w:p>
    <w:p>
      <w:pPr>
        <w:jc w:val="both"/>
        <w:ind w:right="20" w:firstLine="324"/>
        <w:spacing w:after="0" w:line="266" w:lineRule="auto"/>
        <w:rPr>
          <w:sz w:val="20"/>
          <w:szCs w:val="20"/>
          <w:color w:val="auto"/>
        </w:rPr>
      </w:pPr>
      <w:r>
        <w:rPr>
          <w:rFonts w:ascii="Arial" w:cs="Arial" w:eastAsia="Arial" w:hAnsi="Arial"/>
          <w:sz w:val="16"/>
          <w:szCs w:val="16"/>
          <w:color w:val="auto"/>
        </w:rPr>
        <w:t>This proxy statement includes non-GAAP financial measures, including free cash flow, free cash flow margin, adjusted EBITDA, and net debt. Certain of these non-GAAP financial measures are used by SLB management as performance metrics when determining incentive compensation for our executive officers. Below are reconciliations of these non-GAAP financial measures to the comparable GAAP measures.</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Adjusted EBITDA</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Adjusted EBITDA represents income before taxes, excluding charges and credits, depreciation and amortization, interest expense, and interest income. Management believes that adjusted EBITDA is an important profitability measure for SLB and that it provides useful perspective on SLB’s underlying business results and operating trends, and a means to evaluate SLB’s operations period over period. Adjusted EBITDA is a non-GAAP financial measure that should be considered in addition to, not as a substitute for or superior to, other measures of financial performance prepared in accordance with GAAP.</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0233A1"/>
              </w:rPr>
              <w:t>Year Ended</w:t>
            </w:r>
          </w:p>
        </w:tc>
        <w:tc>
          <w:tcPr>
            <w:tcW w:w="300" w:type="dxa"/>
            <w:vAlign w:val="bottom"/>
            <w:tcBorders>
              <w:bottom w:val="single" w:sz="8" w:color="0233A1"/>
            </w:tcBorders>
          </w:tcPr>
          <w:p>
            <w:pPr>
              <w:spacing w:after="0"/>
              <w:rPr>
                <w:sz w:val="17"/>
                <w:szCs w:val="17"/>
                <w:color w:val="auto"/>
              </w:rPr>
            </w:pPr>
          </w:p>
        </w:tc>
        <w:tc>
          <w:tcPr>
            <w:tcW w:w="360" w:type="dxa"/>
            <w:vAlign w:val="bottom"/>
            <w:tcBorders>
              <w:bottom w:val="single" w:sz="8" w:color="0233A1"/>
            </w:tcBorders>
          </w:tcPr>
          <w:p>
            <w:pPr>
              <w:spacing w:after="0"/>
              <w:rPr>
                <w:sz w:val="17"/>
                <w:szCs w:val="17"/>
                <w:color w:val="auto"/>
              </w:rPr>
            </w:pPr>
          </w:p>
        </w:tc>
        <w:tc>
          <w:tcPr>
            <w:tcW w:w="460" w:type="dxa"/>
            <w:vAlign w:val="bottom"/>
            <w:tcBorders>
              <w:bottom w:val="single" w:sz="8" w:color="0233A1"/>
            </w:tcBorders>
          </w:tcPr>
          <w:p>
            <w:pPr>
              <w:spacing w:after="0"/>
              <w:rPr>
                <w:sz w:val="17"/>
                <w:szCs w:val="17"/>
                <w:color w:val="auto"/>
              </w:rPr>
            </w:pPr>
          </w:p>
        </w:tc>
        <w:tc>
          <w:tcPr>
            <w:tcW w:w="520" w:type="dxa"/>
            <w:vAlign w:val="bottom"/>
            <w:tcBorders>
              <w:bottom w:val="single" w:sz="8" w:color="0233A1"/>
            </w:tcBorders>
          </w:tcPr>
          <w:p>
            <w:pPr>
              <w:spacing w:after="0"/>
              <w:rPr>
                <w:sz w:val="17"/>
                <w:szCs w:val="17"/>
                <w:color w:val="auto"/>
              </w:rPr>
            </w:pPr>
          </w:p>
        </w:tc>
        <w:tc>
          <w:tcPr>
            <w:tcW w:w="360" w:type="dxa"/>
            <w:vAlign w:val="bottom"/>
            <w:tcBorders>
              <w:bottom w:val="single" w:sz="8" w:color="0233A1"/>
            </w:tcBorders>
          </w:tcPr>
          <w:p>
            <w:pPr>
              <w:spacing w:after="0"/>
              <w:rPr>
                <w:sz w:val="17"/>
                <w:szCs w:val="17"/>
                <w:color w:val="auto"/>
              </w:rPr>
            </w:pPr>
          </w:p>
        </w:tc>
        <w:tc>
          <w:tcPr>
            <w:tcW w:w="1320" w:type="dxa"/>
            <w:vAlign w:val="bottom"/>
            <w:tcBorders>
              <w:bottom w:val="single" w:sz="8" w:color="0233A1"/>
            </w:tcBorders>
          </w:tcPr>
          <w:p>
            <w:pPr>
              <w:spacing w:after="0"/>
              <w:rPr>
                <w:sz w:val="17"/>
                <w:szCs w:val="17"/>
                <w:color w:val="auto"/>
              </w:rPr>
            </w:pPr>
          </w:p>
        </w:tc>
        <w:tc>
          <w:tcPr>
            <w:tcW w:w="340" w:type="dxa"/>
            <w:vAlign w:val="bottom"/>
            <w:tcBorders>
              <w:bottom w:val="single" w:sz="8" w:color="0233A1"/>
            </w:tcBorders>
          </w:tcPr>
          <w:p>
            <w:pPr>
              <w:spacing w:after="0"/>
              <w:rPr>
                <w:sz w:val="17"/>
                <w:szCs w:val="17"/>
                <w:color w:val="auto"/>
              </w:rPr>
            </w:pPr>
          </w:p>
        </w:tc>
        <w:tc>
          <w:tcPr>
            <w:tcW w:w="1200" w:type="dxa"/>
            <w:vAlign w:val="bottom"/>
            <w:tcBorders>
              <w:bottom w:val="single" w:sz="8" w:color="0233A1"/>
            </w:tcBorders>
          </w:tcPr>
          <w:p>
            <w:pPr>
              <w:spacing w:after="0"/>
              <w:rPr>
                <w:sz w:val="17"/>
                <w:szCs w:val="17"/>
                <w:color w:val="auto"/>
              </w:rPr>
            </w:pPr>
          </w:p>
        </w:tc>
        <w:tc>
          <w:tcPr>
            <w:tcW w:w="1640" w:type="dxa"/>
            <w:vAlign w:val="bottom"/>
            <w:tcBorders>
              <w:bottom w:val="single" w:sz="8" w:color="0233A1"/>
            </w:tcBorders>
            <w:gridSpan w:val="3"/>
          </w:tcPr>
          <w:p>
            <w:pPr>
              <w:jc w:val="right"/>
              <w:ind w:right="19"/>
              <w:spacing w:after="0"/>
              <w:rPr>
                <w:sz w:val="20"/>
                <w:szCs w:val="20"/>
                <w:color w:val="auto"/>
              </w:rPr>
            </w:pPr>
            <w:r>
              <w:rPr>
                <w:rFonts w:ascii="Arial" w:cs="Arial" w:eastAsia="Arial" w:hAnsi="Arial"/>
                <w:sz w:val="16"/>
                <w:szCs w:val="16"/>
                <w:b w:val="1"/>
                <w:bCs w:val="1"/>
                <w:color w:val="0233A1"/>
              </w:rPr>
              <w:t>(Stated in millions)</w:t>
            </w:r>
          </w:p>
        </w:tc>
        <w:tc>
          <w:tcPr>
            <w:tcW w:w="0" w:type="dxa"/>
            <w:vAlign w:val="bottom"/>
          </w:tcPr>
          <w:p>
            <w:pPr>
              <w:spacing w:after="0"/>
              <w:rPr>
                <w:sz w:val="1"/>
                <w:szCs w:val="1"/>
                <w:color w:val="auto"/>
              </w:rPr>
            </w:pPr>
          </w:p>
        </w:tc>
      </w:tr>
      <w:tr>
        <w:trPr>
          <w:trHeight w:val="183"/>
        </w:trPr>
        <w:tc>
          <w:tcPr>
            <w:tcW w:w="4740" w:type="dxa"/>
            <w:vAlign w:val="bottom"/>
            <w:tcBorders>
              <w:bottom w:val="single" w:sz="8" w:color="0233A1"/>
            </w:tcBorders>
            <w:gridSpan w:val="2"/>
            <w:vMerge w:val="continue"/>
          </w:tcPr>
          <w:p>
            <w:pPr>
              <w:spacing w:after="0"/>
              <w:rPr>
                <w:sz w:val="15"/>
                <w:szCs w:val="15"/>
                <w:color w:val="auto"/>
              </w:rPr>
            </w:pPr>
          </w:p>
        </w:tc>
        <w:tc>
          <w:tcPr>
            <w:tcW w:w="300" w:type="dxa"/>
            <w:vAlign w:val="bottom"/>
            <w:tcBorders>
              <w:bottom w:val="single" w:sz="8" w:color="0233A1"/>
            </w:tcBorders>
          </w:tcPr>
          <w:p>
            <w:pPr>
              <w:spacing w:after="0"/>
              <w:rPr>
                <w:sz w:val="15"/>
                <w:szCs w:val="15"/>
                <w:color w:val="auto"/>
              </w:rPr>
            </w:pPr>
          </w:p>
        </w:tc>
        <w:tc>
          <w:tcPr>
            <w:tcW w:w="1340" w:type="dxa"/>
            <w:vAlign w:val="bottom"/>
            <w:tcBorders>
              <w:bottom w:val="single" w:sz="8" w:color="0233A1"/>
            </w:tcBorders>
            <w:gridSpan w:val="3"/>
          </w:tcPr>
          <w:p>
            <w:pPr>
              <w:jc w:val="right"/>
              <w:ind w:right="179"/>
              <w:spacing w:after="0" w:line="183" w:lineRule="exact"/>
              <w:rPr>
                <w:sz w:val="20"/>
                <w:szCs w:val="20"/>
                <w:color w:val="auto"/>
              </w:rPr>
            </w:pPr>
            <w:r>
              <w:rPr>
                <w:rFonts w:ascii="Arial" w:cs="Arial" w:eastAsia="Arial" w:hAnsi="Arial"/>
                <w:sz w:val="16"/>
                <w:szCs w:val="16"/>
                <w:b w:val="1"/>
                <w:bCs w:val="1"/>
                <w:color w:val="0233A1"/>
              </w:rPr>
              <w:t>Dec. 31, 2023</w:t>
            </w:r>
          </w:p>
        </w:tc>
        <w:tc>
          <w:tcPr>
            <w:tcW w:w="360" w:type="dxa"/>
            <w:vAlign w:val="bottom"/>
            <w:tcBorders>
              <w:bottom w:val="single" w:sz="8" w:color="0233A1"/>
            </w:tcBorders>
          </w:tcPr>
          <w:p>
            <w:pPr>
              <w:spacing w:after="0"/>
              <w:rPr>
                <w:sz w:val="15"/>
                <w:szCs w:val="15"/>
                <w:color w:val="auto"/>
              </w:rPr>
            </w:pPr>
          </w:p>
        </w:tc>
        <w:tc>
          <w:tcPr>
            <w:tcW w:w="1320" w:type="dxa"/>
            <w:vAlign w:val="bottom"/>
            <w:tcBorders>
              <w:bottom w:val="single" w:sz="8" w:color="0233A1"/>
            </w:tcBorders>
          </w:tcPr>
          <w:p>
            <w:pPr>
              <w:jc w:val="right"/>
              <w:ind w:right="159"/>
              <w:spacing w:after="0" w:line="183" w:lineRule="exact"/>
              <w:rPr>
                <w:sz w:val="20"/>
                <w:szCs w:val="20"/>
                <w:color w:val="auto"/>
              </w:rPr>
            </w:pPr>
            <w:r>
              <w:rPr>
                <w:rFonts w:ascii="Arial" w:cs="Arial" w:eastAsia="Arial" w:hAnsi="Arial"/>
                <w:sz w:val="16"/>
                <w:szCs w:val="16"/>
                <w:b w:val="1"/>
                <w:bCs w:val="1"/>
                <w:color w:val="0233A1"/>
              </w:rPr>
              <w:t>Dec. 31, 2022</w:t>
            </w:r>
          </w:p>
        </w:tc>
        <w:tc>
          <w:tcPr>
            <w:tcW w:w="340" w:type="dxa"/>
            <w:vAlign w:val="bottom"/>
            <w:tcBorders>
              <w:bottom w:val="single" w:sz="8" w:color="0233A1"/>
            </w:tcBorders>
          </w:tcPr>
          <w:p>
            <w:pPr>
              <w:spacing w:after="0"/>
              <w:rPr>
                <w:sz w:val="15"/>
                <w:szCs w:val="15"/>
                <w:color w:val="auto"/>
              </w:rPr>
            </w:pPr>
          </w:p>
        </w:tc>
        <w:tc>
          <w:tcPr>
            <w:tcW w:w="1200" w:type="dxa"/>
            <w:vAlign w:val="bottom"/>
            <w:tcBorders>
              <w:bottom w:val="single" w:sz="8" w:color="0233A1"/>
            </w:tcBorders>
          </w:tcPr>
          <w:p>
            <w:pPr>
              <w:jc w:val="right"/>
              <w:ind w:right="39"/>
              <w:spacing w:after="0" w:line="183" w:lineRule="exact"/>
              <w:rPr>
                <w:sz w:val="20"/>
                <w:szCs w:val="20"/>
                <w:color w:val="auto"/>
              </w:rPr>
            </w:pPr>
            <w:r>
              <w:rPr>
                <w:rFonts w:ascii="Arial" w:cs="Arial" w:eastAsia="Arial" w:hAnsi="Arial"/>
                <w:sz w:val="16"/>
                <w:szCs w:val="16"/>
                <w:b w:val="1"/>
                <w:bCs w:val="1"/>
                <w:color w:val="0233A1"/>
              </w:rPr>
              <w:t>Dec. 31, 2021</w:t>
            </w:r>
          </w:p>
        </w:tc>
        <w:tc>
          <w:tcPr>
            <w:tcW w:w="460" w:type="dxa"/>
            <w:vAlign w:val="bottom"/>
            <w:tcBorders>
              <w:bottom w:val="single" w:sz="8" w:color="0233A1"/>
            </w:tcBorders>
          </w:tcPr>
          <w:p>
            <w:pPr>
              <w:spacing w:after="0"/>
              <w:rPr>
                <w:sz w:val="15"/>
                <w:szCs w:val="15"/>
                <w:color w:val="auto"/>
              </w:rPr>
            </w:pPr>
          </w:p>
        </w:tc>
        <w:tc>
          <w:tcPr>
            <w:tcW w:w="1180" w:type="dxa"/>
            <w:vAlign w:val="bottom"/>
            <w:tcBorders>
              <w:bottom w:val="single" w:sz="8" w:color="0233A1"/>
            </w:tcBorders>
            <w:gridSpan w:val="2"/>
          </w:tcPr>
          <w:p>
            <w:pPr>
              <w:jc w:val="right"/>
              <w:ind w:right="19"/>
              <w:spacing w:after="0" w:line="183" w:lineRule="exact"/>
              <w:rPr>
                <w:sz w:val="20"/>
                <w:szCs w:val="20"/>
                <w:color w:val="auto"/>
              </w:rPr>
            </w:pPr>
            <w:r>
              <w:rPr>
                <w:rFonts w:ascii="Arial" w:cs="Arial" w:eastAsia="Arial" w:hAnsi="Arial"/>
                <w:sz w:val="16"/>
                <w:szCs w:val="16"/>
                <w:b w:val="1"/>
                <w:bCs w:val="1"/>
                <w:color w:val="0233A1"/>
              </w:rPr>
              <w:t>Dec. 31, 2020</w:t>
            </w:r>
          </w:p>
        </w:tc>
        <w:tc>
          <w:tcPr>
            <w:tcW w:w="0" w:type="dxa"/>
            <w:vAlign w:val="bottom"/>
          </w:tcPr>
          <w:p>
            <w:pPr>
              <w:spacing w:after="0"/>
              <w:rPr>
                <w:sz w:val="1"/>
                <w:szCs w:val="1"/>
                <w:color w:val="auto"/>
              </w:rPr>
            </w:pPr>
          </w:p>
        </w:tc>
      </w:tr>
      <w:tr>
        <w:trPr>
          <w:trHeight w:val="182"/>
        </w:trPr>
        <w:tc>
          <w:tcPr>
            <w:tcW w:w="4740" w:type="dxa"/>
            <w:vAlign w:val="bottom"/>
            <w:gridSpan w:val="2"/>
          </w:tcPr>
          <w:p>
            <w:pPr>
              <w:ind w:left="60"/>
              <w:spacing w:after="0" w:line="182" w:lineRule="exact"/>
              <w:rPr>
                <w:sz w:val="20"/>
                <w:szCs w:val="20"/>
                <w:color w:val="auto"/>
              </w:rPr>
            </w:pPr>
            <w:r>
              <w:rPr>
                <w:rFonts w:ascii="Arial" w:cs="Arial" w:eastAsia="Arial" w:hAnsi="Arial"/>
                <w:sz w:val="16"/>
                <w:szCs w:val="16"/>
                <w:b w:val="1"/>
                <w:bCs w:val="1"/>
                <w:color w:val="auto"/>
              </w:rPr>
              <w:t>Net income (loss) attributable to SLB</w:t>
            </w:r>
          </w:p>
        </w:tc>
        <w:tc>
          <w:tcPr>
            <w:tcW w:w="300" w:type="dxa"/>
            <w:vAlign w:val="bottom"/>
          </w:tcPr>
          <w:p>
            <w:pPr>
              <w:jc w:val="right"/>
              <w:spacing w:after="0" w:line="182" w:lineRule="exact"/>
              <w:rPr>
                <w:sz w:val="20"/>
                <w:szCs w:val="20"/>
                <w:color w:val="auto"/>
              </w:rPr>
            </w:pPr>
            <w:r>
              <w:rPr>
                <w:rFonts w:ascii="Arial" w:cs="Arial" w:eastAsia="Arial" w:hAnsi="Arial"/>
                <w:sz w:val="16"/>
                <w:szCs w:val="16"/>
                <w:b w:val="1"/>
                <w:bCs w:val="1"/>
                <w:color w:val="auto"/>
              </w:rPr>
              <w:t>$</w:t>
            </w:r>
          </w:p>
        </w:tc>
        <w:tc>
          <w:tcPr>
            <w:tcW w:w="1340" w:type="dxa"/>
            <w:vAlign w:val="bottom"/>
            <w:gridSpan w:val="3"/>
          </w:tcPr>
          <w:p>
            <w:pPr>
              <w:jc w:val="right"/>
              <w:ind w:right="179"/>
              <w:spacing w:after="0" w:line="182" w:lineRule="exact"/>
              <w:rPr>
                <w:sz w:val="20"/>
                <w:szCs w:val="20"/>
                <w:color w:val="auto"/>
              </w:rPr>
            </w:pPr>
            <w:r>
              <w:rPr>
                <w:rFonts w:ascii="Arial" w:cs="Arial" w:eastAsia="Arial" w:hAnsi="Arial"/>
                <w:sz w:val="16"/>
                <w:szCs w:val="16"/>
                <w:b w:val="1"/>
                <w:bCs w:val="1"/>
                <w:color w:val="auto"/>
              </w:rPr>
              <w:t>4,203</w:t>
            </w:r>
          </w:p>
        </w:tc>
        <w:tc>
          <w:tcPr>
            <w:tcW w:w="360" w:type="dxa"/>
            <w:vAlign w:val="bottom"/>
          </w:tcPr>
          <w:p>
            <w:pPr>
              <w:jc w:val="right"/>
              <w:spacing w:after="0" w:line="182" w:lineRule="exact"/>
              <w:rPr>
                <w:sz w:val="20"/>
                <w:szCs w:val="20"/>
                <w:color w:val="auto"/>
              </w:rPr>
            </w:pPr>
            <w:r>
              <w:rPr>
                <w:rFonts w:ascii="Arial" w:cs="Arial" w:eastAsia="Arial" w:hAnsi="Arial"/>
                <w:sz w:val="16"/>
                <w:szCs w:val="16"/>
                <w:color w:val="auto"/>
              </w:rPr>
              <w:t>$</w:t>
            </w:r>
          </w:p>
        </w:tc>
        <w:tc>
          <w:tcPr>
            <w:tcW w:w="1320" w:type="dxa"/>
            <w:vAlign w:val="bottom"/>
          </w:tcPr>
          <w:p>
            <w:pPr>
              <w:jc w:val="right"/>
              <w:ind w:right="159"/>
              <w:spacing w:after="0" w:line="182" w:lineRule="exact"/>
              <w:rPr>
                <w:sz w:val="20"/>
                <w:szCs w:val="20"/>
                <w:color w:val="auto"/>
              </w:rPr>
            </w:pPr>
            <w:r>
              <w:rPr>
                <w:rFonts w:ascii="Arial" w:cs="Arial" w:eastAsia="Arial" w:hAnsi="Arial"/>
                <w:sz w:val="16"/>
                <w:szCs w:val="16"/>
                <w:color w:val="auto"/>
              </w:rPr>
              <w:t>3,441</w:t>
            </w:r>
          </w:p>
        </w:tc>
        <w:tc>
          <w:tcPr>
            <w:tcW w:w="340" w:type="dxa"/>
            <w:vAlign w:val="bottom"/>
          </w:tcPr>
          <w:p>
            <w:pPr>
              <w:jc w:val="right"/>
              <w:spacing w:after="0" w:line="182" w:lineRule="exact"/>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line="182" w:lineRule="exact"/>
              <w:rPr>
                <w:sz w:val="20"/>
                <w:szCs w:val="20"/>
                <w:color w:val="auto"/>
              </w:rPr>
            </w:pPr>
            <w:r>
              <w:rPr>
                <w:rFonts w:ascii="Arial" w:cs="Arial" w:eastAsia="Arial" w:hAnsi="Arial"/>
                <w:sz w:val="16"/>
                <w:szCs w:val="16"/>
                <w:color w:val="auto"/>
              </w:rPr>
              <w:t>1,881</w:t>
            </w:r>
          </w:p>
        </w:tc>
        <w:tc>
          <w:tcPr>
            <w:tcW w:w="460" w:type="dxa"/>
            <w:vAlign w:val="bottom"/>
          </w:tcPr>
          <w:p>
            <w:pPr>
              <w:jc w:val="right"/>
              <w:spacing w:after="0" w:line="182" w:lineRule="exact"/>
              <w:rPr>
                <w:sz w:val="20"/>
                <w:szCs w:val="20"/>
                <w:color w:val="auto"/>
              </w:rPr>
            </w:pPr>
            <w:r>
              <w:rPr>
                <w:rFonts w:ascii="Arial" w:cs="Arial" w:eastAsia="Arial" w:hAnsi="Arial"/>
                <w:sz w:val="16"/>
                <w:szCs w:val="16"/>
                <w:color w:val="auto"/>
              </w:rPr>
              <w:t>$</w:t>
            </w:r>
          </w:p>
        </w:tc>
        <w:tc>
          <w:tcPr>
            <w:tcW w:w="118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(10,518)</w:t>
            </w:r>
          </w:p>
        </w:tc>
        <w:tc>
          <w:tcPr>
            <w:tcW w:w="0" w:type="dxa"/>
            <w:vAlign w:val="bottom"/>
          </w:tcPr>
          <w:p>
            <w:pPr>
              <w:spacing w:after="0"/>
              <w:rPr>
                <w:sz w:val="1"/>
                <w:szCs w:val="1"/>
                <w:color w:val="auto"/>
              </w:rPr>
            </w:pPr>
          </w:p>
        </w:tc>
      </w:tr>
      <w:tr>
        <w:trPr>
          <w:trHeight w:val="203"/>
        </w:trPr>
        <w:tc>
          <w:tcPr>
            <w:tcW w:w="4740" w:type="dxa"/>
            <w:vAlign w:val="bottom"/>
            <w:gridSpan w:val="2"/>
          </w:tcPr>
          <w:p>
            <w:pPr>
              <w:ind w:left="60"/>
              <w:spacing w:after="0"/>
              <w:rPr>
                <w:sz w:val="20"/>
                <w:szCs w:val="20"/>
                <w:color w:val="auto"/>
              </w:rPr>
            </w:pPr>
            <w:r>
              <w:rPr>
                <w:rFonts w:ascii="Arial" w:cs="Arial" w:eastAsia="Arial" w:hAnsi="Arial"/>
                <w:sz w:val="16"/>
                <w:szCs w:val="16"/>
                <w:color w:val="auto"/>
              </w:rPr>
              <w:t>Net income attributable to noncontrolling interests</w:t>
            </w:r>
          </w:p>
        </w:tc>
        <w:tc>
          <w:tcPr>
            <w:tcW w:w="300" w:type="dxa"/>
            <w:vAlign w:val="bottom"/>
          </w:tcPr>
          <w:p>
            <w:pPr>
              <w:spacing w:after="0"/>
              <w:rPr>
                <w:sz w:val="17"/>
                <w:szCs w:val="17"/>
                <w:color w:val="auto"/>
              </w:rPr>
            </w:pPr>
          </w:p>
        </w:tc>
        <w:tc>
          <w:tcPr>
            <w:tcW w:w="1340" w:type="dxa"/>
            <w:vAlign w:val="bottom"/>
            <w:gridSpan w:val="3"/>
          </w:tcPr>
          <w:p>
            <w:pPr>
              <w:jc w:val="right"/>
              <w:ind w:right="179"/>
              <w:spacing w:after="0"/>
              <w:rPr>
                <w:sz w:val="20"/>
                <w:szCs w:val="20"/>
                <w:color w:val="auto"/>
              </w:rPr>
            </w:pPr>
            <w:r>
              <w:rPr>
                <w:rFonts w:ascii="Arial" w:cs="Arial" w:eastAsia="Arial" w:hAnsi="Arial"/>
                <w:sz w:val="16"/>
                <w:szCs w:val="16"/>
                <w:b w:val="1"/>
                <w:bCs w:val="1"/>
                <w:color w:val="auto"/>
              </w:rPr>
              <w:t>72</w:t>
            </w:r>
          </w:p>
        </w:tc>
        <w:tc>
          <w:tcPr>
            <w:tcW w:w="360" w:type="dxa"/>
            <w:vAlign w:val="bottom"/>
          </w:tcPr>
          <w:p>
            <w:pPr>
              <w:spacing w:after="0"/>
              <w:rPr>
                <w:sz w:val="17"/>
                <w:szCs w:val="17"/>
                <w:color w:val="auto"/>
              </w:rPr>
            </w:pP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51</w:t>
            </w:r>
          </w:p>
        </w:tc>
        <w:tc>
          <w:tcPr>
            <w:tcW w:w="34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47</w:t>
            </w:r>
          </w:p>
        </w:tc>
        <w:tc>
          <w:tcPr>
            <w:tcW w:w="460" w:type="dxa"/>
            <w:vAlign w:val="bottom"/>
          </w:tcPr>
          <w:p>
            <w:pPr>
              <w:spacing w:after="0"/>
              <w:rPr>
                <w:sz w:val="17"/>
                <w:szCs w:val="17"/>
                <w:color w:val="auto"/>
              </w:rPr>
            </w:pPr>
          </w:p>
        </w:tc>
        <w:tc>
          <w:tcPr>
            <w:tcW w:w="1180" w:type="dxa"/>
            <w:vAlign w:val="bottom"/>
            <w:gridSpan w:val="2"/>
          </w:tcPr>
          <w:p>
            <w:pPr>
              <w:jc w:val="right"/>
              <w:ind w:right="19"/>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3"/>
        </w:trPr>
        <w:tc>
          <w:tcPr>
            <w:tcW w:w="4740" w:type="dxa"/>
            <w:vAlign w:val="bottom"/>
            <w:tcBorders>
              <w:bottom w:val="single" w:sz="8" w:color="0233A1"/>
            </w:tcBorders>
            <w:gridSpan w:val="2"/>
          </w:tcPr>
          <w:p>
            <w:pPr>
              <w:ind w:left="60"/>
              <w:spacing w:after="0"/>
              <w:rPr>
                <w:sz w:val="20"/>
                <w:szCs w:val="20"/>
                <w:color w:val="auto"/>
              </w:rPr>
            </w:pPr>
            <w:r>
              <w:rPr>
                <w:rFonts w:ascii="Arial" w:cs="Arial" w:eastAsia="Arial" w:hAnsi="Arial"/>
                <w:sz w:val="16"/>
                <w:szCs w:val="16"/>
                <w:color w:val="auto"/>
              </w:rPr>
              <w:t>Tax expense (benefit)</w:t>
            </w:r>
          </w:p>
        </w:tc>
        <w:tc>
          <w:tcPr>
            <w:tcW w:w="300" w:type="dxa"/>
            <w:vAlign w:val="bottom"/>
            <w:tcBorders>
              <w:bottom w:val="single" w:sz="8" w:color="0233A1"/>
            </w:tcBorders>
          </w:tcPr>
          <w:p>
            <w:pPr>
              <w:spacing w:after="0"/>
              <w:rPr>
                <w:sz w:val="17"/>
                <w:szCs w:val="17"/>
                <w:color w:val="auto"/>
              </w:rPr>
            </w:pPr>
          </w:p>
        </w:tc>
        <w:tc>
          <w:tcPr>
            <w:tcW w:w="1340" w:type="dxa"/>
            <w:vAlign w:val="bottom"/>
            <w:tcBorders>
              <w:bottom w:val="single" w:sz="8" w:color="0233A1"/>
            </w:tcBorders>
            <w:gridSpan w:val="3"/>
          </w:tcPr>
          <w:p>
            <w:pPr>
              <w:jc w:val="right"/>
              <w:ind w:right="179"/>
              <w:spacing w:after="0"/>
              <w:rPr>
                <w:sz w:val="20"/>
                <w:szCs w:val="20"/>
                <w:color w:val="auto"/>
              </w:rPr>
            </w:pPr>
            <w:r>
              <w:rPr>
                <w:rFonts w:ascii="Arial" w:cs="Arial" w:eastAsia="Arial" w:hAnsi="Arial"/>
                <w:sz w:val="16"/>
                <w:szCs w:val="16"/>
                <w:b w:val="1"/>
                <w:bCs w:val="1"/>
                <w:color w:val="auto"/>
              </w:rPr>
              <w:t>1,007</w:t>
            </w:r>
          </w:p>
        </w:tc>
        <w:tc>
          <w:tcPr>
            <w:tcW w:w="360" w:type="dxa"/>
            <w:vAlign w:val="bottom"/>
            <w:tcBorders>
              <w:bottom w:val="single" w:sz="8" w:color="0233A1"/>
            </w:tcBorders>
          </w:tcPr>
          <w:p>
            <w:pPr>
              <w:spacing w:after="0"/>
              <w:rPr>
                <w:sz w:val="17"/>
                <w:szCs w:val="17"/>
                <w:color w:val="auto"/>
              </w:rPr>
            </w:pPr>
          </w:p>
        </w:tc>
        <w:tc>
          <w:tcPr>
            <w:tcW w:w="1320" w:type="dxa"/>
            <w:vAlign w:val="bottom"/>
            <w:tcBorders>
              <w:bottom w:val="single" w:sz="8" w:color="0233A1"/>
            </w:tcBorders>
          </w:tcPr>
          <w:p>
            <w:pPr>
              <w:jc w:val="right"/>
              <w:ind w:right="159"/>
              <w:spacing w:after="0"/>
              <w:rPr>
                <w:sz w:val="20"/>
                <w:szCs w:val="20"/>
                <w:color w:val="auto"/>
              </w:rPr>
            </w:pPr>
            <w:r>
              <w:rPr>
                <w:rFonts w:ascii="Arial" w:cs="Arial" w:eastAsia="Arial" w:hAnsi="Arial"/>
                <w:sz w:val="16"/>
                <w:szCs w:val="16"/>
                <w:color w:val="auto"/>
              </w:rPr>
              <w:t>779</w:t>
            </w:r>
          </w:p>
        </w:tc>
        <w:tc>
          <w:tcPr>
            <w:tcW w:w="340" w:type="dxa"/>
            <w:vAlign w:val="bottom"/>
            <w:tcBorders>
              <w:bottom w:val="single" w:sz="8" w:color="0233A1"/>
            </w:tcBorders>
          </w:tcPr>
          <w:p>
            <w:pPr>
              <w:spacing w:after="0"/>
              <w:rPr>
                <w:sz w:val="17"/>
                <w:szCs w:val="17"/>
                <w:color w:val="auto"/>
              </w:rPr>
            </w:pPr>
          </w:p>
        </w:tc>
        <w:tc>
          <w:tcPr>
            <w:tcW w:w="1200" w:type="dxa"/>
            <w:vAlign w:val="bottom"/>
            <w:tcBorders>
              <w:bottom w:val="single" w:sz="8" w:color="0233A1"/>
            </w:tcBorders>
          </w:tcPr>
          <w:p>
            <w:pPr>
              <w:jc w:val="right"/>
              <w:ind w:right="39"/>
              <w:spacing w:after="0"/>
              <w:rPr>
                <w:sz w:val="20"/>
                <w:szCs w:val="20"/>
                <w:color w:val="auto"/>
              </w:rPr>
            </w:pPr>
            <w:r>
              <w:rPr>
                <w:rFonts w:ascii="Arial" w:cs="Arial" w:eastAsia="Arial" w:hAnsi="Arial"/>
                <w:sz w:val="16"/>
                <w:szCs w:val="16"/>
                <w:color w:val="auto"/>
              </w:rPr>
              <w:t>446</w:t>
            </w:r>
          </w:p>
        </w:tc>
        <w:tc>
          <w:tcPr>
            <w:tcW w:w="460" w:type="dxa"/>
            <w:vAlign w:val="bottom"/>
            <w:tcBorders>
              <w:bottom w:val="single" w:sz="8" w:color="0233A1"/>
            </w:tcBorders>
          </w:tcPr>
          <w:p>
            <w:pPr>
              <w:spacing w:after="0"/>
              <w:rPr>
                <w:sz w:val="17"/>
                <w:szCs w:val="17"/>
                <w:color w:val="auto"/>
              </w:rPr>
            </w:pPr>
          </w:p>
        </w:tc>
        <w:tc>
          <w:tcPr>
            <w:tcW w:w="1180" w:type="dxa"/>
            <w:vAlign w:val="bottom"/>
            <w:tcBorders>
              <w:bottom w:val="single" w:sz="8" w:color="0233A1"/>
            </w:tcBorders>
            <w:gridSpan w:val="2"/>
          </w:tcPr>
          <w:p>
            <w:pPr>
              <w:jc w:val="right"/>
              <w:spacing w:after="0"/>
              <w:rPr>
                <w:sz w:val="20"/>
                <w:szCs w:val="20"/>
                <w:color w:val="auto"/>
              </w:rPr>
            </w:pPr>
            <w:r>
              <w:rPr>
                <w:rFonts w:ascii="Arial" w:cs="Arial" w:eastAsia="Arial" w:hAnsi="Arial"/>
                <w:sz w:val="16"/>
                <w:szCs w:val="16"/>
                <w:color w:val="auto"/>
              </w:rPr>
              <w:t>(812)</w:t>
            </w:r>
          </w:p>
        </w:tc>
        <w:tc>
          <w:tcPr>
            <w:tcW w:w="0" w:type="dxa"/>
            <w:vAlign w:val="bottom"/>
          </w:tcPr>
          <w:p>
            <w:pPr>
              <w:spacing w:after="0"/>
              <w:rPr>
                <w:sz w:val="1"/>
                <w:szCs w:val="1"/>
                <w:color w:val="auto"/>
              </w:rPr>
            </w:pPr>
          </w:p>
        </w:tc>
      </w:tr>
      <w:tr>
        <w:trPr>
          <w:trHeight w:val="182"/>
        </w:trPr>
        <w:tc>
          <w:tcPr>
            <w:tcW w:w="4740" w:type="dxa"/>
            <w:vAlign w:val="bottom"/>
            <w:gridSpan w:val="2"/>
          </w:tcPr>
          <w:p>
            <w:pPr>
              <w:ind w:left="60"/>
              <w:spacing w:after="0" w:line="182" w:lineRule="exact"/>
              <w:rPr>
                <w:sz w:val="20"/>
                <w:szCs w:val="20"/>
                <w:color w:val="auto"/>
              </w:rPr>
            </w:pPr>
            <w:r>
              <w:rPr>
                <w:rFonts w:ascii="Arial" w:cs="Arial" w:eastAsia="Arial" w:hAnsi="Arial"/>
                <w:sz w:val="16"/>
                <w:szCs w:val="16"/>
                <w:b w:val="1"/>
                <w:bCs w:val="1"/>
                <w:color w:val="auto"/>
              </w:rPr>
              <w:t>Income (loss) before taxes</w:t>
            </w:r>
          </w:p>
        </w:tc>
        <w:tc>
          <w:tcPr>
            <w:tcW w:w="300" w:type="dxa"/>
            <w:vAlign w:val="bottom"/>
          </w:tcPr>
          <w:p>
            <w:pPr>
              <w:jc w:val="right"/>
              <w:spacing w:after="0" w:line="182" w:lineRule="exact"/>
              <w:rPr>
                <w:sz w:val="20"/>
                <w:szCs w:val="20"/>
                <w:color w:val="auto"/>
              </w:rPr>
            </w:pPr>
            <w:r>
              <w:rPr>
                <w:rFonts w:ascii="Arial" w:cs="Arial" w:eastAsia="Arial" w:hAnsi="Arial"/>
                <w:sz w:val="16"/>
                <w:szCs w:val="16"/>
                <w:b w:val="1"/>
                <w:bCs w:val="1"/>
                <w:color w:val="auto"/>
              </w:rPr>
              <w:t>$</w:t>
            </w:r>
          </w:p>
        </w:tc>
        <w:tc>
          <w:tcPr>
            <w:tcW w:w="1340" w:type="dxa"/>
            <w:vAlign w:val="bottom"/>
            <w:gridSpan w:val="3"/>
          </w:tcPr>
          <w:p>
            <w:pPr>
              <w:jc w:val="right"/>
              <w:ind w:right="179"/>
              <w:spacing w:after="0" w:line="182" w:lineRule="exact"/>
              <w:rPr>
                <w:sz w:val="20"/>
                <w:szCs w:val="20"/>
                <w:color w:val="auto"/>
              </w:rPr>
            </w:pPr>
            <w:r>
              <w:rPr>
                <w:rFonts w:ascii="Arial" w:cs="Arial" w:eastAsia="Arial" w:hAnsi="Arial"/>
                <w:sz w:val="16"/>
                <w:szCs w:val="16"/>
                <w:b w:val="1"/>
                <w:bCs w:val="1"/>
                <w:color w:val="auto"/>
              </w:rPr>
              <w:t>5,282</w:t>
            </w:r>
          </w:p>
        </w:tc>
        <w:tc>
          <w:tcPr>
            <w:tcW w:w="360" w:type="dxa"/>
            <w:vAlign w:val="bottom"/>
          </w:tcPr>
          <w:p>
            <w:pPr>
              <w:jc w:val="right"/>
              <w:spacing w:after="0" w:line="182" w:lineRule="exact"/>
              <w:rPr>
                <w:sz w:val="20"/>
                <w:szCs w:val="20"/>
                <w:color w:val="auto"/>
              </w:rPr>
            </w:pPr>
            <w:r>
              <w:rPr>
                <w:rFonts w:ascii="Arial" w:cs="Arial" w:eastAsia="Arial" w:hAnsi="Arial"/>
                <w:sz w:val="16"/>
                <w:szCs w:val="16"/>
                <w:color w:val="auto"/>
              </w:rPr>
              <w:t>$</w:t>
            </w:r>
          </w:p>
        </w:tc>
        <w:tc>
          <w:tcPr>
            <w:tcW w:w="1320" w:type="dxa"/>
            <w:vAlign w:val="bottom"/>
          </w:tcPr>
          <w:p>
            <w:pPr>
              <w:jc w:val="right"/>
              <w:ind w:right="159"/>
              <w:spacing w:after="0" w:line="182" w:lineRule="exact"/>
              <w:rPr>
                <w:sz w:val="20"/>
                <w:szCs w:val="20"/>
                <w:color w:val="auto"/>
              </w:rPr>
            </w:pPr>
            <w:r>
              <w:rPr>
                <w:rFonts w:ascii="Arial" w:cs="Arial" w:eastAsia="Arial" w:hAnsi="Arial"/>
                <w:sz w:val="16"/>
                <w:szCs w:val="16"/>
                <w:color w:val="auto"/>
              </w:rPr>
              <w:t>4,271</w:t>
            </w:r>
          </w:p>
        </w:tc>
        <w:tc>
          <w:tcPr>
            <w:tcW w:w="340" w:type="dxa"/>
            <w:vAlign w:val="bottom"/>
          </w:tcPr>
          <w:p>
            <w:pPr>
              <w:jc w:val="right"/>
              <w:spacing w:after="0" w:line="182" w:lineRule="exact"/>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line="182" w:lineRule="exact"/>
              <w:rPr>
                <w:sz w:val="20"/>
                <w:szCs w:val="20"/>
                <w:color w:val="auto"/>
              </w:rPr>
            </w:pPr>
            <w:r>
              <w:rPr>
                <w:rFonts w:ascii="Arial" w:cs="Arial" w:eastAsia="Arial" w:hAnsi="Arial"/>
                <w:sz w:val="16"/>
                <w:szCs w:val="16"/>
                <w:color w:val="auto"/>
              </w:rPr>
              <w:t>2,374</w:t>
            </w:r>
          </w:p>
        </w:tc>
        <w:tc>
          <w:tcPr>
            <w:tcW w:w="460" w:type="dxa"/>
            <w:vAlign w:val="bottom"/>
          </w:tcPr>
          <w:p>
            <w:pPr>
              <w:jc w:val="right"/>
              <w:spacing w:after="0" w:line="182" w:lineRule="exact"/>
              <w:rPr>
                <w:sz w:val="20"/>
                <w:szCs w:val="20"/>
                <w:color w:val="auto"/>
              </w:rPr>
            </w:pPr>
            <w:r>
              <w:rPr>
                <w:rFonts w:ascii="Arial" w:cs="Arial" w:eastAsia="Arial" w:hAnsi="Arial"/>
                <w:sz w:val="16"/>
                <w:szCs w:val="16"/>
                <w:color w:val="auto"/>
              </w:rPr>
              <w:t>$</w:t>
            </w:r>
          </w:p>
        </w:tc>
        <w:tc>
          <w:tcPr>
            <w:tcW w:w="118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(11,298)</w:t>
            </w:r>
          </w:p>
        </w:tc>
        <w:tc>
          <w:tcPr>
            <w:tcW w:w="0" w:type="dxa"/>
            <w:vAlign w:val="bottom"/>
          </w:tcPr>
          <w:p>
            <w:pPr>
              <w:spacing w:after="0"/>
              <w:rPr>
                <w:sz w:val="1"/>
                <w:szCs w:val="1"/>
                <w:color w:val="auto"/>
              </w:rPr>
            </w:pPr>
          </w:p>
        </w:tc>
      </w:tr>
      <w:tr>
        <w:trPr>
          <w:trHeight w:val="203"/>
        </w:trPr>
        <w:tc>
          <w:tcPr>
            <w:tcW w:w="4740" w:type="dxa"/>
            <w:vAlign w:val="bottom"/>
            <w:gridSpan w:val="2"/>
          </w:tcPr>
          <w:p>
            <w:pPr>
              <w:ind w:left="180"/>
              <w:spacing w:after="0"/>
              <w:rPr>
                <w:sz w:val="20"/>
                <w:szCs w:val="20"/>
                <w:color w:val="auto"/>
              </w:rPr>
            </w:pPr>
            <w:r>
              <w:rPr>
                <w:rFonts w:ascii="Arial" w:cs="Arial" w:eastAsia="Arial" w:hAnsi="Arial"/>
                <w:sz w:val="16"/>
                <w:szCs w:val="16"/>
                <w:color w:val="auto"/>
              </w:rPr>
              <w:t>Charges &amp; credits (details below)</w:t>
            </w:r>
          </w:p>
        </w:tc>
        <w:tc>
          <w:tcPr>
            <w:tcW w:w="300" w:type="dxa"/>
            <w:vAlign w:val="bottom"/>
          </w:tcPr>
          <w:p>
            <w:pPr>
              <w:spacing w:after="0"/>
              <w:rPr>
                <w:sz w:val="17"/>
                <w:szCs w:val="17"/>
                <w:color w:val="auto"/>
              </w:rPr>
            </w:pPr>
          </w:p>
        </w:tc>
        <w:tc>
          <w:tcPr>
            <w:tcW w:w="1340" w:type="dxa"/>
            <w:vAlign w:val="bottom"/>
            <w:gridSpan w:val="3"/>
          </w:tcPr>
          <w:p>
            <w:pPr>
              <w:jc w:val="right"/>
              <w:ind w:right="179"/>
              <w:spacing w:after="0"/>
              <w:rPr>
                <w:sz w:val="20"/>
                <w:szCs w:val="20"/>
                <w:color w:val="auto"/>
              </w:rPr>
            </w:pPr>
            <w:r>
              <w:rPr>
                <w:rFonts w:ascii="Arial" w:cs="Arial" w:eastAsia="Arial" w:hAnsi="Arial"/>
                <w:sz w:val="16"/>
                <w:szCs w:val="16"/>
                <w:b w:val="1"/>
                <w:bCs w:val="1"/>
                <w:color w:val="auto"/>
              </w:rPr>
              <w:t>110</w:t>
            </w:r>
          </w:p>
        </w:tc>
        <w:tc>
          <w:tcPr>
            <w:tcW w:w="360" w:type="dxa"/>
            <w:vAlign w:val="bottom"/>
          </w:tcPr>
          <w:p>
            <w:pPr>
              <w:spacing w:after="0"/>
              <w:rPr>
                <w:sz w:val="17"/>
                <w:szCs w:val="17"/>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(347)</w:t>
            </w: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(65)</w:t>
            </w:r>
          </w:p>
        </w:tc>
        <w:tc>
          <w:tcPr>
            <w:tcW w:w="460" w:type="dxa"/>
            <w:vAlign w:val="bottom"/>
          </w:tcPr>
          <w:p>
            <w:pPr>
              <w:spacing w:after="0"/>
              <w:rPr>
                <w:sz w:val="17"/>
                <w:szCs w:val="17"/>
                <w:color w:val="auto"/>
              </w:rPr>
            </w:pPr>
          </w:p>
        </w:tc>
        <w:tc>
          <w:tcPr>
            <w:tcW w:w="1180" w:type="dxa"/>
            <w:vAlign w:val="bottom"/>
            <w:gridSpan w:val="2"/>
          </w:tcPr>
          <w:p>
            <w:pPr>
              <w:jc w:val="right"/>
              <w:ind w:right="19"/>
              <w:spacing w:after="0"/>
              <w:rPr>
                <w:sz w:val="20"/>
                <w:szCs w:val="20"/>
                <w:color w:val="auto"/>
              </w:rPr>
            </w:pPr>
            <w:r>
              <w:rPr>
                <w:rFonts w:ascii="Arial" w:cs="Arial" w:eastAsia="Arial" w:hAnsi="Arial"/>
                <w:sz w:val="16"/>
                <w:szCs w:val="16"/>
                <w:color w:val="auto"/>
              </w:rPr>
              <w:t>12,515</w:t>
            </w:r>
          </w:p>
        </w:tc>
        <w:tc>
          <w:tcPr>
            <w:tcW w:w="0" w:type="dxa"/>
            <w:vAlign w:val="bottom"/>
          </w:tcPr>
          <w:p>
            <w:pPr>
              <w:spacing w:after="0"/>
              <w:rPr>
                <w:sz w:val="1"/>
                <w:szCs w:val="1"/>
                <w:color w:val="auto"/>
              </w:rPr>
            </w:pPr>
          </w:p>
        </w:tc>
      </w:tr>
      <w:tr>
        <w:trPr>
          <w:trHeight w:val="203"/>
        </w:trPr>
        <w:tc>
          <w:tcPr>
            <w:tcW w:w="4740" w:type="dxa"/>
            <w:vAlign w:val="bottom"/>
            <w:gridSpan w:val="2"/>
          </w:tcPr>
          <w:p>
            <w:pPr>
              <w:ind w:left="18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7"/>
                <w:szCs w:val="17"/>
                <w:color w:val="auto"/>
              </w:rPr>
            </w:pPr>
          </w:p>
        </w:tc>
        <w:tc>
          <w:tcPr>
            <w:tcW w:w="1340" w:type="dxa"/>
            <w:vAlign w:val="bottom"/>
            <w:gridSpan w:val="3"/>
          </w:tcPr>
          <w:p>
            <w:pPr>
              <w:jc w:val="right"/>
              <w:ind w:right="179"/>
              <w:spacing w:after="0"/>
              <w:rPr>
                <w:sz w:val="20"/>
                <w:szCs w:val="20"/>
                <w:color w:val="auto"/>
              </w:rPr>
            </w:pPr>
            <w:r>
              <w:rPr>
                <w:rFonts w:ascii="Arial" w:cs="Arial" w:eastAsia="Arial" w:hAnsi="Arial"/>
                <w:sz w:val="16"/>
                <w:szCs w:val="16"/>
                <w:b w:val="1"/>
                <w:bCs w:val="1"/>
                <w:color w:val="auto"/>
              </w:rPr>
              <w:t>2,312</w:t>
            </w:r>
          </w:p>
        </w:tc>
        <w:tc>
          <w:tcPr>
            <w:tcW w:w="360" w:type="dxa"/>
            <w:vAlign w:val="bottom"/>
          </w:tcPr>
          <w:p>
            <w:pPr>
              <w:spacing w:after="0"/>
              <w:rPr>
                <w:sz w:val="17"/>
                <w:szCs w:val="17"/>
                <w:color w:val="auto"/>
              </w:rPr>
            </w:pP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2,147</w:t>
            </w:r>
          </w:p>
        </w:tc>
        <w:tc>
          <w:tcPr>
            <w:tcW w:w="34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2,120</w:t>
            </w:r>
          </w:p>
        </w:tc>
        <w:tc>
          <w:tcPr>
            <w:tcW w:w="460" w:type="dxa"/>
            <w:vAlign w:val="bottom"/>
          </w:tcPr>
          <w:p>
            <w:pPr>
              <w:spacing w:after="0"/>
              <w:rPr>
                <w:sz w:val="17"/>
                <w:szCs w:val="17"/>
                <w:color w:val="auto"/>
              </w:rPr>
            </w:pPr>
          </w:p>
        </w:tc>
        <w:tc>
          <w:tcPr>
            <w:tcW w:w="1180" w:type="dxa"/>
            <w:vAlign w:val="bottom"/>
            <w:gridSpan w:val="2"/>
          </w:tcPr>
          <w:p>
            <w:pPr>
              <w:jc w:val="right"/>
              <w:ind w:right="19"/>
              <w:spacing w:after="0"/>
              <w:rPr>
                <w:sz w:val="20"/>
                <w:szCs w:val="20"/>
                <w:color w:val="auto"/>
              </w:rPr>
            </w:pPr>
            <w:r>
              <w:rPr>
                <w:rFonts w:ascii="Arial" w:cs="Arial" w:eastAsia="Arial" w:hAnsi="Arial"/>
                <w:sz w:val="16"/>
                <w:szCs w:val="16"/>
                <w:color w:val="auto"/>
              </w:rPr>
              <w:t>2,566</w:t>
            </w:r>
          </w:p>
        </w:tc>
        <w:tc>
          <w:tcPr>
            <w:tcW w:w="0" w:type="dxa"/>
            <w:vAlign w:val="bottom"/>
          </w:tcPr>
          <w:p>
            <w:pPr>
              <w:spacing w:after="0"/>
              <w:rPr>
                <w:sz w:val="1"/>
                <w:szCs w:val="1"/>
                <w:color w:val="auto"/>
              </w:rPr>
            </w:pPr>
          </w:p>
        </w:tc>
      </w:tr>
      <w:tr>
        <w:trPr>
          <w:trHeight w:val="203"/>
        </w:trPr>
        <w:tc>
          <w:tcPr>
            <w:tcW w:w="4740" w:type="dxa"/>
            <w:vAlign w:val="bottom"/>
            <w:gridSpan w:val="2"/>
          </w:tcPr>
          <w:p>
            <w:pPr>
              <w:ind w:left="180"/>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17"/>
                <w:szCs w:val="17"/>
                <w:color w:val="auto"/>
              </w:rPr>
            </w:pPr>
          </w:p>
        </w:tc>
        <w:tc>
          <w:tcPr>
            <w:tcW w:w="1340" w:type="dxa"/>
            <w:vAlign w:val="bottom"/>
            <w:gridSpan w:val="3"/>
          </w:tcPr>
          <w:p>
            <w:pPr>
              <w:jc w:val="right"/>
              <w:ind w:right="179"/>
              <w:spacing w:after="0"/>
              <w:rPr>
                <w:sz w:val="20"/>
                <w:szCs w:val="20"/>
                <w:color w:val="auto"/>
              </w:rPr>
            </w:pPr>
            <w:r>
              <w:rPr>
                <w:rFonts w:ascii="Arial" w:cs="Arial" w:eastAsia="Arial" w:hAnsi="Arial"/>
                <w:sz w:val="16"/>
                <w:szCs w:val="16"/>
                <w:b w:val="1"/>
                <w:bCs w:val="1"/>
                <w:color w:val="auto"/>
              </w:rPr>
              <w:t>503</w:t>
            </w:r>
          </w:p>
        </w:tc>
        <w:tc>
          <w:tcPr>
            <w:tcW w:w="360" w:type="dxa"/>
            <w:vAlign w:val="bottom"/>
          </w:tcPr>
          <w:p>
            <w:pPr>
              <w:spacing w:after="0"/>
              <w:rPr>
                <w:sz w:val="17"/>
                <w:szCs w:val="17"/>
                <w:color w:val="auto"/>
              </w:rPr>
            </w:pP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490</w:t>
            </w:r>
          </w:p>
        </w:tc>
        <w:tc>
          <w:tcPr>
            <w:tcW w:w="34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529</w:t>
            </w:r>
          </w:p>
        </w:tc>
        <w:tc>
          <w:tcPr>
            <w:tcW w:w="460" w:type="dxa"/>
            <w:vAlign w:val="bottom"/>
          </w:tcPr>
          <w:p>
            <w:pPr>
              <w:spacing w:after="0"/>
              <w:rPr>
                <w:sz w:val="17"/>
                <w:szCs w:val="17"/>
                <w:color w:val="auto"/>
              </w:rPr>
            </w:pPr>
          </w:p>
        </w:tc>
        <w:tc>
          <w:tcPr>
            <w:tcW w:w="1180" w:type="dxa"/>
            <w:vAlign w:val="bottom"/>
            <w:gridSpan w:val="2"/>
          </w:tcPr>
          <w:p>
            <w:pPr>
              <w:jc w:val="right"/>
              <w:ind w:right="19"/>
              <w:spacing w:after="0"/>
              <w:rPr>
                <w:sz w:val="20"/>
                <w:szCs w:val="20"/>
                <w:color w:val="auto"/>
              </w:rPr>
            </w:pPr>
            <w:r>
              <w:rPr>
                <w:rFonts w:ascii="Arial" w:cs="Arial" w:eastAsia="Arial" w:hAnsi="Arial"/>
                <w:sz w:val="16"/>
                <w:szCs w:val="16"/>
                <w:color w:val="auto"/>
              </w:rPr>
              <w:t>563</w:t>
            </w:r>
          </w:p>
        </w:tc>
        <w:tc>
          <w:tcPr>
            <w:tcW w:w="0" w:type="dxa"/>
            <w:vAlign w:val="bottom"/>
          </w:tcPr>
          <w:p>
            <w:pPr>
              <w:spacing w:after="0"/>
              <w:rPr>
                <w:sz w:val="1"/>
                <w:szCs w:val="1"/>
                <w:color w:val="auto"/>
              </w:rPr>
            </w:pPr>
          </w:p>
        </w:tc>
      </w:tr>
      <w:tr>
        <w:trPr>
          <w:trHeight w:val="203"/>
        </w:trPr>
        <w:tc>
          <w:tcPr>
            <w:tcW w:w="4740" w:type="dxa"/>
            <w:vAlign w:val="bottom"/>
            <w:tcBorders>
              <w:bottom w:val="single" w:sz="8" w:color="0233A1"/>
            </w:tcBorders>
            <w:gridSpan w:val="2"/>
          </w:tcPr>
          <w:p>
            <w:pPr>
              <w:ind w:left="180"/>
              <w:spacing w:after="0"/>
              <w:rPr>
                <w:sz w:val="20"/>
                <w:szCs w:val="20"/>
                <w:color w:val="auto"/>
              </w:rPr>
            </w:pPr>
            <w:r>
              <w:rPr>
                <w:rFonts w:ascii="Arial" w:cs="Arial" w:eastAsia="Arial" w:hAnsi="Arial"/>
                <w:sz w:val="16"/>
                <w:szCs w:val="16"/>
                <w:color w:val="auto"/>
              </w:rPr>
              <w:t>Interest income</w:t>
            </w:r>
          </w:p>
        </w:tc>
        <w:tc>
          <w:tcPr>
            <w:tcW w:w="300" w:type="dxa"/>
            <w:vAlign w:val="bottom"/>
            <w:tcBorders>
              <w:bottom w:val="single" w:sz="8" w:color="0233A1"/>
            </w:tcBorders>
          </w:tcPr>
          <w:p>
            <w:pPr>
              <w:spacing w:after="0"/>
              <w:rPr>
                <w:sz w:val="17"/>
                <w:szCs w:val="17"/>
                <w:color w:val="auto"/>
              </w:rPr>
            </w:pPr>
          </w:p>
        </w:tc>
        <w:tc>
          <w:tcPr>
            <w:tcW w:w="1340" w:type="dxa"/>
            <w:vAlign w:val="bottom"/>
            <w:tcBorders>
              <w:bottom w:val="single" w:sz="8" w:color="0233A1"/>
            </w:tcBorders>
            <w:gridSpan w:val="3"/>
          </w:tcPr>
          <w:p>
            <w:pPr>
              <w:jc w:val="right"/>
              <w:ind w:right="139"/>
              <w:spacing w:after="0"/>
              <w:rPr>
                <w:sz w:val="20"/>
                <w:szCs w:val="20"/>
                <w:color w:val="auto"/>
              </w:rPr>
            </w:pPr>
            <w:r>
              <w:rPr>
                <w:rFonts w:ascii="Arial" w:cs="Arial" w:eastAsia="Arial" w:hAnsi="Arial"/>
                <w:sz w:val="16"/>
                <w:szCs w:val="16"/>
                <w:b w:val="1"/>
                <w:bCs w:val="1"/>
                <w:color w:val="auto"/>
              </w:rPr>
              <w:t>(100)</w:t>
            </w:r>
          </w:p>
        </w:tc>
        <w:tc>
          <w:tcPr>
            <w:tcW w:w="360" w:type="dxa"/>
            <w:vAlign w:val="bottom"/>
            <w:tcBorders>
              <w:bottom w:val="single" w:sz="8" w:color="0233A1"/>
            </w:tcBorders>
          </w:tcPr>
          <w:p>
            <w:pPr>
              <w:spacing w:after="0"/>
              <w:rPr>
                <w:sz w:val="17"/>
                <w:szCs w:val="17"/>
                <w:color w:val="auto"/>
              </w:rPr>
            </w:pPr>
          </w:p>
        </w:tc>
        <w:tc>
          <w:tcPr>
            <w:tcW w:w="1320" w:type="dxa"/>
            <w:vAlign w:val="bottom"/>
            <w:tcBorders>
              <w:bottom w:val="single" w:sz="8" w:color="0233A1"/>
            </w:tcBorders>
          </w:tcPr>
          <w:p>
            <w:pPr>
              <w:jc w:val="right"/>
              <w:ind w:right="119"/>
              <w:spacing w:after="0"/>
              <w:rPr>
                <w:sz w:val="20"/>
                <w:szCs w:val="20"/>
                <w:color w:val="auto"/>
              </w:rPr>
            </w:pPr>
            <w:r>
              <w:rPr>
                <w:rFonts w:ascii="Arial" w:cs="Arial" w:eastAsia="Arial" w:hAnsi="Arial"/>
                <w:sz w:val="16"/>
                <w:szCs w:val="16"/>
                <w:color w:val="auto"/>
              </w:rPr>
              <w:t>(99)</w:t>
            </w:r>
          </w:p>
        </w:tc>
        <w:tc>
          <w:tcPr>
            <w:tcW w:w="340" w:type="dxa"/>
            <w:vAlign w:val="bottom"/>
            <w:tcBorders>
              <w:bottom w:val="single" w:sz="8" w:color="0233A1"/>
            </w:tcBorders>
          </w:tcPr>
          <w:p>
            <w:pPr>
              <w:spacing w:after="0"/>
              <w:rPr>
                <w:sz w:val="17"/>
                <w:szCs w:val="17"/>
                <w:color w:val="auto"/>
              </w:rPr>
            </w:pPr>
          </w:p>
        </w:tc>
        <w:tc>
          <w:tcPr>
            <w:tcW w:w="1200" w:type="dxa"/>
            <w:vAlign w:val="bottom"/>
            <w:tcBorders>
              <w:bottom w:val="single" w:sz="8" w:color="0233A1"/>
            </w:tcBorders>
          </w:tcPr>
          <w:p>
            <w:pPr>
              <w:jc w:val="right"/>
              <w:spacing w:after="0"/>
              <w:rPr>
                <w:sz w:val="20"/>
                <w:szCs w:val="20"/>
                <w:color w:val="auto"/>
              </w:rPr>
            </w:pPr>
            <w:r>
              <w:rPr>
                <w:rFonts w:ascii="Arial" w:cs="Arial" w:eastAsia="Arial" w:hAnsi="Arial"/>
                <w:sz w:val="16"/>
                <w:szCs w:val="16"/>
                <w:color w:val="auto"/>
              </w:rPr>
              <w:t>(33)</w:t>
            </w:r>
          </w:p>
        </w:tc>
        <w:tc>
          <w:tcPr>
            <w:tcW w:w="460" w:type="dxa"/>
            <w:vAlign w:val="bottom"/>
            <w:tcBorders>
              <w:bottom w:val="single" w:sz="8" w:color="0233A1"/>
            </w:tcBorders>
          </w:tcPr>
          <w:p>
            <w:pPr>
              <w:spacing w:after="0"/>
              <w:rPr>
                <w:sz w:val="17"/>
                <w:szCs w:val="17"/>
                <w:color w:val="auto"/>
              </w:rPr>
            </w:pPr>
          </w:p>
        </w:tc>
        <w:tc>
          <w:tcPr>
            <w:tcW w:w="1180" w:type="dxa"/>
            <w:vAlign w:val="bottom"/>
            <w:tcBorders>
              <w:bottom w:val="single" w:sz="8" w:color="0233A1"/>
            </w:tcBorders>
            <w:gridSpan w:val="2"/>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89"/>
        </w:trPr>
        <w:tc>
          <w:tcPr>
            <w:tcW w:w="4740" w:type="dxa"/>
            <w:vAlign w:val="bottom"/>
            <w:tcBorders>
              <w:bottom w:val="single" w:sz="8" w:color="0233A1"/>
            </w:tcBorders>
            <w:gridSpan w:val="2"/>
          </w:tcPr>
          <w:p>
            <w:pPr>
              <w:ind w:left="60"/>
              <w:spacing w:after="0" w:line="183" w:lineRule="exact"/>
              <w:rPr>
                <w:sz w:val="20"/>
                <w:szCs w:val="20"/>
                <w:color w:val="auto"/>
              </w:rPr>
            </w:pPr>
            <w:r>
              <w:rPr>
                <w:rFonts w:ascii="Arial" w:cs="Arial" w:eastAsia="Arial" w:hAnsi="Arial"/>
                <w:sz w:val="16"/>
                <w:szCs w:val="16"/>
                <w:b w:val="1"/>
                <w:bCs w:val="1"/>
                <w:color w:val="auto"/>
              </w:rPr>
              <w:t>Adjusted EBITDA</w:t>
            </w:r>
          </w:p>
        </w:tc>
        <w:tc>
          <w:tcPr>
            <w:tcW w:w="300" w:type="dxa"/>
            <w:vAlign w:val="bottom"/>
            <w:tcBorders>
              <w:bottom w:val="single" w:sz="8" w:color="0233A1"/>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0233A1"/>
            </w:tcBorders>
            <w:gridSpan w:val="3"/>
          </w:tcPr>
          <w:p>
            <w:pPr>
              <w:jc w:val="right"/>
              <w:ind w:right="179"/>
              <w:spacing w:after="0" w:line="183" w:lineRule="exact"/>
              <w:rPr>
                <w:sz w:val="20"/>
                <w:szCs w:val="20"/>
                <w:color w:val="auto"/>
              </w:rPr>
            </w:pPr>
            <w:r>
              <w:rPr>
                <w:rFonts w:ascii="Arial" w:cs="Arial" w:eastAsia="Arial" w:hAnsi="Arial"/>
                <w:sz w:val="16"/>
                <w:szCs w:val="16"/>
                <w:b w:val="1"/>
                <w:bCs w:val="1"/>
                <w:color w:val="auto"/>
              </w:rPr>
              <w:t>8,107</w:t>
            </w:r>
          </w:p>
        </w:tc>
        <w:tc>
          <w:tcPr>
            <w:tcW w:w="360" w:type="dxa"/>
            <w:vAlign w:val="bottom"/>
            <w:tcBorders>
              <w:bottom w:val="single" w:sz="8" w:color="0233A1"/>
            </w:tcBorders>
          </w:tcPr>
          <w:p>
            <w:pPr>
              <w:jc w:val="right"/>
              <w:spacing w:after="0" w:line="183" w:lineRule="exact"/>
              <w:rPr>
                <w:sz w:val="20"/>
                <w:szCs w:val="20"/>
                <w:color w:val="auto"/>
              </w:rPr>
            </w:pPr>
            <w:r>
              <w:rPr>
                <w:rFonts w:ascii="Arial" w:cs="Arial" w:eastAsia="Arial" w:hAnsi="Arial"/>
                <w:sz w:val="16"/>
                <w:szCs w:val="16"/>
                <w:color w:val="auto"/>
              </w:rPr>
              <w:t>$</w:t>
            </w:r>
          </w:p>
        </w:tc>
        <w:tc>
          <w:tcPr>
            <w:tcW w:w="1320" w:type="dxa"/>
            <w:vAlign w:val="bottom"/>
            <w:tcBorders>
              <w:bottom w:val="single" w:sz="8" w:color="0233A1"/>
            </w:tcBorders>
          </w:tcPr>
          <w:p>
            <w:pPr>
              <w:jc w:val="right"/>
              <w:ind w:right="159"/>
              <w:spacing w:after="0" w:line="183" w:lineRule="exact"/>
              <w:rPr>
                <w:sz w:val="20"/>
                <w:szCs w:val="20"/>
                <w:color w:val="auto"/>
              </w:rPr>
            </w:pPr>
            <w:r>
              <w:rPr>
                <w:rFonts w:ascii="Arial" w:cs="Arial" w:eastAsia="Arial" w:hAnsi="Arial"/>
                <w:sz w:val="16"/>
                <w:szCs w:val="16"/>
                <w:color w:val="auto"/>
              </w:rPr>
              <w:t>6,462</w:t>
            </w:r>
          </w:p>
        </w:tc>
        <w:tc>
          <w:tcPr>
            <w:tcW w:w="340" w:type="dxa"/>
            <w:vAlign w:val="bottom"/>
            <w:tcBorders>
              <w:bottom w:val="single" w:sz="8" w:color="0233A1"/>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0233A1"/>
            </w:tcBorders>
          </w:tcPr>
          <w:p>
            <w:pPr>
              <w:jc w:val="right"/>
              <w:ind w:right="39"/>
              <w:spacing w:after="0" w:line="183" w:lineRule="exact"/>
              <w:rPr>
                <w:sz w:val="20"/>
                <w:szCs w:val="20"/>
                <w:color w:val="auto"/>
              </w:rPr>
            </w:pPr>
            <w:r>
              <w:rPr>
                <w:rFonts w:ascii="Arial" w:cs="Arial" w:eastAsia="Arial" w:hAnsi="Arial"/>
                <w:sz w:val="16"/>
                <w:szCs w:val="16"/>
                <w:color w:val="auto"/>
              </w:rPr>
              <w:t>4,925</w:t>
            </w:r>
          </w:p>
        </w:tc>
        <w:tc>
          <w:tcPr>
            <w:tcW w:w="460" w:type="dxa"/>
            <w:vAlign w:val="bottom"/>
            <w:tcBorders>
              <w:bottom w:val="single" w:sz="8" w:color="0233A1"/>
            </w:tcBorders>
          </w:tcPr>
          <w:p>
            <w:pPr>
              <w:jc w:val="right"/>
              <w:spacing w:after="0" w:line="183"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0233A1"/>
            </w:tcBorders>
            <w:gridSpan w:val="2"/>
          </w:tcPr>
          <w:p>
            <w:pPr>
              <w:jc w:val="right"/>
              <w:ind w:right="19"/>
              <w:spacing w:after="0" w:line="183" w:lineRule="exact"/>
              <w:rPr>
                <w:sz w:val="20"/>
                <w:szCs w:val="20"/>
                <w:color w:val="auto"/>
              </w:rPr>
            </w:pPr>
            <w:r>
              <w:rPr>
                <w:rFonts w:ascii="Arial" w:cs="Arial" w:eastAsia="Arial" w:hAnsi="Arial"/>
                <w:sz w:val="16"/>
                <w:szCs w:val="16"/>
                <w:color w:val="auto"/>
              </w:rPr>
              <w:t>4,313</w:t>
            </w:r>
          </w:p>
        </w:tc>
        <w:tc>
          <w:tcPr>
            <w:tcW w:w="0" w:type="dxa"/>
            <w:vAlign w:val="bottom"/>
          </w:tcPr>
          <w:p>
            <w:pPr>
              <w:spacing w:after="0"/>
              <w:rPr>
                <w:sz w:val="1"/>
                <w:szCs w:val="1"/>
                <w:color w:val="auto"/>
              </w:rPr>
            </w:pPr>
          </w:p>
        </w:tc>
      </w:tr>
      <w:tr>
        <w:trPr>
          <w:trHeight w:val="458"/>
        </w:trPr>
        <w:tc>
          <w:tcPr>
            <w:tcW w:w="4740" w:type="dxa"/>
            <w:vAlign w:val="bottom"/>
            <w:gridSpan w:val="2"/>
          </w:tcPr>
          <w:p>
            <w:pPr>
              <w:spacing w:after="0"/>
              <w:rPr>
                <w:sz w:val="20"/>
                <w:szCs w:val="20"/>
                <w:color w:val="auto"/>
              </w:rPr>
            </w:pPr>
            <w:r>
              <w:rPr>
                <w:rFonts w:ascii="Arial" w:cs="Arial" w:eastAsia="Arial" w:hAnsi="Arial"/>
                <w:sz w:val="22"/>
                <w:szCs w:val="22"/>
                <w:b w:val="1"/>
                <w:bCs w:val="1"/>
                <w:i w:val="1"/>
                <w:iCs w:val="1"/>
                <w:color w:val="auto"/>
              </w:rPr>
              <w:t>Charges &amp; Credits</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47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0233A1"/>
              </w:rPr>
              <w:t>Year Ended</w:t>
            </w:r>
          </w:p>
        </w:tc>
        <w:tc>
          <w:tcPr>
            <w:tcW w:w="300" w:type="dxa"/>
            <w:vAlign w:val="bottom"/>
            <w:tcBorders>
              <w:bottom w:val="single" w:sz="8" w:color="0233A1"/>
            </w:tcBorders>
          </w:tcPr>
          <w:p>
            <w:pPr>
              <w:spacing w:after="0"/>
              <w:rPr>
                <w:sz w:val="24"/>
                <w:szCs w:val="24"/>
                <w:color w:val="auto"/>
              </w:rPr>
            </w:pPr>
          </w:p>
        </w:tc>
        <w:tc>
          <w:tcPr>
            <w:tcW w:w="360" w:type="dxa"/>
            <w:vAlign w:val="bottom"/>
            <w:tcBorders>
              <w:bottom w:val="single" w:sz="8" w:color="0233A1"/>
            </w:tcBorders>
          </w:tcPr>
          <w:p>
            <w:pPr>
              <w:spacing w:after="0"/>
              <w:rPr>
                <w:sz w:val="24"/>
                <w:szCs w:val="24"/>
                <w:color w:val="auto"/>
              </w:rPr>
            </w:pPr>
          </w:p>
        </w:tc>
        <w:tc>
          <w:tcPr>
            <w:tcW w:w="460" w:type="dxa"/>
            <w:vAlign w:val="bottom"/>
            <w:tcBorders>
              <w:bottom w:val="single" w:sz="8" w:color="0233A1"/>
            </w:tcBorders>
          </w:tcPr>
          <w:p>
            <w:pPr>
              <w:spacing w:after="0"/>
              <w:rPr>
                <w:sz w:val="24"/>
                <w:szCs w:val="24"/>
                <w:color w:val="auto"/>
              </w:rPr>
            </w:pPr>
          </w:p>
        </w:tc>
        <w:tc>
          <w:tcPr>
            <w:tcW w:w="520" w:type="dxa"/>
            <w:vAlign w:val="bottom"/>
            <w:tcBorders>
              <w:bottom w:val="single" w:sz="8" w:color="0233A1"/>
            </w:tcBorders>
          </w:tcPr>
          <w:p>
            <w:pPr>
              <w:spacing w:after="0"/>
              <w:rPr>
                <w:sz w:val="24"/>
                <w:szCs w:val="24"/>
                <w:color w:val="auto"/>
              </w:rPr>
            </w:pPr>
          </w:p>
        </w:tc>
        <w:tc>
          <w:tcPr>
            <w:tcW w:w="360" w:type="dxa"/>
            <w:vAlign w:val="bottom"/>
            <w:tcBorders>
              <w:bottom w:val="single" w:sz="8" w:color="0233A1"/>
            </w:tcBorders>
          </w:tcPr>
          <w:p>
            <w:pPr>
              <w:spacing w:after="0"/>
              <w:rPr>
                <w:sz w:val="24"/>
                <w:szCs w:val="24"/>
                <w:color w:val="auto"/>
              </w:rPr>
            </w:pPr>
          </w:p>
        </w:tc>
        <w:tc>
          <w:tcPr>
            <w:tcW w:w="1320" w:type="dxa"/>
            <w:vAlign w:val="bottom"/>
            <w:tcBorders>
              <w:bottom w:val="single" w:sz="8" w:color="0233A1"/>
            </w:tcBorders>
          </w:tcPr>
          <w:p>
            <w:pPr>
              <w:spacing w:after="0"/>
              <w:rPr>
                <w:sz w:val="24"/>
                <w:szCs w:val="24"/>
                <w:color w:val="auto"/>
              </w:rPr>
            </w:pPr>
          </w:p>
        </w:tc>
        <w:tc>
          <w:tcPr>
            <w:tcW w:w="340" w:type="dxa"/>
            <w:vAlign w:val="bottom"/>
            <w:tcBorders>
              <w:bottom w:val="single" w:sz="8" w:color="0233A1"/>
            </w:tcBorders>
          </w:tcPr>
          <w:p>
            <w:pPr>
              <w:spacing w:after="0"/>
              <w:rPr>
                <w:sz w:val="24"/>
                <w:szCs w:val="24"/>
                <w:color w:val="auto"/>
              </w:rPr>
            </w:pPr>
          </w:p>
        </w:tc>
        <w:tc>
          <w:tcPr>
            <w:tcW w:w="1200" w:type="dxa"/>
            <w:vAlign w:val="bottom"/>
            <w:tcBorders>
              <w:bottom w:val="single" w:sz="8" w:color="0233A1"/>
            </w:tcBorders>
          </w:tcPr>
          <w:p>
            <w:pPr>
              <w:spacing w:after="0"/>
              <w:rPr>
                <w:sz w:val="24"/>
                <w:szCs w:val="24"/>
                <w:color w:val="auto"/>
              </w:rPr>
            </w:pPr>
          </w:p>
        </w:tc>
        <w:tc>
          <w:tcPr>
            <w:tcW w:w="1640" w:type="dxa"/>
            <w:vAlign w:val="bottom"/>
            <w:tcBorders>
              <w:bottom w:val="single" w:sz="8" w:color="0233A1"/>
            </w:tcBorders>
            <w:gridSpan w:val="3"/>
          </w:tcPr>
          <w:p>
            <w:pPr>
              <w:jc w:val="right"/>
              <w:ind w:right="19"/>
              <w:spacing w:after="0"/>
              <w:rPr>
                <w:sz w:val="20"/>
                <w:szCs w:val="20"/>
                <w:color w:val="auto"/>
              </w:rPr>
            </w:pPr>
            <w:r>
              <w:rPr>
                <w:rFonts w:ascii="Arial" w:cs="Arial" w:eastAsia="Arial" w:hAnsi="Arial"/>
                <w:sz w:val="16"/>
                <w:szCs w:val="16"/>
                <w:b w:val="1"/>
                <w:bCs w:val="1"/>
                <w:color w:val="0233A1"/>
              </w:rPr>
              <w:t>(Stated in millions)</w:t>
            </w:r>
          </w:p>
        </w:tc>
        <w:tc>
          <w:tcPr>
            <w:tcW w:w="0" w:type="dxa"/>
            <w:vAlign w:val="bottom"/>
          </w:tcPr>
          <w:p>
            <w:pPr>
              <w:spacing w:after="0"/>
              <w:rPr>
                <w:sz w:val="1"/>
                <w:szCs w:val="1"/>
                <w:color w:val="auto"/>
              </w:rPr>
            </w:pPr>
          </w:p>
        </w:tc>
      </w:tr>
      <w:tr>
        <w:trPr>
          <w:trHeight w:val="182"/>
        </w:trPr>
        <w:tc>
          <w:tcPr>
            <w:tcW w:w="4740" w:type="dxa"/>
            <w:vAlign w:val="bottom"/>
            <w:tcBorders>
              <w:bottom w:val="single" w:sz="8" w:color="0233A1"/>
            </w:tcBorders>
            <w:gridSpan w:val="2"/>
            <w:vMerge w:val="continue"/>
          </w:tcPr>
          <w:p>
            <w:pPr>
              <w:spacing w:after="0"/>
              <w:rPr>
                <w:sz w:val="15"/>
                <w:szCs w:val="15"/>
                <w:color w:val="auto"/>
              </w:rPr>
            </w:pPr>
          </w:p>
        </w:tc>
        <w:tc>
          <w:tcPr>
            <w:tcW w:w="300" w:type="dxa"/>
            <w:vAlign w:val="bottom"/>
            <w:tcBorders>
              <w:bottom w:val="single" w:sz="8" w:color="0233A1"/>
            </w:tcBorders>
          </w:tcPr>
          <w:p>
            <w:pPr>
              <w:spacing w:after="0"/>
              <w:rPr>
                <w:sz w:val="15"/>
                <w:szCs w:val="15"/>
                <w:color w:val="auto"/>
              </w:rPr>
            </w:pPr>
          </w:p>
        </w:tc>
        <w:tc>
          <w:tcPr>
            <w:tcW w:w="1340" w:type="dxa"/>
            <w:vAlign w:val="bottom"/>
            <w:tcBorders>
              <w:bottom w:val="single" w:sz="8" w:color="0233A1"/>
            </w:tcBorders>
            <w:gridSpan w:val="3"/>
          </w:tcPr>
          <w:p>
            <w:pPr>
              <w:jc w:val="right"/>
              <w:ind w:right="179"/>
              <w:spacing w:after="0" w:line="183" w:lineRule="exact"/>
              <w:rPr>
                <w:sz w:val="20"/>
                <w:szCs w:val="20"/>
                <w:color w:val="auto"/>
              </w:rPr>
            </w:pPr>
            <w:r>
              <w:rPr>
                <w:rFonts w:ascii="Arial" w:cs="Arial" w:eastAsia="Arial" w:hAnsi="Arial"/>
                <w:sz w:val="16"/>
                <w:szCs w:val="16"/>
                <w:b w:val="1"/>
                <w:bCs w:val="1"/>
                <w:color w:val="0233A1"/>
              </w:rPr>
              <w:t>Dec. 31, 2023</w:t>
            </w:r>
          </w:p>
        </w:tc>
        <w:tc>
          <w:tcPr>
            <w:tcW w:w="360" w:type="dxa"/>
            <w:vAlign w:val="bottom"/>
            <w:tcBorders>
              <w:bottom w:val="single" w:sz="8" w:color="0233A1"/>
            </w:tcBorders>
          </w:tcPr>
          <w:p>
            <w:pPr>
              <w:spacing w:after="0"/>
              <w:rPr>
                <w:sz w:val="15"/>
                <w:szCs w:val="15"/>
                <w:color w:val="auto"/>
              </w:rPr>
            </w:pPr>
          </w:p>
        </w:tc>
        <w:tc>
          <w:tcPr>
            <w:tcW w:w="1320" w:type="dxa"/>
            <w:vAlign w:val="bottom"/>
            <w:tcBorders>
              <w:bottom w:val="single" w:sz="8" w:color="0233A1"/>
            </w:tcBorders>
          </w:tcPr>
          <w:p>
            <w:pPr>
              <w:jc w:val="right"/>
              <w:ind w:right="159"/>
              <w:spacing w:after="0" w:line="183" w:lineRule="exact"/>
              <w:rPr>
                <w:sz w:val="20"/>
                <w:szCs w:val="20"/>
                <w:color w:val="auto"/>
              </w:rPr>
            </w:pPr>
            <w:r>
              <w:rPr>
                <w:rFonts w:ascii="Arial" w:cs="Arial" w:eastAsia="Arial" w:hAnsi="Arial"/>
                <w:sz w:val="16"/>
                <w:szCs w:val="16"/>
                <w:b w:val="1"/>
                <w:bCs w:val="1"/>
                <w:color w:val="0233A1"/>
              </w:rPr>
              <w:t>Dec. 31, 2022</w:t>
            </w:r>
          </w:p>
        </w:tc>
        <w:tc>
          <w:tcPr>
            <w:tcW w:w="340" w:type="dxa"/>
            <w:vAlign w:val="bottom"/>
            <w:tcBorders>
              <w:bottom w:val="single" w:sz="8" w:color="0233A1"/>
            </w:tcBorders>
          </w:tcPr>
          <w:p>
            <w:pPr>
              <w:spacing w:after="0"/>
              <w:rPr>
                <w:sz w:val="15"/>
                <w:szCs w:val="15"/>
                <w:color w:val="auto"/>
              </w:rPr>
            </w:pPr>
          </w:p>
        </w:tc>
        <w:tc>
          <w:tcPr>
            <w:tcW w:w="1200" w:type="dxa"/>
            <w:vAlign w:val="bottom"/>
            <w:tcBorders>
              <w:bottom w:val="single" w:sz="8" w:color="0233A1"/>
            </w:tcBorders>
          </w:tcPr>
          <w:p>
            <w:pPr>
              <w:jc w:val="right"/>
              <w:ind w:right="39"/>
              <w:spacing w:after="0" w:line="183" w:lineRule="exact"/>
              <w:rPr>
                <w:sz w:val="20"/>
                <w:szCs w:val="20"/>
                <w:color w:val="auto"/>
              </w:rPr>
            </w:pPr>
            <w:r>
              <w:rPr>
                <w:rFonts w:ascii="Arial" w:cs="Arial" w:eastAsia="Arial" w:hAnsi="Arial"/>
                <w:sz w:val="16"/>
                <w:szCs w:val="16"/>
                <w:b w:val="1"/>
                <w:bCs w:val="1"/>
                <w:color w:val="0233A1"/>
              </w:rPr>
              <w:t>Dec. 31, 2021</w:t>
            </w:r>
          </w:p>
        </w:tc>
        <w:tc>
          <w:tcPr>
            <w:tcW w:w="460" w:type="dxa"/>
            <w:vAlign w:val="bottom"/>
            <w:tcBorders>
              <w:bottom w:val="single" w:sz="8" w:color="0233A1"/>
            </w:tcBorders>
          </w:tcPr>
          <w:p>
            <w:pPr>
              <w:spacing w:after="0"/>
              <w:rPr>
                <w:sz w:val="15"/>
                <w:szCs w:val="15"/>
                <w:color w:val="auto"/>
              </w:rPr>
            </w:pPr>
          </w:p>
        </w:tc>
        <w:tc>
          <w:tcPr>
            <w:tcW w:w="1180" w:type="dxa"/>
            <w:vAlign w:val="bottom"/>
            <w:tcBorders>
              <w:bottom w:val="single" w:sz="8" w:color="0233A1"/>
            </w:tcBorders>
            <w:gridSpan w:val="2"/>
          </w:tcPr>
          <w:p>
            <w:pPr>
              <w:jc w:val="right"/>
              <w:ind w:right="19"/>
              <w:spacing w:after="0" w:line="183" w:lineRule="exact"/>
              <w:rPr>
                <w:sz w:val="20"/>
                <w:szCs w:val="20"/>
                <w:color w:val="auto"/>
              </w:rPr>
            </w:pPr>
            <w:r>
              <w:rPr>
                <w:rFonts w:ascii="Arial" w:cs="Arial" w:eastAsia="Arial" w:hAnsi="Arial"/>
                <w:sz w:val="16"/>
                <w:szCs w:val="16"/>
                <w:b w:val="1"/>
                <w:bCs w:val="1"/>
                <w:color w:val="0233A1"/>
              </w:rPr>
              <w:t>Dec. 31, 2020</w:t>
            </w:r>
          </w:p>
        </w:tc>
        <w:tc>
          <w:tcPr>
            <w:tcW w:w="0" w:type="dxa"/>
            <w:vAlign w:val="bottom"/>
          </w:tcPr>
          <w:p>
            <w:pPr>
              <w:spacing w:after="0"/>
              <w:rPr>
                <w:sz w:val="1"/>
                <w:szCs w:val="1"/>
                <w:color w:val="auto"/>
              </w:rPr>
            </w:pPr>
          </w:p>
        </w:tc>
      </w:tr>
      <w:tr>
        <w:trPr>
          <w:trHeight w:val="183"/>
        </w:trPr>
        <w:tc>
          <w:tcPr>
            <w:tcW w:w="4740" w:type="dxa"/>
            <w:vAlign w:val="bottom"/>
            <w:tcBorders>
              <w:bottom w:val="single" w:sz="8" w:color="5A5C5F"/>
            </w:tcBorders>
            <w:gridSpan w:val="2"/>
          </w:tcPr>
          <w:p>
            <w:pPr>
              <w:ind w:left="60"/>
              <w:spacing w:after="0" w:line="183" w:lineRule="exact"/>
              <w:rPr>
                <w:sz w:val="20"/>
                <w:szCs w:val="20"/>
                <w:color w:val="auto"/>
              </w:rPr>
            </w:pPr>
            <w:r>
              <w:rPr>
                <w:rFonts w:ascii="Arial" w:cs="Arial" w:eastAsia="Arial" w:hAnsi="Arial"/>
                <w:sz w:val="16"/>
                <w:szCs w:val="16"/>
                <w:color w:val="auto"/>
              </w:rPr>
              <w:t>Merger &amp; integration</w:t>
            </w:r>
          </w:p>
        </w:tc>
        <w:tc>
          <w:tcPr>
            <w:tcW w:w="300" w:type="dxa"/>
            <w:vAlign w:val="bottom"/>
            <w:tcBorders>
              <w:bottom w:val="single" w:sz="8" w:color="5A5C5F"/>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5A5C5F"/>
            </w:tcBorders>
            <w:gridSpan w:val="3"/>
          </w:tcPr>
          <w:p>
            <w:pPr>
              <w:jc w:val="right"/>
              <w:ind w:right="179"/>
              <w:spacing w:after="0" w:line="183" w:lineRule="exact"/>
              <w:rPr>
                <w:sz w:val="20"/>
                <w:szCs w:val="20"/>
                <w:color w:val="auto"/>
              </w:rPr>
            </w:pPr>
            <w:r>
              <w:rPr>
                <w:rFonts w:ascii="Arial" w:cs="Arial" w:eastAsia="Arial" w:hAnsi="Arial"/>
                <w:sz w:val="16"/>
                <w:szCs w:val="16"/>
                <w:b w:val="1"/>
                <w:bCs w:val="1"/>
                <w:color w:val="auto"/>
              </w:rPr>
              <w:t>56</w:t>
            </w:r>
          </w:p>
        </w:tc>
        <w:tc>
          <w:tcPr>
            <w:tcW w:w="360" w:type="dxa"/>
            <w:vAlign w:val="bottom"/>
            <w:tcBorders>
              <w:bottom w:val="single" w:sz="8" w:color="5A5C5F"/>
            </w:tcBorders>
          </w:tcPr>
          <w:p>
            <w:pPr>
              <w:jc w:val="right"/>
              <w:spacing w:after="0" w:line="183" w:lineRule="exact"/>
              <w:rPr>
                <w:sz w:val="20"/>
                <w:szCs w:val="20"/>
                <w:color w:val="auto"/>
              </w:rPr>
            </w:pPr>
            <w:r>
              <w:rPr>
                <w:rFonts w:ascii="Arial" w:cs="Arial" w:eastAsia="Arial" w:hAnsi="Arial"/>
                <w:sz w:val="16"/>
                <w:szCs w:val="16"/>
                <w:color w:val="auto"/>
              </w:rPr>
              <w:t>$</w:t>
            </w:r>
          </w:p>
        </w:tc>
        <w:tc>
          <w:tcPr>
            <w:tcW w:w="1320" w:type="dxa"/>
            <w:vAlign w:val="bottom"/>
            <w:tcBorders>
              <w:bottom w:val="single" w:sz="8" w:color="5A5C5F"/>
            </w:tcBorders>
          </w:tcPr>
          <w:p>
            <w:pPr>
              <w:jc w:val="right"/>
              <w:ind w:right="159"/>
              <w:spacing w:after="0" w:line="183" w:lineRule="exact"/>
              <w:rPr>
                <w:sz w:val="20"/>
                <w:szCs w:val="20"/>
                <w:color w:val="auto"/>
              </w:rPr>
            </w:pPr>
            <w:r>
              <w:rPr>
                <w:rFonts w:ascii="Arial" w:cs="Arial" w:eastAsia="Arial" w:hAnsi="Arial"/>
                <w:sz w:val="16"/>
                <w:szCs w:val="16"/>
                <w:color w:val="auto"/>
              </w:rPr>
              <w:t>—</w:t>
            </w:r>
          </w:p>
        </w:tc>
        <w:tc>
          <w:tcPr>
            <w:tcW w:w="340" w:type="dxa"/>
            <w:vAlign w:val="bottom"/>
            <w:tcBorders>
              <w:bottom w:val="single" w:sz="8" w:color="5A5C5F"/>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5A5C5F"/>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460" w:type="dxa"/>
            <w:vAlign w:val="bottom"/>
            <w:tcBorders>
              <w:bottom w:val="single" w:sz="8" w:color="5A5C5F"/>
            </w:tcBorders>
          </w:tcPr>
          <w:p>
            <w:pPr>
              <w:jc w:val="right"/>
              <w:spacing w:after="0" w:line="183" w:lineRule="exact"/>
              <w:rPr>
                <w:sz w:val="20"/>
                <w:szCs w:val="20"/>
                <w:color w:val="auto"/>
              </w:rPr>
            </w:pPr>
            <w:r>
              <w:rPr>
                <w:rFonts w:ascii="Arial" w:cs="Arial" w:eastAsia="Arial" w:hAnsi="Arial"/>
                <w:sz w:val="16"/>
                <w:szCs w:val="16"/>
                <w:color w:val="auto"/>
              </w:rPr>
              <w:t>$</w:t>
            </w:r>
          </w:p>
        </w:tc>
        <w:tc>
          <w:tcPr>
            <w:tcW w:w="280" w:type="dxa"/>
            <w:vAlign w:val="bottom"/>
            <w:tcBorders>
              <w:bottom w:val="single" w:sz="8" w:color="5A5C5F"/>
            </w:tcBorders>
          </w:tcPr>
          <w:p>
            <w:pPr>
              <w:spacing w:after="0"/>
              <w:rPr>
                <w:sz w:val="15"/>
                <w:szCs w:val="15"/>
                <w:color w:val="auto"/>
              </w:rPr>
            </w:pPr>
          </w:p>
        </w:tc>
        <w:tc>
          <w:tcPr>
            <w:tcW w:w="900" w:type="dxa"/>
            <w:vAlign w:val="bottom"/>
            <w:tcBorders>
              <w:bottom w:val="single" w:sz="8" w:color="5A5C5F"/>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4740" w:type="dxa"/>
            <w:vAlign w:val="bottom"/>
            <w:gridSpan w:val="2"/>
          </w:tcPr>
          <w:p>
            <w:pPr>
              <w:ind w:left="60"/>
              <w:spacing w:after="0" w:line="182" w:lineRule="exact"/>
              <w:rPr>
                <w:sz w:val="20"/>
                <w:szCs w:val="20"/>
                <w:color w:val="auto"/>
              </w:rPr>
            </w:pPr>
            <w:r>
              <w:rPr>
                <w:rFonts w:ascii="Arial" w:cs="Arial" w:eastAsia="Arial" w:hAnsi="Arial"/>
                <w:sz w:val="16"/>
                <w:szCs w:val="16"/>
                <w:color w:val="auto"/>
              </w:rPr>
              <w:t>Argentina devaluation</w:t>
            </w:r>
          </w:p>
        </w:tc>
        <w:tc>
          <w:tcPr>
            <w:tcW w:w="300" w:type="dxa"/>
            <w:vAlign w:val="bottom"/>
          </w:tcPr>
          <w:p>
            <w:pPr>
              <w:spacing w:after="0"/>
              <w:rPr>
                <w:sz w:val="15"/>
                <w:szCs w:val="15"/>
                <w:color w:val="auto"/>
              </w:rPr>
            </w:pPr>
          </w:p>
        </w:tc>
        <w:tc>
          <w:tcPr>
            <w:tcW w:w="1340" w:type="dxa"/>
            <w:vAlign w:val="bottom"/>
            <w:gridSpan w:val="3"/>
          </w:tcPr>
          <w:p>
            <w:pPr>
              <w:jc w:val="right"/>
              <w:ind w:right="179"/>
              <w:spacing w:after="0" w:line="182" w:lineRule="exact"/>
              <w:rPr>
                <w:sz w:val="20"/>
                <w:szCs w:val="20"/>
                <w:color w:val="auto"/>
              </w:rPr>
            </w:pPr>
            <w:r>
              <w:rPr>
                <w:rFonts w:ascii="Arial" w:cs="Arial" w:eastAsia="Arial" w:hAnsi="Arial"/>
                <w:sz w:val="16"/>
                <w:szCs w:val="16"/>
                <w:b w:val="1"/>
                <w:bCs w:val="1"/>
                <w:color w:val="auto"/>
              </w:rPr>
              <w:t>90</w:t>
            </w:r>
          </w:p>
        </w:tc>
        <w:tc>
          <w:tcPr>
            <w:tcW w:w="360" w:type="dxa"/>
            <w:vAlign w:val="bottom"/>
          </w:tcPr>
          <w:p>
            <w:pPr>
              <w:spacing w:after="0"/>
              <w:rPr>
                <w:sz w:val="15"/>
                <w:szCs w:val="15"/>
                <w:color w:val="auto"/>
              </w:rPr>
            </w:pPr>
          </w:p>
        </w:tc>
        <w:tc>
          <w:tcPr>
            <w:tcW w:w="1320" w:type="dxa"/>
            <w:vAlign w:val="bottom"/>
          </w:tcPr>
          <w:p>
            <w:pPr>
              <w:jc w:val="right"/>
              <w:ind w:right="159"/>
              <w:spacing w:after="0" w:line="182" w:lineRule="exact"/>
              <w:rPr>
                <w:sz w:val="20"/>
                <w:szCs w:val="20"/>
                <w:color w:val="auto"/>
              </w:rPr>
            </w:pPr>
            <w:r>
              <w:rPr>
                <w:rFonts w:ascii="Arial" w:cs="Arial" w:eastAsia="Arial" w:hAnsi="Arial"/>
                <w:sz w:val="16"/>
                <w:szCs w:val="16"/>
                <w:color w:val="auto"/>
              </w:rPr>
              <w:t>—</w:t>
            </w:r>
          </w:p>
        </w:tc>
        <w:tc>
          <w:tcPr>
            <w:tcW w:w="340" w:type="dxa"/>
            <w:vAlign w:val="bottom"/>
          </w:tcPr>
          <w:p>
            <w:pPr>
              <w:spacing w:after="0"/>
              <w:rPr>
                <w:sz w:val="15"/>
                <w:szCs w:val="15"/>
                <w:color w:val="auto"/>
              </w:rPr>
            </w:pPr>
          </w:p>
        </w:tc>
        <w:tc>
          <w:tcPr>
            <w:tcW w:w="1200" w:type="dxa"/>
            <w:vAlign w:val="bottom"/>
          </w:tcPr>
          <w:p>
            <w:pPr>
              <w:jc w:val="right"/>
              <w:ind w:right="39"/>
              <w:spacing w:after="0" w:line="182" w:lineRule="exact"/>
              <w:rPr>
                <w:sz w:val="20"/>
                <w:szCs w:val="20"/>
                <w:color w:val="auto"/>
              </w:rPr>
            </w:pPr>
            <w:r>
              <w:rPr>
                <w:rFonts w:ascii="Arial" w:cs="Arial" w:eastAsia="Arial" w:hAnsi="Arial"/>
                <w:sz w:val="16"/>
                <w:szCs w:val="16"/>
                <w:color w:val="auto"/>
              </w:rPr>
              <w:t>—</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19"/>
              <w:spacing w:after="0" w:line="18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740" w:type="dxa"/>
            <w:vAlign w:val="bottom"/>
            <w:gridSpan w:val="2"/>
          </w:tcPr>
          <w:p>
            <w:pPr>
              <w:ind w:left="60"/>
              <w:spacing w:after="0"/>
              <w:rPr>
                <w:sz w:val="20"/>
                <w:szCs w:val="20"/>
                <w:color w:val="auto"/>
              </w:rPr>
            </w:pPr>
            <w:r>
              <w:rPr>
                <w:rFonts w:ascii="Arial" w:cs="Arial" w:eastAsia="Arial" w:hAnsi="Arial"/>
                <w:sz w:val="16"/>
                <w:szCs w:val="16"/>
                <w:color w:val="auto"/>
              </w:rPr>
              <w:t>Gain on sale of Liberty shares</w:t>
            </w:r>
          </w:p>
        </w:tc>
        <w:tc>
          <w:tcPr>
            <w:tcW w:w="300" w:type="dxa"/>
            <w:vAlign w:val="bottom"/>
          </w:tcPr>
          <w:p>
            <w:pPr>
              <w:spacing w:after="0"/>
              <w:rPr>
                <w:sz w:val="17"/>
                <w:szCs w:val="17"/>
                <w:color w:val="auto"/>
              </w:rPr>
            </w:pPr>
          </w:p>
        </w:tc>
        <w:tc>
          <w:tcPr>
            <w:tcW w:w="1340" w:type="dxa"/>
            <w:vAlign w:val="bottom"/>
            <w:gridSpan w:val="3"/>
          </w:tcPr>
          <w:p>
            <w:pPr>
              <w:jc w:val="right"/>
              <w:ind w:right="139"/>
              <w:spacing w:after="0"/>
              <w:rPr>
                <w:sz w:val="20"/>
                <w:szCs w:val="20"/>
                <w:color w:val="auto"/>
              </w:rPr>
            </w:pPr>
            <w:r>
              <w:rPr>
                <w:rFonts w:ascii="Arial" w:cs="Arial" w:eastAsia="Arial" w:hAnsi="Arial"/>
                <w:sz w:val="16"/>
                <w:szCs w:val="16"/>
                <w:b w:val="1"/>
                <w:bCs w:val="1"/>
                <w:color w:val="auto"/>
              </w:rPr>
              <w:t>(36)</w:t>
            </w:r>
          </w:p>
        </w:tc>
        <w:tc>
          <w:tcPr>
            <w:tcW w:w="360" w:type="dxa"/>
            <w:vAlign w:val="bottom"/>
          </w:tcPr>
          <w:p>
            <w:pPr>
              <w:spacing w:after="0"/>
              <w:rPr>
                <w:sz w:val="17"/>
                <w:szCs w:val="17"/>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(325)</w:t>
            </w: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740" w:type="dxa"/>
            <w:vAlign w:val="bottom"/>
            <w:gridSpan w:val="2"/>
          </w:tcPr>
          <w:p>
            <w:pPr>
              <w:ind w:left="60"/>
              <w:spacing w:after="0"/>
              <w:rPr>
                <w:sz w:val="20"/>
                <w:szCs w:val="20"/>
                <w:color w:val="auto"/>
              </w:rPr>
            </w:pPr>
            <w:r>
              <w:rPr>
                <w:rFonts w:ascii="Arial" w:cs="Arial" w:eastAsia="Arial" w:hAnsi="Arial"/>
                <w:sz w:val="16"/>
                <w:szCs w:val="16"/>
                <w:color w:val="auto"/>
              </w:rPr>
              <w:t>Gain on Arabian Drilling Company equity investment</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7"/>
                <w:szCs w:val="17"/>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(107)</w:t>
            </w:r>
          </w:p>
        </w:tc>
        <w:tc>
          <w:tcPr>
            <w:tcW w:w="34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740" w:type="dxa"/>
            <w:vAlign w:val="bottom"/>
            <w:gridSpan w:val="2"/>
          </w:tcPr>
          <w:p>
            <w:pPr>
              <w:ind w:left="60"/>
              <w:spacing w:after="0"/>
              <w:rPr>
                <w:sz w:val="20"/>
                <w:szCs w:val="20"/>
                <w:color w:val="auto"/>
              </w:rPr>
            </w:pPr>
            <w:r>
              <w:rPr>
                <w:rFonts w:ascii="Arial" w:cs="Arial" w:eastAsia="Arial" w:hAnsi="Arial"/>
                <w:sz w:val="16"/>
                <w:szCs w:val="16"/>
                <w:color w:val="auto"/>
              </w:rPr>
              <w:t>Repurchase of bonds</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7"/>
                <w:szCs w:val="17"/>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(11)</w:t>
            </w:r>
          </w:p>
        </w:tc>
        <w:tc>
          <w:tcPr>
            <w:tcW w:w="34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1180" w:type="dxa"/>
            <w:vAlign w:val="bottom"/>
            <w:gridSpan w:val="2"/>
          </w:tcPr>
          <w:p>
            <w:pPr>
              <w:jc w:val="right"/>
              <w:ind w:right="19"/>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03"/>
        </w:trPr>
        <w:tc>
          <w:tcPr>
            <w:tcW w:w="4740" w:type="dxa"/>
            <w:vAlign w:val="bottom"/>
            <w:gridSpan w:val="2"/>
          </w:tcPr>
          <w:p>
            <w:pPr>
              <w:ind w:left="60"/>
              <w:spacing w:after="0"/>
              <w:rPr>
                <w:sz w:val="20"/>
                <w:szCs w:val="20"/>
                <w:color w:val="auto"/>
              </w:rPr>
            </w:pPr>
            <w:r>
              <w:rPr>
                <w:rFonts w:ascii="Arial" w:cs="Arial" w:eastAsia="Arial" w:hAnsi="Arial"/>
                <w:sz w:val="16"/>
                <w:szCs w:val="16"/>
                <w:color w:val="auto"/>
              </w:rPr>
              <w:t>Loss on Blue Chip Swap transactions</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7"/>
                <w:szCs w:val="17"/>
                <w:color w:val="auto"/>
              </w:rPr>
            </w:pP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139</w:t>
            </w:r>
          </w:p>
        </w:tc>
        <w:tc>
          <w:tcPr>
            <w:tcW w:w="34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740" w:type="dxa"/>
            <w:vAlign w:val="bottom"/>
            <w:gridSpan w:val="2"/>
          </w:tcPr>
          <w:p>
            <w:pPr>
              <w:ind w:left="60"/>
              <w:spacing w:after="0"/>
              <w:rPr>
                <w:sz w:val="20"/>
                <w:szCs w:val="20"/>
                <w:color w:val="auto"/>
              </w:rPr>
            </w:pPr>
            <w:r>
              <w:rPr>
                <w:rFonts w:ascii="Arial" w:cs="Arial" w:eastAsia="Arial" w:hAnsi="Arial"/>
                <w:sz w:val="16"/>
                <w:szCs w:val="16"/>
                <w:color w:val="auto"/>
              </w:rPr>
              <w:t>Gain on sale of real estate</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7"/>
                <w:szCs w:val="17"/>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(43)</w:t>
            </w:r>
          </w:p>
        </w:tc>
        <w:tc>
          <w:tcPr>
            <w:tcW w:w="34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740" w:type="dxa"/>
            <w:vAlign w:val="bottom"/>
            <w:gridSpan w:val="2"/>
          </w:tcPr>
          <w:p>
            <w:pPr>
              <w:ind w:left="60"/>
              <w:spacing w:after="0"/>
              <w:rPr>
                <w:sz w:val="20"/>
                <w:szCs w:val="20"/>
                <w:color w:val="auto"/>
              </w:rPr>
            </w:pPr>
            <w:r>
              <w:rPr>
                <w:rFonts w:ascii="Arial" w:cs="Arial" w:eastAsia="Arial" w:hAnsi="Arial"/>
                <w:sz w:val="16"/>
                <w:szCs w:val="16"/>
                <w:color w:val="auto"/>
              </w:rPr>
              <w:t>Early repayment of bonds</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7"/>
                <w:szCs w:val="17"/>
                <w:color w:val="auto"/>
              </w:rPr>
            </w:pP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740" w:type="dxa"/>
            <w:vAlign w:val="bottom"/>
            <w:gridSpan w:val="2"/>
          </w:tcPr>
          <w:p>
            <w:pPr>
              <w:ind w:left="60"/>
              <w:spacing w:after="0"/>
              <w:rPr>
                <w:sz w:val="20"/>
                <w:szCs w:val="20"/>
                <w:color w:val="auto"/>
              </w:rPr>
            </w:pPr>
            <w:r>
              <w:rPr>
                <w:rFonts w:ascii="Arial" w:cs="Arial" w:eastAsia="Arial" w:hAnsi="Arial"/>
                <w:sz w:val="16"/>
                <w:szCs w:val="16"/>
                <w:color w:val="auto"/>
              </w:rPr>
              <w:t>Unrealized gain on marketable securities</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7"/>
                <w:szCs w:val="17"/>
                <w:color w:val="auto"/>
              </w:rPr>
            </w:pP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(47)</w:t>
            </w:r>
          </w:p>
        </w:tc>
        <w:tc>
          <w:tcPr>
            <w:tcW w:w="46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3"/>
        </w:trPr>
        <w:tc>
          <w:tcPr>
            <w:tcW w:w="4740" w:type="dxa"/>
            <w:vAlign w:val="bottom"/>
            <w:gridSpan w:val="2"/>
          </w:tcPr>
          <w:p>
            <w:pPr>
              <w:ind w:left="60"/>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7"/>
                <w:szCs w:val="17"/>
                <w:color w:val="auto"/>
              </w:rPr>
            </w:pP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1180" w:type="dxa"/>
            <w:vAlign w:val="bottom"/>
            <w:gridSpan w:val="2"/>
          </w:tcPr>
          <w:p>
            <w:pPr>
              <w:jc w:val="right"/>
              <w:ind w:right="19"/>
              <w:spacing w:after="0"/>
              <w:rPr>
                <w:sz w:val="20"/>
                <w:szCs w:val="20"/>
                <w:color w:val="auto"/>
              </w:rPr>
            </w:pPr>
            <w:r>
              <w:rPr>
                <w:rFonts w:ascii="Arial" w:cs="Arial" w:eastAsia="Arial" w:hAnsi="Arial"/>
                <w:sz w:val="16"/>
                <w:szCs w:val="16"/>
                <w:color w:val="auto"/>
              </w:rPr>
              <w:t>3,070</w:t>
            </w:r>
          </w:p>
        </w:tc>
        <w:tc>
          <w:tcPr>
            <w:tcW w:w="0" w:type="dxa"/>
            <w:vAlign w:val="bottom"/>
          </w:tcPr>
          <w:p>
            <w:pPr>
              <w:spacing w:after="0"/>
              <w:rPr>
                <w:sz w:val="1"/>
                <w:szCs w:val="1"/>
                <w:color w:val="auto"/>
              </w:rPr>
            </w:pPr>
          </w:p>
        </w:tc>
      </w:tr>
      <w:tr>
        <w:trPr>
          <w:trHeight w:val="203"/>
        </w:trPr>
        <w:tc>
          <w:tcPr>
            <w:tcW w:w="4740" w:type="dxa"/>
            <w:vAlign w:val="bottom"/>
            <w:gridSpan w:val="2"/>
          </w:tcPr>
          <w:p>
            <w:pPr>
              <w:ind w:left="60"/>
              <w:spacing w:after="0"/>
              <w:rPr>
                <w:sz w:val="20"/>
                <w:szCs w:val="20"/>
                <w:color w:val="auto"/>
              </w:rPr>
            </w:pPr>
            <w:r>
              <w:rPr>
                <w:rFonts w:ascii="Arial" w:cs="Arial" w:eastAsia="Arial" w:hAnsi="Arial"/>
                <w:sz w:val="16"/>
                <w:szCs w:val="16"/>
                <w:color w:val="auto"/>
              </w:rPr>
              <w:t>Intangible assets</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7"/>
                <w:szCs w:val="17"/>
                <w:color w:val="auto"/>
              </w:rPr>
            </w:pP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1180" w:type="dxa"/>
            <w:vAlign w:val="bottom"/>
            <w:gridSpan w:val="2"/>
          </w:tcPr>
          <w:p>
            <w:pPr>
              <w:jc w:val="right"/>
              <w:ind w:right="19"/>
              <w:spacing w:after="0"/>
              <w:rPr>
                <w:sz w:val="20"/>
                <w:szCs w:val="20"/>
                <w:color w:val="auto"/>
              </w:rPr>
            </w:pPr>
            <w:r>
              <w:rPr>
                <w:rFonts w:ascii="Arial" w:cs="Arial" w:eastAsia="Arial" w:hAnsi="Arial"/>
                <w:sz w:val="16"/>
                <w:szCs w:val="16"/>
                <w:color w:val="auto"/>
              </w:rPr>
              <w:t>3,321</w:t>
            </w:r>
          </w:p>
        </w:tc>
        <w:tc>
          <w:tcPr>
            <w:tcW w:w="0" w:type="dxa"/>
            <w:vAlign w:val="bottom"/>
          </w:tcPr>
          <w:p>
            <w:pPr>
              <w:spacing w:after="0"/>
              <w:rPr>
                <w:sz w:val="1"/>
                <w:szCs w:val="1"/>
                <w:color w:val="auto"/>
              </w:rPr>
            </w:pPr>
          </w:p>
        </w:tc>
      </w:tr>
      <w:tr>
        <w:trPr>
          <w:trHeight w:val="203"/>
        </w:trPr>
        <w:tc>
          <w:tcPr>
            <w:tcW w:w="4740" w:type="dxa"/>
            <w:vAlign w:val="bottom"/>
            <w:gridSpan w:val="2"/>
          </w:tcPr>
          <w:p>
            <w:pPr>
              <w:ind w:left="60"/>
              <w:spacing w:after="0"/>
              <w:rPr>
                <w:sz w:val="20"/>
                <w:szCs w:val="20"/>
                <w:color w:val="auto"/>
              </w:rPr>
            </w:pPr>
            <w:r>
              <w:rPr>
                <w:rFonts w:ascii="Arial" w:cs="Arial" w:eastAsia="Arial" w:hAnsi="Arial"/>
                <w:sz w:val="16"/>
                <w:szCs w:val="16"/>
                <w:color w:val="auto"/>
              </w:rPr>
              <w:t>APS investments</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7"/>
                <w:szCs w:val="17"/>
                <w:color w:val="auto"/>
              </w:rPr>
            </w:pP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1180" w:type="dxa"/>
            <w:vAlign w:val="bottom"/>
            <w:gridSpan w:val="2"/>
          </w:tcPr>
          <w:p>
            <w:pPr>
              <w:jc w:val="right"/>
              <w:ind w:right="19"/>
              <w:spacing w:after="0"/>
              <w:rPr>
                <w:sz w:val="20"/>
                <w:szCs w:val="20"/>
                <w:color w:val="auto"/>
              </w:rPr>
            </w:pPr>
            <w:r>
              <w:rPr>
                <w:rFonts w:ascii="Arial" w:cs="Arial" w:eastAsia="Arial" w:hAnsi="Arial"/>
                <w:sz w:val="16"/>
                <w:szCs w:val="16"/>
                <w:color w:val="auto"/>
              </w:rPr>
              <w:t>1,994</w:t>
            </w:r>
          </w:p>
        </w:tc>
        <w:tc>
          <w:tcPr>
            <w:tcW w:w="0" w:type="dxa"/>
            <w:vAlign w:val="bottom"/>
          </w:tcPr>
          <w:p>
            <w:pPr>
              <w:spacing w:after="0"/>
              <w:rPr>
                <w:sz w:val="1"/>
                <w:szCs w:val="1"/>
                <w:color w:val="auto"/>
              </w:rPr>
            </w:pPr>
          </w:p>
        </w:tc>
      </w:tr>
      <w:tr>
        <w:trPr>
          <w:trHeight w:val="203"/>
        </w:trPr>
        <w:tc>
          <w:tcPr>
            <w:tcW w:w="4740" w:type="dxa"/>
            <w:vAlign w:val="bottom"/>
            <w:gridSpan w:val="2"/>
          </w:tcPr>
          <w:p>
            <w:pPr>
              <w:ind w:left="60"/>
              <w:spacing w:after="0"/>
              <w:rPr>
                <w:sz w:val="20"/>
                <w:szCs w:val="20"/>
                <w:color w:val="auto"/>
              </w:rPr>
            </w:pPr>
            <w:r>
              <w:rPr>
                <w:rFonts w:ascii="Arial" w:cs="Arial" w:eastAsia="Arial" w:hAnsi="Arial"/>
                <w:sz w:val="16"/>
                <w:szCs w:val="16"/>
                <w:color w:val="auto"/>
              </w:rPr>
              <w:t>North America pressure pumping</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7"/>
                <w:szCs w:val="17"/>
                <w:color w:val="auto"/>
              </w:rPr>
            </w:pP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1180" w:type="dxa"/>
            <w:vAlign w:val="bottom"/>
            <w:gridSpan w:val="2"/>
          </w:tcPr>
          <w:p>
            <w:pPr>
              <w:jc w:val="right"/>
              <w:ind w:right="19"/>
              <w:spacing w:after="0"/>
              <w:rPr>
                <w:sz w:val="20"/>
                <w:szCs w:val="20"/>
                <w:color w:val="auto"/>
              </w:rPr>
            </w:pPr>
            <w:r>
              <w:rPr>
                <w:rFonts w:ascii="Arial" w:cs="Arial" w:eastAsia="Arial" w:hAnsi="Arial"/>
                <w:sz w:val="16"/>
                <w:szCs w:val="16"/>
                <w:color w:val="auto"/>
              </w:rPr>
              <w:t>587</w:t>
            </w:r>
          </w:p>
        </w:tc>
        <w:tc>
          <w:tcPr>
            <w:tcW w:w="0" w:type="dxa"/>
            <w:vAlign w:val="bottom"/>
          </w:tcPr>
          <w:p>
            <w:pPr>
              <w:spacing w:after="0"/>
              <w:rPr>
                <w:sz w:val="1"/>
                <w:szCs w:val="1"/>
                <w:color w:val="auto"/>
              </w:rPr>
            </w:pPr>
          </w:p>
        </w:tc>
      </w:tr>
      <w:tr>
        <w:trPr>
          <w:trHeight w:val="203"/>
        </w:trPr>
        <w:tc>
          <w:tcPr>
            <w:tcW w:w="4740" w:type="dxa"/>
            <w:vAlign w:val="bottom"/>
            <w:gridSpan w:val="2"/>
          </w:tcPr>
          <w:p>
            <w:pPr>
              <w:ind w:left="60"/>
              <w:spacing w:after="0"/>
              <w:rPr>
                <w:sz w:val="20"/>
                <w:szCs w:val="20"/>
                <w:color w:val="auto"/>
              </w:rPr>
            </w:pPr>
            <w:r>
              <w:rPr>
                <w:rFonts w:ascii="Arial" w:cs="Arial" w:eastAsia="Arial" w:hAnsi="Arial"/>
                <w:sz w:val="16"/>
                <w:szCs w:val="16"/>
                <w:color w:val="auto"/>
              </w:rPr>
              <w:t>Workforce reductions</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7"/>
                <w:szCs w:val="17"/>
                <w:color w:val="auto"/>
              </w:rPr>
            </w:pP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1180" w:type="dxa"/>
            <w:vAlign w:val="bottom"/>
            <w:gridSpan w:val="2"/>
          </w:tcPr>
          <w:p>
            <w:pPr>
              <w:jc w:val="right"/>
              <w:ind w:right="19"/>
              <w:spacing w:after="0"/>
              <w:rPr>
                <w:sz w:val="20"/>
                <w:szCs w:val="20"/>
                <w:color w:val="auto"/>
              </w:rPr>
            </w:pPr>
            <w:r>
              <w:rPr>
                <w:rFonts w:ascii="Arial" w:cs="Arial" w:eastAsia="Arial" w:hAnsi="Arial"/>
                <w:sz w:val="16"/>
                <w:szCs w:val="16"/>
                <w:color w:val="auto"/>
              </w:rPr>
              <w:t>1,286</w:t>
            </w:r>
          </w:p>
        </w:tc>
        <w:tc>
          <w:tcPr>
            <w:tcW w:w="0" w:type="dxa"/>
            <w:vAlign w:val="bottom"/>
          </w:tcPr>
          <w:p>
            <w:pPr>
              <w:spacing w:after="0"/>
              <w:rPr>
                <w:sz w:val="1"/>
                <w:szCs w:val="1"/>
                <w:color w:val="auto"/>
              </w:rPr>
            </w:pPr>
          </w:p>
        </w:tc>
      </w:tr>
      <w:tr>
        <w:trPr>
          <w:trHeight w:val="203"/>
        </w:trPr>
        <w:tc>
          <w:tcPr>
            <w:tcW w:w="4740" w:type="dxa"/>
            <w:vAlign w:val="bottom"/>
            <w:gridSpan w:val="2"/>
          </w:tcPr>
          <w:p>
            <w:pPr>
              <w:ind w:left="60"/>
              <w:spacing w:after="0"/>
              <w:rPr>
                <w:sz w:val="20"/>
                <w:szCs w:val="20"/>
                <w:color w:val="auto"/>
              </w:rPr>
            </w:pPr>
            <w:r>
              <w:rPr>
                <w:rFonts w:ascii="Arial" w:cs="Arial" w:eastAsia="Arial" w:hAnsi="Arial"/>
                <w:sz w:val="16"/>
                <w:szCs w:val="16"/>
                <w:color w:val="auto"/>
              </w:rPr>
              <w:t>Fixed asset impairments</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7"/>
                <w:szCs w:val="17"/>
                <w:color w:val="auto"/>
              </w:rPr>
            </w:pP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1180" w:type="dxa"/>
            <w:vAlign w:val="bottom"/>
            <w:gridSpan w:val="2"/>
          </w:tcPr>
          <w:p>
            <w:pPr>
              <w:jc w:val="right"/>
              <w:ind w:right="19"/>
              <w:spacing w:after="0"/>
              <w:rPr>
                <w:sz w:val="20"/>
                <w:szCs w:val="20"/>
                <w:color w:val="auto"/>
              </w:rPr>
            </w:pPr>
            <w:r>
              <w:rPr>
                <w:rFonts w:ascii="Arial" w:cs="Arial" w:eastAsia="Arial" w:hAnsi="Arial"/>
                <w:sz w:val="16"/>
                <w:szCs w:val="16"/>
                <w:color w:val="auto"/>
              </w:rPr>
              <w:t>666</w:t>
            </w:r>
          </w:p>
        </w:tc>
        <w:tc>
          <w:tcPr>
            <w:tcW w:w="0" w:type="dxa"/>
            <w:vAlign w:val="bottom"/>
          </w:tcPr>
          <w:p>
            <w:pPr>
              <w:spacing w:after="0"/>
              <w:rPr>
                <w:sz w:val="1"/>
                <w:szCs w:val="1"/>
                <w:color w:val="auto"/>
              </w:rPr>
            </w:pPr>
          </w:p>
        </w:tc>
      </w:tr>
      <w:tr>
        <w:trPr>
          <w:trHeight w:val="203"/>
        </w:trPr>
        <w:tc>
          <w:tcPr>
            <w:tcW w:w="4740" w:type="dxa"/>
            <w:vAlign w:val="bottom"/>
            <w:gridSpan w:val="2"/>
          </w:tcPr>
          <w:p>
            <w:pPr>
              <w:ind w:left="60"/>
              <w:spacing w:after="0"/>
              <w:rPr>
                <w:sz w:val="20"/>
                <w:szCs w:val="20"/>
                <w:color w:val="auto"/>
              </w:rPr>
            </w:pPr>
            <w:r>
              <w:rPr>
                <w:rFonts w:ascii="Arial" w:cs="Arial" w:eastAsia="Arial" w:hAnsi="Arial"/>
                <w:sz w:val="16"/>
                <w:szCs w:val="16"/>
                <w:color w:val="auto"/>
              </w:rPr>
              <w:t>Inventory write-downs</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7"/>
                <w:szCs w:val="17"/>
                <w:color w:val="auto"/>
              </w:rPr>
            </w:pP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1180" w:type="dxa"/>
            <w:vAlign w:val="bottom"/>
            <w:gridSpan w:val="2"/>
          </w:tcPr>
          <w:p>
            <w:pPr>
              <w:jc w:val="right"/>
              <w:ind w:right="19"/>
              <w:spacing w:after="0"/>
              <w:rPr>
                <w:sz w:val="20"/>
                <w:szCs w:val="20"/>
                <w:color w:val="auto"/>
              </w:rPr>
            </w:pPr>
            <w:r>
              <w:rPr>
                <w:rFonts w:ascii="Arial" w:cs="Arial" w:eastAsia="Arial" w:hAnsi="Arial"/>
                <w:sz w:val="16"/>
                <w:szCs w:val="16"/>
                <w:color w:val="auto"/>
              </w:rPr>
              <w:t>603</w:t>
            </w:r>
          </w:p>
        </w:tc>
        <w:tc>
          <w:tcPr>
            <w:tcW w:w="0" w:type="dxa"/>
            <w:vAlign w:val="bottom"/>
          </w:tcPr>
          <w:p>
            <w:pPr>
              <w:spacing w:after="0"/>
              <w:rPr>
                <w:sz w:val="1"/>
                <w:szCs w:val="1"/>
                <w:color w:val="auto"/>
              </w:rPr>
            </w:pPr>
          </w:p>
        </w:tc>
      </w:tr>
      <w:tr>
        <w:trPr>
          <w:trHeight w:val="203"/>
        </w:trPr>
        <w:tc>
          <w:tcPr>
            <w:tcW w:w="4740" w:type="dxa"/>
            <w:vAlign w:val="bottom"/>
            <w:gridSpan w:val="2"/>
          </w:tcPr>
          <w:p>
            <w:pPr>
              <w:ind w:left="60"/>
              <w:spacing w:after="0"/>
              <w:rPr>
                <w:sz w:val="20"/>
                <w:szCs w:val="20"/>
                <w:color w:val="auto"/>
              </w:rPr>
            </w:pPr>
            <w:r>
              <w:rPr>
                <w:rFonts w:ascii="Arial" w:cs="Arial" w:eastAsia="Arial" w:hAnsi="Arial"/>
                <w:sz w:val="16"/>
                <w:szCs w:val="16"/>
                <w:color w:val="auto"/>
              </w:rPr>
              <w:t>Right-of-use asset impairments</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7"/>
                <w:szCs w:val="17"/>
                <w:color w:val="auto"/>
              </w:rPr>
            </w:pP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1180" w:type="dxa"/>
            <w:vAlign w:val="bottom"/>
            <w:gridSpan w:val="2"/>
          </w:tcPr>
          <w:p>
            <w:pPr>
              <w:jc w:val="right"/>
              <w:ind w:right="19"/>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203"/>
        </w:trPr>
        <w:tc>
          <w:tcPr>
            <w:tcW w:w="4740" w:type="dxa"/>
            <w:vAlign w:val="bottom"/>
            <w:gridSpan w:val="2"/>
          </w:tcPr>
          <w:p>
            <w:pPr>
              <w:ind w:left="60"/>
              <w:spacing w:after="0"/>
              <w:rPr>
                <w:sz w:val="20"/>
                <w:szCs w:val="20"/>
                <w:color w:val="auto"/>
              </w:rPr>
            </w:pPr>
            <w:r>
              <w:rPr>
                <w:rFonts w:ascii="Arial" w:cs="Arial" w:eastAsia="Arial" w:hAnsi="Arial"/>
                <w:sz w:val="16"/>
                <w:szCs w:val="16"/>
                <w:color w:val="auto"/>
              </w:rPr>
              <w:t>Costs associated with exiting certain activities</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7"/>
                <w:szCs w:val="17"/>
                <w:color w:val="auto"/>
              </w:rPr>
            </w:pP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1180" w:type="dxa"/>
            <w:vAlign w:val="bottom"/>
            <w:gridSpan w:val="2"/>
          </w:tcPr>
          <w:p>
            <w:pPr>
              <w:jc w:val="right"/>
              <w:ind w:right="19"/>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203"/>
        </w:trPr>
        <w:tc>
          <w:tcPr>
            <w:tcW w:w="4740" w:type="dxa"/>
            <w:vAlign w:val="bottom"/>
            <w:gridSpan w:val="2"/>
          </w:tcPr>
          <w:p>
            <w:pPr>
              <w:ind w:left="60"/>
              <w:spacing w:after="0"/>
              <w:rPr>
                <w:sz w:val="20"/>
                <w:szCs w:val="20"/>
                <w:color w:val="auto"/>
              </w:rPr>
            </w:pPr>
            <w:r>
              <w:rPr>
                <w:rFonts w:ascii="Arial" w:cs="Arial" w:eastAsia="Arial" w:hAnsi="Arial"/>
                <w:sz w:val="16"/>
                <w:szCs w:val="16"/>
                <w:color w:val="auto"/>
              </w:rPr>
              <w:t>Multiclient seismic data impairment</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7"/>
                <w:szCs w:val="17"/>
                <w:color w:val="auto"/>
              </w:rPr>
            </w:pP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1180" w:type="dxa"/>
            <w:vAlign w:val="bottom"/>
            <w:gridSpan w:val="2"/>
          </w:tcPr>
          <w:p>
            <w:pPr>
              <w:jc w:val="right"/>
              <w:ind w:right="19"/>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02"/>
        </w:trPr>
        <w:tc>
          <w:tcPr>
            <w:tcW w:w="4740" w:type="dxa"/>
            <w:vAlign w:val="bottom"/>
            <w:gridSpan w:val="2"/>
          </w:tcPr>
          <w:p>
            <w:pPr>
              <w:ind w:left="60"/>
              <w:spacing w:after="0"/>
              <w:rPr>
                <w:sz w:val="20"/>
                <w:szCs w:val="20"/>
                <w:color w:val="auto"/>
              </w:rPr>
            </w:pPr>
            <w:r>
              <w:rPr>
                <w:rFonts w:ascii="Arial" w:cs="Arial" w:eastAsia="Arial" w:hAnsi="Arial"/>
                <w:sz w:val="16"/>
                <w:szCs w:val="16"/>
                <w:color w:val="auto"/>
              </w:rPr>
              <w:t>Postretirement benefits curtailment gain</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7"/>
                <w:szCs w:val="17"/>
                <w:color w:val="auto"/>
              </w:rPr>
            </w:pP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03"/>
        </w:trPr>
        <w:tc>
          <w:tcPr>
            <w:tcW w:w="4740" w:type="dxa"/>
            <w:vAlign w:val="bottom"/>
            <w:gridSpan w:val="2"/>
          </w:tcPr>
          <w:p>
            <w:pPr>
              <w:ind w:left="60"/>
              <w:spacing w:after="0"/>
              <w:rPr>
                <w:sz w:val="20"/>
                <w:szCs w:val="20"/>
                <w:color w:val="auto"/>
              </w:rPr>
            </w:pPr>
            <w:r>
              <w:rPr>
                <w:rFonts w:ascii="Arial" w:cs="Arial" w:eastAsia="Arial" w:hAnsi="Arial"/>
                <w:sz w:val="16"/>
                <w:szCs w:val="16"/>
                <w:color w:val="auto"/>
              </w:rPr>
              <w:t>Facility exit charges</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7"/>
                <w:szCs w:val="17"/>
                <w:color w:val="auto"/>
              </w:rPr>
            </w:pP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1180" w:type="dxa"/>
            <w:vAlign w:val="bottom"/>
            <w:gridSpan w:val="2"/>
          </w:tcPr>
          <w:p>
            <w:pPr>
              <w:jc w:val="right"/>
              <w:ind w:right="19"/>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203"/>
        </w:trPr>
        <w:tc>
          <w:tcPr>
            <w:tcW w:w="4740" w:type="dxa"/>
            <w:vAlign w:val="bottom"/>
            <w:gridSpan w:val="2"/>
          </w:tcPr>
          <w:p>
            <w:pPr>
              <w:ind w:left="60"/>
              <w:spacing w:after="0"/>
              <w:rPr>
                <w:sz w:val="20"/>
                <w:szCs w:val="20"/>
                <w:color w:val="auto"/>
              </w:rPr>
            </w:pPr>
            <w:r>
              <w:rPr>
                <w:rFonts w:ascii="Arial" w:cs="Arial" w:eastAsia="Arial" w:hAnsi="Arial"/>
                <w:sz w:val="16"/>
                <w:szCs w:val="16"/>
                <w:color w:val="auto"/>
              </w:rPr>
              <w:t>Gain on sale of OneStim</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7"/>
                <w:szCs w:val="17"/>
                <w:color w:val="auto"/>
              </w:rPr>
            </w:pP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03"/>
        </w:trPr>
        <w:tc>
          <w:tcPr>
            <w:tcW w:w="4740" w:type="dxa"/>
            <w:vAlign w:val="bottom"/>
            <w:tcBorders>
              <w:bottom w:val="single" w:sz="8" w:color="0233A1"/>
            </w:tcBorders>
            <w:gridSpan w:val="2"/>
          </w:tcPr>
          <w:p>
            <w:pPr>
              <w:ind w:left="6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0233A1"/>
            </w:tcBorders>
          </w:tcPr>
          <w:p>
            <w:pPr>
              <w:spacing w:after="0"/>
              <w:rPr>
                <w:sz w:val="17"/>
                <w:szCs w:val="17"/>
                <w:color w:val="auto"/>
              </w:rPr>
            </w:pPr>
          </w:p>
        </w:tc>
        <w:tc>
          <w:tcPr>
            <w:tcW w:w="360" w:type="dxa"/>
            <w:vAlign w:val="bottom"/>
            <w:tcBorders>
              <w:bottom w:val="single" w:sz="8" w:color="0233A1"/>
            </w:tcBorders>
          </w:tcPr>
          <w:p>
            <w:pPr>
              <w:spacing w:after="0"/>
              <w:rPr>
                <w:sz w:val="17"/>
                <w:szCs w:val="17"/>
                <w:color w:val="auto"/>
              </w:rPr>
            </w:pPr>
          </w:p>
        </w:tc>
        <w:tc>
          <w:tcPr>
            <w:tcW w:w="460" w:type="dxa"/>
            <w:vAlign w:val="bottom"/>
            <w:tcBorders>
              <w:bottom w:val="single" w:sz="8" w:color="0233A1"/>
            </w:tcBorders>
          </w:tcPr>
          <w:p>
            <w:pPr>
              <w:spacing w:after="0"/>
              <w:rPr>
                <w:sz w:val="17"/>
                <w:szCs w:val="17"/>
                <w:color w:val="auto"/>
              </w:rPr>
            </w:pPr>
          </w:p>
        </w:tc>
        <w:tc>
          <w:tcPr>
            <w:tcW w:w="520" w:type="dxa"/>
            <w:vAlign w:val="bottom"/>
            <w:tcBorders>
              <w:bottom w:val="single" w:sz="8" w:color="0233A1"/>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0233A1"/>
            </w:tcBorders>
          </w:tcPr>
          <w:p>
            <w:pPr>
              <w:spacing w:after="0"/>
              <w:rPr>
                <w:sz w:val="17"/>
                <w:szCs w:val="17"/>
                <w:color w:val="auto"/>
              </w:rPr>
            </w:pPr>
          </w:p>
        </w:tc>
        <w:tc>
          <w:tcPr>
            <w:tcW w:w="1320" w:type="dxa"/>
            <w:vAlign w:val="bottom"/>
            <w:tcBorders>
              <w:bottom w:val="single" w:sz="8" w:color="0233A1"/>
            </w:tcBorders>
          </w:tcPr>
          <w:p>
            <w:pPr>
              <w:jc w:val="right"/>
              <w:ind w:right="15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0233A1"/>
            </w:tcBorders>
          </w:tcPr>
          <w:p>
            <w:pPr>
              <w:spacing w:after="0"/>
              <w:rPr>
                <w:sz w:val="17"/>
                <w:szCs w:val="17"/>
                <w:color w:val="auto"/>
              </w:rPr>
            </w:pPr>
          </w:p>
        </w:tc>
        <w:tc>
          <w:tcPr>
            <w:tcW w:w="1200" w:type="dxa"/>
            <w:vAlign w:val="bottom"/>
            <w:tcBorders>
              <w:bottom w:val="single" w:sz="8" w:color="0233A1"/>
            </w:tcBorders>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0233A1"/>
            </w:tcBorders>
          </w:tcPr>
          <w:p>
            <w:pPr>
              <w:spacing w:after="0"/>
              <w:rPr>
                <w:sz w:val="17"/>
                <w:szCs w:val="17"/>
                <w:color w:val="auto"/>
              </w:rPr>
            </w:pPr>
          </w:p>
        </w:tc>
        <w:tc>
          <w:tcPr>
            <w:tcW w:w="1180" w:type="dxa"/>
            <w:vAlign w:val="bottom"/>
            <w:tcBorders>
              <w:bottom w:val="single" w:sz="8" w:color="0233A1"/>
            </w:tcBorders>
            <w:gridSpan w:val="2"/>
          </w:tcPr>
          <w:p>
            <w:pPr>
              <w:jc w:val="right"/>
              <w:ind w:right="19"/>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190"/>
        </w:trPr>
        <w:tc>
          <w:tcPr>
            <w:tcW w:w="4740" w:type="dxa"/>
            <w:vAlign w:val="bottom"/>
            <w:tcBorders>
              <w:bottom w:val="single" w:sz="8" w:color="0233A1"/>
            </w:tcBorders>
            <w:gridSpan w:val="2"/>
          </w:tcPr>
          <w:p>
            <w:pPr>
              <w:ind w:left="60"/>
              <w:spacing w:after="0" w:line="183" w:lineRule="exact"/>
              <w:rPr>
                <w:sz w:val="20"/>
                <w:szCs w:val="20"/>
                <w:color w:val="auto"/>
              </w:rPr>
            </w:pPr>
            <w:r>
              <w:rPr>
                <w:rFonts w:ascii="Arial" w:cs="Arial" w:eastAsia="Arial" w:hAnsi="Arial"/>
                <w:sz w:val="16"/>
                <w:szCs w:val="16"/>
                <w:b w:val="1"/>
                <w:bCs w:val="1"/>
                <w:color w:val="auto"/>
              </w:rPr>
              <w:t>Total Charges &amp; (Credits)</w:t>
            </w:r>
          </w:p>
        </w:tc>
        <w:tc>
          <w:tcPr>
            <w:tcW w:w="300" w:type="dxa"/>
            <w:vAlign w:val="bottom"/>
            <w:tcBorders>
              <w:bottom w:val="single" w:sz="8" w:color="0233A1"/>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0233A1"/>
            </w:tcBorders>
            <w:gridSpan w:val="3"/>
          </w:tcPr>
          <w:p>
            <w:pPr>
              <w:jc w:val="right"/>
              <w:ind w:right="179"/>
              <w:spacing w:after="0" w:line="183" w:lineRule="exact"/>
              <w:rPr>
                <w:sz w:val="20"/>
                <w:szCs w:val="20"/>
                <w:color w:val="auto"/>
              </w:rPr>
            </w:pPr>
            <w:r>
              <w:rPr>
                <w:rFonts w:ascii="Arial" w:cs="Arial" w:eastAsia="Arial" w:hAnsi="Arial"/>
                <w:sz w:val="16"/>
                <w:szCs w:val="16"/>
                <w:b w:val="1"/>
                <w:bCs w:val="1"/>
                <w:color w:val="auto"/>
              </w:rPr>
              <w:t>110</w:t>
            </w:r>
          </w:p>
        </w:tc>
        <w:tc>
          <w:tcPr>
            <w:tcW w:w="360" w:type="dxa"/>
            <w:vAlign w:val="bottom"/>
            <w:tcBorders>
              <w:bottom w:val="single" w:sz="8" w:color="0233A1"/>
            </w:tcBorders>
          </w:tcPr>
          <w:p>
            <w:pPr>
              <w:jc w:val="right"/>
              <w:spacing w:after="0" w:line="183" w:lineRule="exact"/>
              <w:rPr>
                <w:sz w:val="20"/>
                <w:szCs w:val="20"/>
                <w:color w:val="auto"/>
              </w:rPr>
            </w:pPr>
            <w:r>
              <w:rPr>
                <w:rFonts w:ascii="Arial" w:cs="Arial" w:eastAsia="Arial" w:hAnsi="Arial"/>
                <w:sz w:val="16"/>
                <w:szCs w:val="16"/>
                <w:color w:val="auto"/>
              </w:rPr>
              <w:t>$</w:t>
            </w:r>
          </w:p>
        </w:tc>
        <w:tc>
          <w:tcPr>
            <w:tcW w:w="1320" w:type="dxa"/>
            <w:vAlign w:val="bottom"/>
            <w:tcBorders>
              <w:bottom w:val="single" w:sz="8" w:color="0233A1"/>
            </w:tcBorders>
          </w:tcPr>
          <w:p>
            <w:pPr>
              <w:jc w:val="right"/>
              <w:ind w:right="119"/>
              <w:spacing w:after="0" w:line="183" w:lineRule="exact"/>
              <w:rPr>
                <w:sz w:val="20"/>
                <w:szCs w:val="20"/>
                <w:color w:val="auto"/>
              </w:rPr>
            </w:pPr>
            <w:r>
              <w:rPr>
                <w:rFonts w:ascii="Arial" w:cs="Arial" w:eastAsia="Arial" w:hAnsi="Arial"/>
                <w:sz w:val="16"/>
                <w:szCs w:val="16"/>
                <w:color w:val="auto"/>
              </w:rPr>
              <w:t>(347)</w:t>
            </w:r>
          </w:p>
        </w:tc>
        <w:tc>
          <w:tcPr>
            <w:tcW w:w="340" w:type="dxa"/>
            <w:vAlign w:val="bottom"/>
            <w:tcBorders>
              <w:bottom w:val="single" w:sz="8" w:color="0233A1"/>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0233A1"/>
            </w:tcBorders>
          </w:tcPr>
          <w:p>
            <w:pPr>
              <w:jc w:val="right"/>
              <w:spacing w:after="0" w:line="183" w:lineRule="exact"/>
              <w:rPr>
                <w:sz w:val="20"/>
                <w:szCs w:val="20"/>
                <w:color w:val="auto"/>
              </w:rPr>
            </w:pPr>
            <w:r>
              <w:rPr>
                <w:rFonts w:ascii="Arial" w:cs="Arial" w:eastAsia="Arial" w:hAnsi="Arial"/>
                <w:sz w:val="16"/>
                <w:szCs w:val="16"/>
                <w:color w:val="auto"/>
              </w:rPr>
              <w:t>(65)</w:t>
            </w:r>
          </w:p>
        </w:tc>
        <w:tc>
          <w:tcPr>
            <w:tcW w:w="460" w:type="dxa"/>
            <w:vAlign w:val="bottom"/>
            <w:tcBorders>
              <w:bottom w:val="single" w:sz="8" w:color="0233A1"/>
            </w:tcBorders>
          </w:tcPr>
          <w:p>
            <w:pPr>
              <w:jc w:val="right"/>
              <w:spacing w:after="0" w:line="183"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0233A1"/>
            </w:tcBorders>
            <w:gridSpan w:val="2"/>
          </w:tcPr>
          <w:p>
            <w:pPr>
              <w:jc w:val="right"/>
              <w:ind w:right="19"/>
              <w:spacing w:after="0" w:line="183" w:lineRule="exact"/>
              <w:rPr>
                <w:sz w:val="20"/>
                <w:szCs w:val="20"/>
                <w:color w:val="auto"/>
              </w:rPr>
            </w:pPr>
            <w:r>
              <w:rPr>
                <w:rFonts w:ascii="Arial" w:cs="Arial" w:eastAsia="Arial" w:hAnsi="Arial"/>
                <w:sz w:val="16"/>
                <w:szCs w:val="16"/>
                <w:color w:val="auto"/>
              </w:rPr>
              <w:t>12,515</w:t>
            </w:r>
          </w:p>
        </w:tc>
        <w:tc>
          <w:tcPr>
            <w:tcW w:w="0" w:type="dxa"/>
            <w:vAlign w:val="bottom"/>
          </w:tcPr>
          <w:p>
            <w:pPr>
              <w:spacing w:after="0"/>
              <w:rPr>
                <w:sz w:val="1"/>
                <w:szCs w:val="1"/>
                <w:color w:val="auto"/>
              </w:rPr>
            </w:pPr>
          </w:p>
        </w:tc>
      </w:tr>
      <w:tr>
        <w:trPr>
          <w:trHeight w:val="533"/>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2024 Proxy Statement</w:t>
            </w:r>
          </w:p>
        </w:tc>
        <w:tc>
          <w:tcPr>
            <w:tcW w:w="2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6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A-1</w:t>
            </w:r>
          </w:p>
        </w:tc>
        <w:tc>
          <w:tcPr>
            <w:tcW w:w="5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2940" w:type="dxa"/>
            <w:vAlign w:val="bottom"/>
          </w:tcPr>
          <w:p>
            <w:pPr>
              <w:spacing w:after="0"/>
              <w:rPr>
                <w:sz w:val="6"/>
                <w:szCs w:val="6"/>
                <w:color w:val="auto"/>
              </w:rPr>
            </w:pPr>
          </w:p>
        </w:tc>
        <w:tc>
          <w:tcPr>
            <w:tcW w:w="300" w:type="dxa"/>
            <w:vAlign w:val="bottom"/>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2940" w:type="dxa"/>
            <w:vAlign w:val="bottom"/>
            <w:tcBorders>
              <w:bottom w:val="single" w:sz="8" w:color="C0C0C0"/>
            </w:tcBorders>
          </w:tcPr>
          <w:p>
            <w:pPr>
              <w:spacing w:after="0"/>
              <w:rPr>
                <w:sz w:val="24"/>
                <w:szCs w:val="24"/>
                <w:color w:val="auto"/>
              </w:rPr>
            </w:pPr>
          </w:p>
        </w:tc>
        <w:tc>
          <w:tcPr>
            <w:tcW w:w="300" w:type="dxa"/>
            <w:vAlign w:val="bottom"/>
            <w:tcBorders>
              <w:bottom w:val="single" w:sz="8" w:color="C0C0C0"/>
            </w:tcBorders>
          </w:tcPr>
          <w:p>
            <w:pPr>
              <w:spacing w:after="0"/>
              <w:rPr>
                <w:sz w:val="24"/>
                <w:szCs w:val="24"/>
                <w:color w:val="auto"/>
              </w:rPr>
            </w:pPr>
          </w:p>
        </w:tc>
        <w:tc>
          <w:tcPr>
            <w:tcW w:w="36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520" w:type="dxa"/>
            <w:vAlign w:val="bottom"/>
            <w:tcBorders>
              <w:bottom w:val="single" w:sz="8" w:color="C0C0C0"/>
            </w:tcBorders>
          </w:tcPr>
          <w:p>
            <w:pPr>
              <w:spacing w:after="0"/>
              <w:rPr>
                <w:sz w:val="24"/>
                <w:szCs w:val="24"/>
                <w:color w:val="auto"/>
              </w:rPr>
            </w:pPr>
          </w:p>
        </w:tc>
        <w:tc>
          <w:tcPr>
            <w:tcW w:w="360" w:type="dxa"/>
            <w:vAlign w:val="bottom"/>
            <w:tcBorders>
              <w:bottom w:val="single" w:sz="8" w:color="C0C0C0"/>
            </w:tcBorders>
          </w:tcPr>
          <w:p>
            <w:pPr>
              <w:spacing w:after="0"/>
              <w:rPr>
                <w:sz w:val="24"/>
                <w:szCs w:val="24"/>
                <w:color w:val="auto"/>
              </w:rPr>
            </w:pPr>
          </w:p>
        </w:tc>
        <w:tc>
          <w:tcPr>
            <w:tcW w:w="1320" w:type="dxa"/>
            <w:vAlign w:val="bottom"/>
            <w:tcBorders>
              <w:bottom w:val="single" w:sz="8" w:color="C0C0C0"/>
            </w:tcBorders>
          </w:tcPr>
          <w:p>
            <w:pPr>
              <w:spacing w:after="0"/>
              <w:rPr>
                <w:sz w:val="24"/>
                <w:szCs w:val="24"/>
                <w:color w:val="auto"/>
              </w:rPr>
            </w:pPr>
          </w:p>
        </w:tc>
        <w:tc>
          <w:tcPr>
            <w:tcW w:w="340" w:type="dxa"/>
            <w:vAlign w:val="bottom"/>
            <w:tcBorders>
              <w:bottom w:val="single" w:sz="8" w:color="C0C0C0"/>
            </w:tcBorders>
          </w:tcPr>
          <w:p>
            <w:pPr>
              <w:spacing w:after="0"/>
              <w:rPr>
                <w:sz w:val="24"/>
                <w:szCs w:val="24"/>
                <w:color w:val="auto"/>
              </w:rPr>
            </w:pPr>
          </w:p>
        </w:tc>
        <w:tc>
          <w:tcPr>
            <w:tcW w:w="12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-4697095</wp:posOffset>
            </wp:positionV>
            <wp:extent cx="7132320" cy="8255"/>
            <wp:wrapNone/>
            <wp:docPr id="3315" name="Picture 3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5"/>
                    <pic:cNvPicPr>
                      <a:picLocks noChangeAspect="1" noChangeArrowheads="1"/>
                    </pic:cNvPicPr>
                  </pic:nvPicPr>
                  <pic:blipFill>
                    <a:blip r:embed="rId33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-4825365</wp:posOffset>
            </wp:positionV>
            <wp:extent cx="7132320" cy="8255"/>
            <wp:wrapNone/>
            <wp:docPr id="3316" name="Picture 3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6"/>
                    <pic:cNvPicPr>
                      <a:picLocks noChangeAspect="1" noChangeArrowheads="1"/>
                    </pic:cNvPicPr>
                  </pic:nvPicPr>
                  <pic:blipFill>
                    <a:blip r:embed="rId332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-4954270</wp:posOffset>
            </wp:positionV>
            <wp:extent cx="7132320" cy="8255"/>
            <wp:wrapNone/>
            <wp:docPr id="3317" name="Picture 3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7"/>
                    <pic:cNvPicPr>
                      <a:picLocks noChangeAspect="1" noChangeArrowheads="1"/>
                    </pic:cNvPicPr>
                  </pic:nvPicPr>
                  <pic:blipFill>
                    <a:blip r:embed="rId332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-5082540</wp:posOffset>
            </wp:positionV>
            <wp:extent cx="7132320" cy="8255"/>
            <wp:wrapNone/>
            <wp:docPr id="3318" name="Picture 3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8"/>
                    <pic:cNvPicPr>
                      <a:picLocks noChangeAspect="1" noChangeArrowheads="1"/>
                    </pic:cNvPicPr>
                  </pic:nvPicPr>
                  <pic:blipFill>
                    <a:blip r:embed="rId332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-5339715</wp:posOffset>
            </wp:positionV>
            <wp:extent cx="7132320" cy="8255"/>
            <wp:wrapNone/>
            <wp:docPr id="3319" name="Picture 3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9"/>
                    <pic:cNvPicPr>
                      <a:picLocks noChangeAspect="1" noChangeArrowheads="1"/>
                    </pic:cNvPicPr>
                  </pic:nvPicPr>
                  <pic:blipFill>
                    <a:blip r:embed="rId332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-5468620</wp:posOffset>
            </wp:positionV>
            <wp:extent cx="7132320" cy="8255"/>
            <wp:wrapNone/>
            <wp:docPr id="3320" name="Picture 3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0"/>
                    <pic:cNvPicPr>
                      <a:picLocks noChangeAspect="1" noChangeArrowheads="1"/>
                    </pic:cNvPicPr>
                  </pic:nvPicPr>
                  <pic:blipFill>
                    <a:blip r:embed="rId332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-942340</wp:posOffset>
            </wp:positionV>
            <wp:extent cx="7132320" cy="8890"/>
            <wp:wrapNone/>
            <wp:docPr id="3321" name="Picture 3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1"/>
                    <pic:cNvPicPr>
                      <a:picLocks noChangeAspect="1" noChangeArrowheads="1"/>
                    </pic:cNvPicPr>
                  </pic:nvPicPr>
                  <pic:blipFill>
                    <a:blip r:embed="rId332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-1071245</wp:posOffset>
            </wp:positionV>
            <wp:extent cx="7132320" cy="8890"/>
            <wp:wrapNone/>
            <wp:docPr id="3322" name="Picture 3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2"/>
                    <pic:cNvPicPr>
                      <a:picLocks noChangeAspect="1" noChangeArrowheads="1"/>
                    </pic:cNvPicPr>
                  </pic:nvPicPr>
                  <pic:blipFill>
                    <a:blip r:embed="rId332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-1199515</wp:posOffset>
            </wp:positionV>
            <wp:extent cx="7132320" cy="8890"/>
            <wp:wrapNone/>
            <wp:docPr id="3323" name="Picture 3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3"/>
                    <pic:cNvPicPr>
                      <a:picLocks noChangeAspect="1" noChangeArrowheads="1"/>
                    </pic:cNvPicPr>
                  </pic:nvPicPr>
                  <pic:blipFill>
                    <a:blip r:embed="rId333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-1327785</wp:posOffset>
            </wp:positionV>
            <wp:extent cx="7132320" cy="8255"/>
            <wp:wrapNone/>
            <wp:docPr id="3324" name="Picture 3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4"/>
                    <pic:cNvPicPr>
                      <a:picLocks noChangeAspect="1" noChangeArrowheads="1"/>
                    </pic:cNvPicPr>
                  </pic:nvPicPr>
                  <pic:blipFill>
                    <a:blip r:embed="rId33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-1456690</wp:posOffset>
            </wp:positionV>
            <wp:extent cx="7132320" cy="8255"/>
            <wp:wrapNone/>
            <wp:docPr id="3325" name="Picture 3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5"/>
                    <pic:cNvPicPr>
                      <a:picLocks noChangeAspect="1" noChangeArrowheads="1"/>
                    </pic:cNvPicPr>
                  </pic:nvPicPr>
                  <pic:blipFill>
                    <a:blip r:embed="rId333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-1584960</wp:posOffset>
            </wp:positionV>
            <wp:extent cx="7132320" cy="8255"/>
            <wp:wrapNone/>
            <wp:docPr id="3326" name="Picture 3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6"/>
                    <pic:cNvPicPr>
                      <a:picLocks noChangeAspect="1" noChangeArrowheads="1"/>
                    </pic:cNvPicPr>
                  </pic:nvPicPr>
                  <pic:blipFill>
                    <a:blip r:embed="rId333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-1713865</wp:posOffset>
            </wp:positionV>
            <wp:extent cx="7132320" cy="8255"/>
            <wp:wrapNone/>
            <wp:docPr id="3327" name="Picture 3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7"/>
                    <pic:cNvPicPr>
                      <a:picLocks noChangeAspect="1" noChangeArrowheads="1"/>
                    </pic:cNvPicPr>
                  </pic:nvPicPr>
                  <pic:blipFill>
                    <a:blip r:embed="rId333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-1842135</wp:posOffset>
            </wp:positionV>
            <wp:extent cx="7132320" cy="8255"/>
            <wp:wrapNone/>
            <wp:docPr id="3328" name="Picture 3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8"/>
                    <pic:cNvPicPr>
                      <a:picLocks noChangeAspect="1" noChangeArrowheads="1"/>
                    </pic:cNvPicPr>
                  </pic:nvPicPr>
                  <pic:blipFill>
                    <a:blip r:embed="rId333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-1971040</wp:posOffset>
            </wp:positionV>
            <wp:extent cx="7132320" cy="8255"/>
            <wp:wrapNone/>
            <wp:docPr id="3329" name="Picture 3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9"/>
                    <pic:cNvPicPr>
                      <a:picLocks noChangeAspect="1" noChangeArrowheads="1"/>
                    </pic:cNvPicPr>
                  </pic:nvPicPr>
                  <pic:blipFill>
                    <a:blip r:embed="rId333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-2099310</wp:posOffset>
            </wp:positionV>
            <wp:extent cx="7132320" cy="8255"/>
            <wp:wrapNone/>
            <wp:docPr id="3330" name="Picture 3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0"/>
                    <pic:cNvPicPr>
                      <a:picLocks noChangeAspect="1" noChangeArrowheads="1"/>
                    </pic:cNvPicPr>
                  </pic:nvPicPr>
                  <pic:blipFill>
                    <a:blip r:embed="rId333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-2228215</wp:posOffset>
            </wp:positionV>
            <wp:extent cx="7132320" cy="8255"/>
            <wp:wrapNone/>
            <wp:docPr id="3331" name="Picture 3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1"/>
                    <pic:cNvPicPr>
                      <a:picLocks noChangeAspect="1" noChangeArrowheads="1"/>
                    </pic:cNvPicPr>
                  </pic:nvPicPr>
                  <pic:blipFill>
                    <a:blip r:embed="rId333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-2356485</wp:posOffset>
            </wp:positionV>
            <wp:extent cx="7132320" cy="8255"/>
            <wp:wrapNone/>
            <wp:docPr id="3332" name="Picture 3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2"/>
                    <pic:cNvPicPr>
                      <a:picLocks noChangeAspect="1" noChangeArrowheads="1"/>
                    </pic:cNvPicPr>
                  </pic:nvPicPr>
                  <pic:blipFill>
                    <a:blip r:embed="rId333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-2485390</wp:posOffset>
            </wp:positionV>
            <wp:extent cx="7132320" cy="8255"/>
            <wp:wrapNone/>
            <wp:docPr id="3333" name="Picture 3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3"/>
                    <pic:cNvPicPr>
                      <a:picLocks noChangeAspect="1" noChangeArrowheads="1"/>
                    </pic:cNvPicPr>
                  </pic:nvPicPr>
                  <pic:blipFill>
                    <a:blip r:embed="rId334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-2613660</wp:posOffset>
            </wp:positionV>
            <wp:extent cx="7132320" cy="8890"/>
            <wp:wrapNone/>
            <wp:docPr id="3334" name="Picture 3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4"/>
                    <pic:cNvPicPr>
                      <a:picLocks noChangeAspect="1" noChangeArrowheads="1"/>
                    </pic:cNvPicPr>
                  </pic:nvPicPr>
                  <pic:blipFill>
                    <a:blip r:embed="rId334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-2742565</wp:posOffset>
            </wp:positionV>
            <wp:extent cx="7132320" cy="8890"/>
            <wp:wrapNone/>
            <wp:docPr id="3335" name="Picture 3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5"/>
                    <pic:cNvPicPr>
                      <a:picLocks noChangeAspect="1" noChangeArrowheads="1"/>
                    </pic:cNvPicPr>
                  </pic:nvPicPr>
                  <pic:blipFill>
                    <a:blip r:embed="rId334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-2870835</wp:posOffset>
            </wp:positionV>
            <wp:extent cx="7132320" cy="8890"/>
            <wp:wrapNone/>
            <wp:docPr id="3336" name="Picture 3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6"/>
                    <pic:cNvPicPr>
                      <a:picLocks noChangeAspect="1" noChangeArrowheads="1"/>
                    </pic:cNvPicPr>
                  </pic:nvPicPr>
                  <pic:blipFill>
                    <a:blip r:embed="rId334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-2999740</wp:posOffset>
            </wp:positionV>
            <wp:extent cx="7132320" cy="8890"/>
            <wp:wrapNone/>
            <wp:docPr id="3337" name="Picture 3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7"/>
                    <pic:cNvPicPr>
                      <a:picLocks noChangeAspect="1" noChangeArrowheads="1"/>
                    </pic:cNvPicPr>
                  </pic:nvPicPr>
                  <pic:blipFill>
                    <a:blip r:embed="rId334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-3128010</wp:posOffset>
            </wp:positionV>
            <wp:extent cx="7132320" cy="8890"/>
            <wp:wrapNone/>
            <wp:docPr id="3338" name="Picture 3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8"/>
                    <pic:cNvPicPr>
                      <a:picLocks noChangeAspect="1" noChangeArrowheads="1"/>
                    </pic:cNvPicPr>
                  </pic:nvPicPr>
                  <pic:blipFill>
                    <a:blip r:embed="rId334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-3256915</wp:posOffset>
            </wp:positionV>
            <wp:extent cx="7132320" cy="8890"/>
            <wp:wrapNone/>
            <wp:docPr id="3339" name="Picture 3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9"/>
                    <pic:cNvPicPr>
                      <a:picLocks noChangeAspect="1" noChangeArrowheads="1"/>
                    </pic:cNvPicPr>
                  </pic:nvPicPr>
                  <pic:blipFill>
                    <a:blip r:embed="rId334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-3385820</wp:posOffset>
            </wp:positionV>
            <wp:extent cx="7132320" cy="8890"/>
            <wp:wrapNone/>
            <wp:docPr id="3340" name="Picture 3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0"/>
                    <pic:cNvPicPr>
                      <a:picLocks noChangeAspect="1" noChangeArrowheads="1"/>
                    </pic:cNvPicPr>
                  </pic:nvPicPr>
                  <pic:blipFill>
                    <a:blip r:embed="rId334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-3514090</wp:posOffset>
            </wp:positionV>
            <wp:extent cx="7132320" cy="8890"/>
            <wp:wrapNone/>
            <wp:docPr id="3341" name="Picture 3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1"/>
                    <pic:cNvPicPr>
                      <a:picLocks noChangeAspect="1" noChangeArrowheads="1"/>
                    </pic:cNvPicPr>
                  </pic:nvPicPr>
                  <pic:blipFill>
                    <a:blip r:embed="rId334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-470535</wp:posOffset>
            </wp:positionV>
            <wp:extent cx="471805" cy="282575"/>
            <wp:wrapNone/>
            <wp:docPr id="3342" name="Picture 3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2"/>
                    <pic:cNvPicPr>
                      <a:picLocks noChangeAspect="1" noChangeArrowheads="1"/>
                    </pic:cNvPicPr>
                  </pic:nvPicPr>
                  <pic:blipFill>
                    <a:blip r:embed="rId3349">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75" w:name="page76"/>
    <w:bookmarkEnd w:id="75"/>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Free Cash Flow</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6"/>
          <w:szCs w:val="16"/>
          <w:color w:val="auto"/>
        </w:rPr>
        <w:t>Free cash flow represents cash flow from operations less capital expenditures, Asset Performance Solutions (</w:t>
      </w:r>
      <w:r>
        <w:rPr>
          <w:rFonts w:ascii="Arial" w:cs="Arial" w:eastAsia="Arial" w:hAnsi="Arial"/>
          <w:sz w:val="16"/>
          <w:szCs w:val="16"/>
          <w:b w:val="1"/>
          <w:bCs w:val="1"/>
          <w:color w:val="auto"/>
        </w:rPr>
        <w:t>APS</w:t>
      </w:r>
      <w:r>
        <w:rPr>
          <w:rFonts w:ascii="Arial" w:cs="Arial" w:eastAsia="Arial" w:hAnsi="Arial"/>
          <w:sz w:val="16"/>
          <w:szCs w:val="16"/>
          <w:color w:val="auto"/>
        </w:rPr>
        <w:t>) investments, and exploration data costs capitalized. Management believes that free cash flow is an important liquidity measure for the Company and that it is useful to investors and management as a measure of SLB’s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a substitute for or superior to, cash flow from operations.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40" w:type="dxa"/>
            <w:vAlign w:val="bottom"/>
            <w:vMerge w:val="restart"/>
          </w:tcPr>
          <w:p>
            <w:pPr>
              <w:ind w:left="60"/>
              <w:spacing w:after="0"/>
              <w:rPr>
                <w:sz w:val="20"/>
                <w:szCs w:val="20"/>
                <w:color w:val="auto"/>
              </w:rPr>
            </w:pPr>
            <w:r>
              <w:rPr>
                <w:rFonts w:ascii="Arial" w:cs="Arial" w:eastAsia="Arial" w:hAnsi="Arial"/>
                <w:sz w:val="16"/>
                <w:szCs w:val="16"/>
                <w:b w:val="1"/>
                <w:bCs w:val="1"/>
                <w:color w:val="0233A1"/>
              </w:rPr>
              <w:t>Year Ended</w:t>
            </w:r>
          </w:p>
        </w:tc>
        <w:tc>
          <w:tcPr>
            <w:tcW w:w="360" w:type="dxa"/>
            <w:vAlign w:val="bottom"/>
            <w:tcBorders>
              <w:bottom w:val="single" w:sz="8" w:color="0233A1"/>
            </w:tcBorders>
          </w:tcPr>
          <w:p>
            <w:pPr>
              <w:spacing w:after="0"/>
              <w:rPr>
                <w:sz w:val="17"/>
                <w:szCs w:val="17"/>
                <w:color w:val="auto"/>
              </w:rPr>
            </w:pPr>
          </w:p>
        </w:tc>
        <w:tc>
          <w:tcPr>
            <w:tcW w:w="1480" w:type="dxa"/>
            <w:vAlign w:val="bottom"/>
            <w:tcBorders>
              <w:bottom w:val="single" w:sz="8" w:color="0233A1"/>
            </w:tcBorders>
          </w:tcPr>
          <w:p>
            <w:pPr>
              <w:spacing w:after="0"/>
              <w:rPr>
                <w:sz w:val="17"/>
                <w:szCs w:val="17"/>
                <w:color w:val="auto"/>
              </w:rPr>
            </w:pPr>
          </w:p>
        </w:tc>
        <w:tc>
          <w:tcPr>
            <w:tcW w:w="2040" w:type="dxa"/>
            <w:vAlign w:val="bottom"/>
            <w:tcBorders>
              <w:bottom w:val="single" w:sz="8" w:color="0233A1"/>
            </w:tcBorders>
            <w:gridSpan w:val="2"/>
          </w:tcPr>
          <w:p>
            <w:pPr>
              <w:jc w:val="right"/>
              <w:ind w:right="219"/>
              <w:spacing w:after="0"/>
              <w:rPr>
                <w:sz w:val="20"/>
                <w:szCs w:val="20"/>
                <w:color w:val="auto"/>
              </w:rPr>
            </w:pPr>
            <w:r>
              <w:rPr>
                <w:rFonts w:ascii="Arial" w:cs="Arial" w:eastAsia="Arial" w:hAnsi="Arial"/>
                <w:sz w:val="16"/>
                <w:szCs w:val="16"/>
                <w:b w:val="1"/>
                <w:bCs w:val="1"/>
                <w:color w:val="0233A1"/>
              </w:rPr>
              <w:t>(Stated in millions)</w:t>
            </w:r>
          </w:p>
        </w:tc>
        <w:tc>
          <w:tcPr>
            <w:tcW w:w="480" w:type="dxa"/>
            <w:vAlign w:val="bottom"/>
            <w:tcBorders>
              <w:bottom w:val="single" w:sz="8" w:color="0233A1"/>
            </w:tcBorders>
          </w:tcPr>
          <w:p>
            <w:pPr>
              <w:spacing w:after="0"/>
              <w:rPr>
                <w:sz w:val="17"/>
                <w:szCs w:val="17"/>
                <w:color w:val="auto"/>
              </w:rPr>
            </w:pPr>
          </w:p>
        </w:tc>
        <w:tc>
          <w:tcPr>
            <w:tcW w:w="1240" w:type="dxa"/>
            <w:vAlign w:val="bottom"/>
            <w:tcBorders>
              <w:bottom w:val="single" w:sz="8" w:color="0233A1"/>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640" w:type="dxa"/>
            <w:vAlign w:val="bottom"/>
            <w:tcBorders>
              <w:bottom w:val="single" w:sz="8" w:color="0233A1"/>
            </w:tcBorders>
            <w:vMerge w:val="continue"/>
          </w:tcPr>
          <w:p>
            <w:pPr>
              <w:spacing w:after="0"/>
              <w:rPr>
                <w:sz w:val="15"/>
                <w:szCs w:val="15"/>
                <w:color w:val="auto"/>
              </w:rPr>
            </w:pPr>
          </w:p>
        </w:tc>
        <w:tc>
          <w:tcPr>
            <w:tcW w:w="360" w:type="dxa"/>
            <w:vAlign w:val="bottom"/>
            <w:tcBorders>
              <w:bottom w:val="single" w:sz="8" w:color="0233A1"/>
            </w:tcBorders>
          </w:tcPr>
          <w:p>
            <w:pPr>
              <w:spacing w:after="0"/>
              <w:rPr>
                <w:sz w:val="15"/>
                <w:szCs w:val="15"/>
                <w:color w:val="auto"/>
              </w:rPr>
            </w:pPr>
          </w:p>
        </w:tc>
        <w:tc>
          <w:tcPr>
            <w:tcW w:w="1480" w:type="dxa"/>
            <w:vAlign w:val="bottom"/>
            <w:tcBorders>
              <w:bottom w:val="single" w:sz="8" w:color="0233A1"/>
            </w:tcBorders>
          </w:tcPr>
          <w:p>
            <w:pPr>
              <w:jc w:val="right"/>
              <w:ind w:right="279"/>
              <w:spacing w:after="0" w:line="183" w:lineRule="exact"/>
              <w:rPr>
                <w:sz w:val="20"/>
                <w:szCs w:val="20"/>
                <w:color w:val="auto"/>
              </w:rPr>
            </w:pPr>
            <w:r>
              <w:rPr>
                <w:rFonts w:ascii="Arial" w:cs="Arial" w:eastAsia="Arial" w:hAnsi="Arial"/>
                <w:sz w:val="16"/>
                <w:szCs w:val="16"/>
                <w:b w:val="1"/>
                <w:bCs w:val="1"/>
                <w:color w:val="0233A1"/>
              </w:rPr>
              <w:t>Dec. 31, 2023</w:t>
            </w:r>
          </w:p>
        </w:tc>
        <w:tc>
          <w:tcPr>
            <w:tcW w:w="540" w:type="dxa"/>
            <w:vAlign w:val="bottom"/>
            <w:tcBorders>
              <w:bottom w:val="single" w:sz="8" w:color="0233A1"/>
            </w:tcBorders>
          </w:tcPr>
          <w:p>
            <w:pPr>
              <w:spacing w:after="0"/>
              <w:rPr>
                <w:sz w:val="15"/>
                <w:szCs w:val="15"/>
                <w:color w:val="auto"/>
              </w:rPr>
            </w:pPr>
          </w:p>
        </w:tc>
        <w:tc>
          <w:tcPr>
            <w:tcW w:w="1500" w:type="dxa"/>
            <w:vAlign w:val="bottom"/>
            <w:tcBorders>
              <w:bottom w:val="single" w:sz="8" w:color="0233A1"/>
            </w:tcBorders>
          </w:tcPr>
          <w:p>
            <w:pPr>
              <w:jc w:val="right"/>
              <w:ind w:right="299"/>
              <w:spacing w:after="0" w:line="183" w:lineRule="exact"/>
              <w:rPr>
                <w:sz w:val="20"/>
                <w:szCs w:val="20"/>
                <w:color w:val="auto"/>
              </w:rPr>
            </w:pPr>
            <w:r>
              <w:rPr>
                <w:rFonts w:ascii="Arial" w:cs="Arial" w:eastAsia="Arial" w:hAnsi="Arial"/>
                <w:sz w:val="16"/>
                <w:szCs w:val="16"/>
                <w:b w:val="1"/>
                <w:bCs w:val="1"/>
                <w:color w:val="0233A1"/>
              </w:rPr>
              <w:t>Dec. 31, 2022</w:t>
            </w:r>
          </w:p>
        </w:tc>
        <w:tc>
          <w:tcPr>
            <w:tcW w:w="480" w:type="dxa"/>
            <w:vAlign w:val="bottom"/>
            <w:tcBorders>
              <w:bottom w:val="single" w:sz="8" w:color="0233A1"/>
            </w:tcBorders>
          </w:tcPr>
          <w:p>
            <w:pPr>
              <w:spacing w:after="0"/>
              <w:rPr>
                <w:sz w:val="15"/>
                <w:szCs w:val="15"/>
                <w:color w:val="auto"/>
              </w:rPr>
            </w:pPr>
          </w:p>
        </w:tc>
        <w:tc>
          <w:tcPr>
            <w:tcW w:w="1240" w:type="dxa"/>
            <w:vAlign w:val="bottom"/>
            <w:tcBorders>
              <w:bottom w:val="single" w:sz="8" w:color="0233A1"/>
            </w:tcBorders>
          </w:tcPr>
          <w:p>
            <w:pPr>
              <w:jc w:val="right"/>
              <w:ind w:right="19"/>
              <w:spacing w:after="0" w:line="183" w:lineRule="exact"/>
              <w:rPr>
                <w:sz w:val="20"/>
                <w:szCs w:val="20"/>
                <w:color w:val="auto"/>
              </w:rPr>
            </w:pPr>
            <w:r>
              <w:rPr>
                <w:rFonts w:ascii="Arial" w:cs="Arial" w:eastAsia="Arial" w:hAnsi="Arial"/>
                <w:sz w:val="16"/>
                <w:szCs w:val="16"/>
                <w:b w:val="1"/>
                <w:bCs w:val="1"/>
                <w:color w:val="0233A1"/>
              </w:rPr>
              <w:t>Dec. 31, 2021</w:t>
            </w:r>
          </w:p>
        </w:tc>
        <w:tc>
          <w:tcPr>
            <w:tcW w:w="0" w:type="dxa"/>
            <w:vAlign w:val="bottom"/>
          </w:tcPr>
          <w:p>
            <w:pPr>
              <w:spacing w:after="0"/>
              <w:rPr>
                <w:sz w:val="1"/>
                <w:szCs w:val="1"/>
                <w:color w:val="auto"/>
              </w:rPr>
            </w:pPr>
          </w:p>
        </w:tc>
      </w:tr>
      <w:tr>
        <w:trPr>
          <w:trHeight w:val="182"/>
        </w:trPr>
        <w:tc>
          <w:tcPr>
            <w:tcW w:w="5640" w:type="dxa"/>
            <w:vAlign w:val="bottom"/>
          </w:tcPr>
          <w:p>
            <w:pPr>
              <w:ind w:left="60"/>
              <w:spacing w:after="0" w:line="182" w:lineRule="exact"/>
              <w:rPr>
                <w:sz w:val="20"/>
                <w:szCs w:val="20"/>
                <w:color w:val="auto"/>
              </w:rPr>
            </w:pPr>
            <w:r>
              <w:rPr>
                <w:rFonts w:ascii="Arial" w:cs="Arial" w:eastAsia="Arial" w:hAnsi="Arial"/>
                <w:sz w:val="16"/>
                <w:szCs w:val="16"/>
                <w:b w:val="1"/>
                <w:bCs w:val="1"/>
                <w:color w:val="auto"/>
              </w:rPr>
              <w:t>Cash flow from operations</w:t>
            </w:r>
          </w:p>
        </w:tc>
        <w:tc>
          <w:tcPr>
            <w:tcW w:w="360" w:type="dxa"/>
            <w:vAlign w:val="bottom"/>
          </w:tcPr>
          <w:p>
            <w:pPr>
              <w:jc w:val="right"/>
              <w:ind w:right="39"/>
              <w:spacing w:after="0" w:line="182" w:lineRule="exact"/>
              <w:rPr>
                <w:sz w:val="20"/>
                <w:szCs w:val="20"/>
                <w:color w:val="auto"/>
              </w:rPr>
            </w:pPr>
            <w:r>
              <w:rPr>
                <w:rFonts w:ascii="Arial" w:cs="Arial" w:eastAsia="Arial" w:hAnsi="Arial"/>
                <w:sz w:val="16"/>
                <w:szCs w:val="16"/>
                <w:b w:val="1"/>
                <w:bCs w:val="1"/>
                <w:color w:val="auto"/>
              </w:rPr>
              <w:t>$</w:t>
            </w:r>
          </w:p>
        </w:tc>
        <w:tc>
          <w:tcPr>
            <w:tcW w:w="1480" w:type="dxa"/>
            <w:vAlign w:val="bottom"/>
          </w:tcPr>
          <w:p>
            <w:pPr>
              <w:jc w:val="right"/>
              <w:ind w:right="279"/>
              <w:spacing w:after="0" w:line="182" w:lineRule="exact"/>
              <w:rPr>
                <w:sz w:val="20"/>
                <w:szCs w:val="20"/>
                <w:color w:val="auto"/>
              </w:rPr>
            </w:pPr>
            <w:r>
              <w:rPr>
                <w:rFonts w:ascii="Arial" w:cs="Arial" w:eastAsia="Arial" w:hAnsi="Arial"/>
                <w:sz w:val="16"/>
                <w:szCs w:val="16"/>
                <w:b w:val="1"/>
                <w:bCs w:val="1"/>
                <w:color w:val="auto"/>
              </w:rPr>
              <w:t>6,637</w:t>
            </w:r>
          </w:p>
        </w:tc>
        <w:tc>
          <w:tcPr>
            <w:tcW w:w="540" w:type="dxa"/>
            <w:vAlign w:val="bottom"/>
          </w:tcPr>
          <w:p>
            <w:pPr>
              <w:jc w:val="right"/>
              <w:ind w:right="39"/>
              <w:spacing w:after="0" w:line="182" w:lineRule="exact"/>
              <w:rPr>
                <w:sz w:val="20"/>
                <w:szCs w:val="20"/>
                <w:color w:val="auto"/>
              </w:rPr>
            </w:pPr>
            <w:r>
              <w:rPr>
                <w:rFonts w:ascii="Arial" w:cs="Arial" w:eastAsia="Arial" w:hAnsi="Arial"/>
                <w:sz w:val="16"/>
                <w:szCs w:val="16"/>
                <w:color w:val="auto"/>
              </w:rPr>
              <w:t>$</w:t>
            </w:r>
          </w:p>
        </w:tc>
        <w:tc>
          <w:tcPr>
            <w:tcW w:w="1500" w:type="dxa"/>
            <w:vAlign w:val="bottom"/>
          </w:tcPr>
          <w:p>
            <w:pPr>
              <w:jc w:val="right"/>
              <w:ind w:right="299"/>
              <w:spacing w:after="0" w:line="182" w:lineRule="exact"/>
              <w:rPr>
                <w:sz w:val="20"/>
                <w:szCs w:val="20"/>
                <w:color w:val="auto"/>
              </w:rPr>
            </w:pPr>
            <w:r>
              <w:rPr>
                <w:rFonts w:ascii="Arial" w:cs="Arial" w:eastAsia="Arial" w:hAnsi="Arial"/>
                <w:sz w:val="16"/>
                <w:szCs w:val="16"/>
                <w:color w:val="auto"/>
              </w:rPr>
              <w:t>3,720</w:t>
            </w:r>
          </w:p>
        </w:tc>
        <w:tc>
          <w:tcPr>
            <w:tcW w:w="480" w:type="dxa"/>
            <w:vAlign w:val="bottom"/>
          </w:tcPr>
          <w:p>
            <w:pPr>
              <w:jc w:val="right"/>
              <w:ind w:right="19"/>
              <w:spacing w:after="0" w:line="182" w:lineRule="exact"/>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line="182" w:lineRule="exact"/>
              <w:rPr>
                <w:sz w:val="20"/>
                <w:szCs w:val="20"/>
                <w:color w:val="auto"/>
              </w:rPr>
            </w:pPr>
            <w:r>
              <w:rPr>
                <w:rFonts w:ascii="Arial" w:cs="Arial" w:eastAsia="Arial" w:hAnsi="Arial"/>
                <w:sz w:val="16"/>
                <w:szCs w:val="16"/>
                <w:color w:val="auto"/>
              </w:rPr>
              <w:t>4,651</w:t>
            </w:r>
          </w:p>
        </w:tc>
        <w:tc>
          <w:tcPr>
            <w:tcW w:w="0" w:type="dxa"/>
            <w:vAlign w:val="bottom"/>
          </w:tcPr>
          <w:p>
            <w:pPr>
              <w:spacing w:after="0"/>
              <w:rPr>
                <w:sz w:val="1"/>
                <w:szCs w:val="1"/>
                <w:color w:val="auto"/>
              </w:rPr>
            </w:pPr>
          </w:p>
        </w:tc>
      </w:tr>
      <w:tr>
        <w:trPr>
          <w:trHeight w:val="203"/>
        </w:trPr>
        <w:tc>
          <w:tcPr>
            <w:tcW w:w="5640" w:type="dxa"/>
            <w:vAlign w:val="bottom"/>
          </w:tcPr>
          <w:p>
            <w:pPr>
              <w:ind w:left="180"/>
              <w:spacing w:after="0"/>
              <w:rPr>
                <w:sz w:val="20"/>
                <w:szCs w:val="20"/>
                <w:color w:val="auto"/>
              </w:rPr>
            </w:pPr>
            <w:r>
              <w:rPr>
                <w:rFonts w:ascii="Arial" w:cs="Arial" w:eastAsia="Arial" w:hAnsi="Arial"/>
                <w:sz w:val="16"/>
                <w:szCs w:val="16"/>
                <w:color w:val="auto"/>
              </w:rPr>
              <w:t>Capital expenditures</w:t>
            </w:r>
          </w:p>
        </w:tc>
        <w:tc>
          <w:tcPr>
            <w:tcW w:w="360" w:type="dxa"/>
            <w:vAlign w:val="bottom"/>
          </w:tcPr>
          <w:p>
            <w:pPr>
              <w:spacing w:after="0"/>
              <w:rPr>
                <w:sz w:val="17"/>
                <w:szCs w:val="17"/>
                <w:color w:val="auto"/>
              </w:rPr>
            </w:pPr>
          </w:p>
        </w:tc>
        <w:tc>
          <w:tcPr>
            <w:tcW w:w="1480" w:type="dxa"/>
            <w:vAlign w:val="bottom"/>
          </w:tcPr>
          <w:p>
            <w:pPr>
              <w:jc w:val="right"/>
              <w:ind w:right="219"/>
              <w:spacing w:after="0"/>
              <w:rPr>
                <w:sz w:val="20"/>
                <w:szCs w:val="20"/>
                <w:color w:val="auto"/>
              </w:rPr>
            </w:pPr>
            <w:r>
              <w:rPr>
                <w:rFonts w:ascii="Arial" w:cs="Arial" w:eastAsia="Arial" w:hAnsi="Arial"/>
                <w:sz w:val="16"/>
                <w:szCs w:val="16"/>
                <w:b w:val="1"/>
                <w:bCs w:val="1"/>
                <w:color w:val="auto"/>
              </w:rPr>
              <w:t>(1,939)</w:t>
            </w:r>
          </w:p>
        </w:tc>
        <w:tc>
          <w:tcPr>
            <w:tcW w:w="540" w:type="dxa"/>
            <w:vAlign w:val="bottom"/>
          </w:tcPr>
          <w:p>
            <w:pPr>
              <w:spacing w:after="0"/>
              <w:rPr>
                <w:sz w:val="17"/>
                <w:szCs w:val="17"/>
                <w:color w:val="auto"/>
              </w:rPr>
            </w:pPr>
          </w:p>
        </w:tc>
        <w:tc>
          <w:tcPr>
            <w:tcW w:w="1500" w:type="dxa"/>
            <w:vAlign w:val="bottom"/>
          </w:tcPr>
          <w:p>
            <w:pPr>
              <w:jc w:val="right"/>
              <w:ind w:right="259"/>
              <w:spacing w:after="0"/>
              <w:rPr>
                <w:sz w:val="20"/>
                <w:szCs w:val="20"/>
                <w:color w:val="auto"/>
              </w:rPr>
            </w:pPr>
            <w:r>
              <w:rPr>
                <w:rFonts w:ascii="Arial" w:cs="Arial" w:eastAsia="Arial" w:hAnsi="Arial"/>
                <w:sz w:val="16"/>
                <w:szCs w:val="16"/>
                <w:color w:val="auto"/>
              </w:rPr>
              <w:t>(1,618)</w:t>
            </w:r>
          </w:p>
        </w:tc>
        <w:tc>
          <w:tcPr>
            <w:tcW w:w="4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(1,141)</w:t>
            </w:r>
          </w:p>
        </w:tc>
        <w:tc>
          <w:tcPr>
            <w:tcW w:w="0" w:type="dxa"/>
            <w:vAlign w:val="bottom"/>
          </w:tcPr>
          <w:p>
            <w:pPr>
              <w:spacing w:after="0"/>
              <w:rPr>
                <w:sz w:val="1"/>
                <w:szCs w:val="1"/>
                <w:color w:val="auto"/>
              </w:rPr>
            </w:pPr>
          </w:p>
        </w:tc>
      </w:tr>
      <w:tr>
        <w:trPr>
          <w:trHeight w:val="203"/>
        </w:trPr>
        <w:tc>
          <w:tcPr>
            <w:tcW w:w="5640" w:type="dxa"/>
            <w:vAlign w:val="bottom"/>
          </w:tcPr>
          <w:p>
            <w:pPr>
              <w:ind w:left="180"/>
              <w:spacing w:after="0"/>
              <w:rPr>
                <w:sz w:val="20"/>
                <w:szCs w:val="20"/>
                <w:color w:val="auto"/>
              </w:rPr>
            </w:pPr>
            <w:r>
              <w:rPr>
                <w:rFonts w:ascii="Arial" w:cs="Arial" w:eastAsia="Arial" w:hAnsi="Arial"/>
                <w:sz w:val="16"/>
                <w:szCs w:val="16"/>
                <w:color w:val="auto"/>
              </w:rPr>
              <w:t>APS investments</w:t>
            </w:r>
          </w:p>
        </w:tc>
        <w:tc>
          <w:tcPr>
            <w:tcW w:w="360" w:type="dxa"/>
            <w:vAlign w:val="bottom"/>
          </w:tcPr>
          <w:p>
            <w:pPr>
              <w:spacing w:after="0"/>
              <w:rPr>
                <w:sz w:val="17"/>
                <w:szCs w:val="17"/>
                <w:color w:val="auto"/>
              </w:rPr>
            </w:pPr>
          </w:p>
        </w:tc>
        <w:tc>
          <w:tcPr>
            <w:tcW w:w="1480" w:type="dxa"/>
            <w:vAlign w:val="bottom"/>
          </w:tcPr>
          <w:p>
            <w:pPr>
              <w:jc w:val="right"/>
              <w:ind w:right="219"/>
              <w:spacing w:after="0"/>
              <w:rPr>
                <w:sz w:val="20"/>
                <w:szCs w:val="20"/>
                <w:color w:val="auto"/>
              </w:rPr>
            </w:pPr>
            <w:r>
              <w:rPr>
                <w:rFonts w:ascii="Arial" w:cs="Arial" w:eastAsia="Arial" w:hAnsi="Arial"/>
                <w:sz w:val="16"/>
                <w:szCs w:val="16"/>
                <w:b w:val="1"/>
                <w:bCs w:val="1"/>
                <w:color w:val="auto"/>
              </w:rPr>
              <w:t>(507)</w:t>
            </w:r>
          </w:p>
        </w:tc>
        <w:tc>
          <w:tcPr>
            <w:tcW w:w="540" w:type="dxa"/>
            <w:vAlign w:val="bottom"/>
          </w:tcPr>
          <w:p>
            <w:pPr>
              <w:spacing w:after="0"/>
              <w:rPr>
                <w:sz w:val="17"/>
                <w:szCs w:val="17"/>
                <w:color w:val="auto"/>
              </w:rPr>
            </w:pPr>
          </w:p>
        </w:tc>
        <w:tc>
          <w:tcPr>
            <w:tcW w:w="1500" w:type="dxa"/>
            <w:vAlign w:val="bottom"/>
          </w:tcPr>
          <w:p>
            <w:pPr>
              <w:jc w:val="right"/>
              <w:ind w:right="259"/>
              <w:spacing w:after="0"/>
              <w:rPr>
                <w:sz w:val="20"/>
                <w:szCs w:val="20"/>
                <w:color w:val="auto"/>
              </w:rPr>
            </w:pPr>
            <w:r>
              <w:rPr>
                <w:rFonts w:ascii="Arial" w:cs="Arial" w:eastAsia="Arial" w:hAnsi="Arial"/>
                <w:sz w:val="16"/>
                <w:szCs w:val="16"/>
                <w:color w:val="auto"/>
              </w:rPr>
              <w:t>(587)</w:t>
            </w:r>
          </w:p>
        </w:tc>
        <w:tc>
          <w:tcPr>
            <w:tcW w:w="4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203"/>
        </w:trPr>
        <w:tc>
          <w:tcPr>
            <w:tcW w:w="5640" w:type="dxa"/>
            <w:vAlign w:val="bottom"/>
            <w:tcBorders>
              <w:bottom w:val="single" w:sz="8" w:color="0233A1"/>
            </w:tcBorders>
          </w:tcPr>
          <w:p>
            <w:pPr>
              <w:ind w:left="180"/>
              <w:spacing w:after="0"/>
              <w:rPr>
                <w:sz w:val="20"/>
                <w:szCs w:val="20"/>
                <w:color w:val="auto"/>
              </w:rPr>
            </w:pPr>
            <w:r>
              <w:rPr>
                <w:rFonts w:ascii="Arial" w:cs="Arial" w:eastAsia="Arial" w:hAnsi="Arial"/>
                <w:sz w:val="16"/>
                <w:szCs w:val="16"/>
                <w:color w:val="auto"/>
              </w:rPr>
              <w:t>Exploration data capitalized</w:t>
            </w:r>
          </w:p>
        </w:tc>
        <w:tc>
          <w:tcPr>
            <w:tcW w:w="360" w:type="dxa"/>
            <w:vAlign w:val="bottom"/>
            <w:tcBorders>
              <w:bottom w:val="single" w:sz="8" w:color="0233A1"/>
            </w:tcBorders>
          </w:tcPr>
          <w:p>
            <w:pPr>
              <w:spacing w:after="0"/>
              <w:rPr>
                <w:sz w:val="17"/>
                <w:szCs w:val="17"/>
                <w:color w:val="auto"/>
              </w:rPr>
            </w:pPr>
          </w:p>
        </w:tc>
        <w:tc>
          <w:tcPr>
            <w:tcW w:w="1480" w:type="dxa"/>
            <w:vAlign w:val="bottom"/>
            <w:tcBorders>
              <w:bottom w:val="single" w:sz="8" w:color="0233A1"/>
            </w:tcBorders>
          </w:tcPr>
          <w:p>
            <w:pPr>
              <w:jc w:val="right"/>
              <w:ind w:right="219"/>
              <w:spacing w:after="0"/>
              <w:rPr>
                <w:sz w:val="20"/>
                <w:szCs w:val="20"/>
                <w:color w:val="auto"/>
              </w:rPr>
            </w:pPr>
            <w:r>
              <w:rPr>
                <w:rFonts w:ascii="Arial" w:cs="Arial" w:eastAsia="Arial" w:hAnsi="Arial"/>
                <w:sz w:val="16"/>
                <w:szCs w:val="16"/>
                <w:b w:val="1"/>
                <w:bCs w:val="1"/>
                <w:color w:val="auto"/>
              </w:rPr>
              <w:t>(153)</w:t>
            </w:r>
          </w:p>
        </w:tc>
        <w:tc>
          <w:tcPr>
            <w:tcW w:w="540" w:type="dxa"/>
            <w:vAlign w:val="bottom"/>
            <w:tcBorders>
              <w:bottom w:val="single" w:sz="8" w:color="0233A1"/>
            </w:tcBorders>
          </w:tcPr>
          <w:p>
            <w:pPr>
              <w:spacing w:after="0"/>
              <w:rPr>
                <w:sz w:val="17"/>
                <w:szCs w:val="17"/>
                <w:color w:val="auto"/>
              </w:rPr>
            </w:pPr>
          </w:p>
        </w:tc>
        <w:tc>
          <w:tcPr>
            <w:tcW w:w="1500" w:type="dxa"/>
            <w:vAlign w:val="bottom"/>
            <w:tcBorders>
              <w:bottom w:val="single" w:sz="8" w:color="0233A1"/>
            </w:tcBorders>
          </w:tcPr>
          <w:p>
            <w:pPr>
              <w:jc w:val="right"/>
              <w:ind w:right="259"/>
              <w:spacing w:after="0"/>
              <w:rPr>
                <w:sz w:val="20"/>
                <w:szCs w:val="20"/>
                <w:color w:val="auto"/>
              </w:rPr>
            </w:pPr>
            <w:r>
              <w:rPr>
                <w:rFonts w:ascii="Arial" w:cs="Arial" w:eastAsia="Arial" w:hAnsi="Arial"/>
                <w:sz w:val="16"/>
                <w:szCs w:val="16"/>
                <w:color w:val="auto"/>
              </w:rPr>
              <w:t>(97)</w:t>
            </w:r>
          </w:p>
        </w:tc>
        <w:tc>
          <w:tcPr>
            <w:tcW w:w="480" w:type="dxa"/>
            <w:vAlign w:val="bottom"/>
            <w:tcBorders>
              <w:bottom w:val="single" w:sz="8" w:color="0233A1"/>
            </w:tcBorders>
          </w:tcPr>
          <w:p>
            <w:pPr>
              <w:spacing w:after="0"/>
              <w:rPr>
                <w:sz w:val="17"/>
                <w:szCs w:val="17"/>
                <w:color w:val="auto"/>
              </w:rPr>
            </w:pPr>
          </w:p>
        </w:tc>
        <w:tc>
          <w:tcPr>
            <w:tcW w:w="1240" w:type="dxa"/>
            <w:vAlign w:val="bottom"/>
            <w:tcBorders>
              <w:bottom w:val="single" w:sz="8" w:color="0233A1"/>
            </w:tcBorders>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89"/>
        </w:trPr>
        <w:tc>
          <w:tcPr>
            <w:tcW w:w="5640" w:type="dxa"/>
            <w:vAlign w:val="bottom"/>
            <w:tcBorders>
              <w:bottom w:val="single" w:sz="8" w:color="0233A1"/>
            </w:tcBorders>
          </w:tcPr>
          <w:p>
            <w:pPr>
              <w:ind w:left="60"/>
              <w:spacing w:after="0" w:line="183" w:lineRule="exact"/>
              <w:rPr>
                <w:sz w:val="20"/>
                <w:szCs w:val="20"/>
                <w:color w:val="auto"/>
              </w:rPr>
            </w:pPr>
            <w:r>
              <w:rPr>
                <w:rFonts w:ascii="Arial" w:cs="Arial" w:eastAsia="Arial" w:hAnsi="Arial"/>
                <w:sz w:val="16"/>
                <w:szCs w:val="16"/>
                <w:b w:val="1"/>
                <w:bCs w:val="1"/>
                <w:color w:val="auto"/>
              </w:rPr>
              <w:t>Free cash flow</w:t>
            </w:r>
          </w:p>
        </w:tc>
        <w:tc>
          <w:tcPr>
            <w:tcW w:w="360" w:type="dxa"/>
            <w:vAlign w:val="bottom"/>
            <w:tcBorders>
              <w:bottom w:val="single" w:sz="8" w:color="0233A1"/>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w:t>
            </w:r>
          </w:p>
        </w:tc>
        <w:tc>
          <w:tcPr>
            <w:tcW w:w="1480" w:type="dxa"/>
            <w:vAlign w:val="bottom"/>
            <w:tcBorders>
              <w:bottom w:val="single" w:sz="8" w:color="0233A1"/>
            </w:tcBorders>
          </w:tcPr>
          <w:p>
            <w:pPr>
              <w:jc w:val="right"/>
              <w:ind w:right="279"/>
              <w:spacing w:after="0" w:line="183" w:lineRule="exact"/>
              <w:rPr>
                <w:sz w:val="20"/>
                <w:szCs w:val="20"/>
                <w:color w:val="auto"/>
              </w:rPr>
            </w:pPr>
            <w:r>
              <w:rPr>
                <w:rFonts w:ascii="Arial" w:cs="Arial" w:eastAsia="Arial" w:hAnsi="Arial"/>
                <w:sz w:val="16"/>
                <w:szCs w:val="16"/>
                <w:b w:val="1"/>
                <w:bCs w:val="1"/>
                <w:color w:val="auto"/>
              </w:rPr>
              <w:t>4,038</w:t>
            </w:r>
          </w:p>
        </w:tc>
        <w:tc>
          <w:tcPr>
            <w:tcW w:w="540" w:type="dxa"/>
            <w:vAlign w:val="bottom"/>
            <w:tcBorders>
              <w:bottom w:val="single" w:sz="8" w:color="0233A1"/>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500" w:type="dxa"/>
            <w:vAlign w:val="bottom"/>
            <w:tcBorders>
              <w:bottom w:val="single" w:sz="8" w:color="0233A1"/>
            </w:tcBorders>
          </w:tcPr>
          <w:p>
            <w:pPr>
              <w:jc w:val="right"/>
              <w:ind w:right="299"/>
              <w:spacing w:after="0" w:line="183" w:lineRule="exact"/>
              <w:rPr>
                <w:sz w:val="20"/>
                <w:szCs w:val="20"/>
                <w:color w:val="auto"/>
              </w:rPr>
            </w:pPr>
            <w:r>
              <w:rPr>
                <w:rFonts w:ascii="Arial" w:cs="Arial" w:eastAsia="Arial" w:hAnsi="Arial"/>
                <w:sz w:val="16"/>
                <w:szCs w:val="16"/>
                <w:color w:val="auto"/>
              </w:rPr>
              <w:t>1,418</w:t>
            </w:r>
          </w:p>
        </w:tc>
        <w:tc>
          <w:tcPr>
            <w:tcW w:w="480" w:type="dxa"/>
            <w:vAlign w:val="bottom"/>
            <w:tcBorders>
              <w:bottom w:val="single" w:sz="8" w:color="0233A1"/>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0233A1"/>
            </w:tcBorders>
          </w:tcPr>
          <w:p>
            <w:pPr>
              <w:jc w:val="right"/>
              <w:ind w:right="19"/>
              <w:spacing w:after="0" w:line="183" w:lineRule="exact"/>
              <w:rPr>
                <w:sz w:val="20"/>
                <w:szCs w:val="20"/>
                <w:color w:val="auto"/>
              </w:rPr>
            </w:pPr>
            <w:r>
              <w:rPr>
                <w:rFonts w:ascii="Arial" w:cs="Arial" w:eastAsia="Arial" w:hAnsi="Arial"/>
                <w:sz w:val="16"/>
                <w:szCs w:val="16"/>
                <w:color w:val="auto"/>
              </w:rPr>
              <w:t>2,997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8255"/>
            <wp:wrapNone/>
            <wp:docPr id="3343" name="Picture 3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3"/>
                    <pic:cNvPicPr>
                      <a:picLocks noChangeAspect="1" noChangeArrowheads="1"/>
                    </pic:cNvPicPr>
                  </pic:nvPicPr>
                  <pic:blipFill>
                    <a:blip r:embed="rId335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255"/>
            <wp:wrapNone/>
            <wp:docPr id="3344" name="Picture 3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4"/>
                    <pic:cNvPicPr>
                      <a:picLocks noChangeAspect="1" noChangeArrowheads="1"/>
                    </pic:cNvPicPr>
                  </pic:nvPicPr>
                  <pic:blipFill>
                    <a:blip r:embed="rId335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-530860</wp:posOffset>
            </wp:positionV>
            <wp:extent cx="7132320" cy="8255"/>
            <wp:wrapNone/>
            <wp:docPr id="3345" name="Picture 3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5"/>
                    <pic:cNvPicPr>
                      <a:picLocks noChangeAspect="1" noChangeArrowheads="1"/>
                    </pic:cNvPicPr>
                  </pic:nvPicPr>
                  <pic:blipFill>
                    <a:blip r:embed="rId33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Free Cash Flow Margin</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Free cash flow margin is calculated as free cash flow divided by revenue. Free cash flow margin measures how efficiently SLB converts revenue into free cash flow, and is an indicator of capital efficiency. For the three-year period from January 1, 2021 through December 31, 2023, free cash flow margin of 10.0% was calculated based on SLB’s cumulative, three-year free cash flow of $8.453 billion (reflected in the table above), divided by SLB’s cumulative, three-year revenue of $84.155 billion (comprising $33.135 billion for 2023, $28.091 billion for 2022, and $22.929 billion for 2021).</w:t>
      </w: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Net Debt</w:t>
      </w:r>
    </w:p>
    <w:p>
      <w:pPr>
        <w:spacing w:after="0" w:line="193"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Net debt represents gross debt less cash and short-term investments. Management believes that net debt provides useful information regarding the level of SLB’s indebtedness by reflecting cash and investments that could be used to repay debt. Net debt is a non-GAAP financial measure that should be considered in addition to, not as a substitute for or superior to, total debt.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0233A1"/>
              </w:rPr>
              <w:t>(Stated in millions)</w:t>
            </w:r>
          </w:p>
        </w:tc>
        <w:tc>
          <w:tcPr>
            <w:tcW w:w="0" w:type="dxa"/>
            <w:vAlign w:val="bottom"/>
          </w:tcPr>
          <w:p>
            <w:pPr>
              <w:spacing w:after="0"/>
              <w:rPr>
                <w:sz w:val="1"/>
                <w:szCs w:val="1"/>
                <w:color w:val="auto"/>
              </w:rPr>
            </w:pPr>
          </w:p>
        </w:tc>
      </w:tr>
      <w:tr>
        <w:trPr>
          <w:trHeight w:val="183"/>
        </w:trPr>
        <w:tc>
          <w:tcPr>
            <w:tcW w:w="920" w:type="dxa"/>
            <w:vAlign w:val="bottom"/>
            <w:tcBorders>
              <w:bottom w:val="single" w:sz="8" w:color="0233A1"/>
            </w:tcBorders>
          </w:tcPr>
          <w:p>
            <w:pPr>
              <w:spacing w:after="0"/>
              <w:rPr>
                <w:sz w:val="15"/>
                <w:szCs w:val="15"/>
                <w:color w:val="auto"/>
              </w:rPr>
            </w:pPr>
          </w:p>
        </w:tc>
        <w:tc>
          <w:tcPr>
            <w:tcW w:w="4480" w:type="dxa"/>
            <w:vAlign w:val="bottom"/>
            <w:tcBorders>
              <w:bottom w:val="single" w:sz="8" w:color="0233A1"/>
            </w:tcBorders>
          </w:tcPr>
          <w:p>
            <w:pPr>
              <w:spacing w:after="0"/>
              <w:rPr>
                <w:sz w:val="15"/>
                <w:szCs w:val="15"/>
                <w:color w:val="auto"/>
              </w:rPr>
            </w:pPr>
          </w:p>
        </w:tc>
        <w:tc>
          <w:tcPr>
            <w:tcW w:w="460" w:type="dxa"/>
            <w:vAlign w:val="bottom"/>
            <w:tcBorders>
              <w:bottom w:val="single" w:sz="8" w:color="0233A1"/>
            </w:tcBorders>
          </w:tcPr>
          <w:p>
            <w:pPr>
              <w:spacing w:after="0"/>
              <w:rPr>
                <w:sz w:val="15"/>
                <w:szCs w:val="15"/>
                <w:color w:val="auto"/>
              </w:rPr>
            </w:pPr>
          </w:p>
        </w:tc>
        <w:tc>
          <w:tcPr>
            <w:tcW w:w="2240" w:type="dxa"/>
            <w:vAlign w:val="bottom"/>
            <w:tcBorders>
              <w:bottom w:val="single" w:sz="8" w:color="0233A1"/>
            </w:tcBorders>
          </w:tcPr>
          <w:p>
            <w:pPr>
              <w:spacing w:after="0"/>
              <w:rPr>
                <w:sz w:val="15"/>
                <w:szCs w:val="15"/>
                <w:color w:val="auto"/>
              </w:rPr>
            </w:pPr>
          </w:p>
        </w:tc>
        <w:tc>
          <w:tcPr>
            <w:tcW w:w="300" w:type="dxa"/>
            <w:vAlign w:val="bottom"/>
            <w:tcBorders>
              <w:top w:val="single" w:sz="8" w:color="0233A1"/>
              <w:bottom w:val="single" w:sz="8" w:color="0233A1"/>
            </w:tcBorders>
          </w:tcPr>
          <w:p>
            <w:pPr>
              <w:spacing w:after="0"/>
              <w:rPr>
                <w:sz w:val="15"/>
                <w:szCs w:val="15"/>
                <w:color w:val="auto"/>
              </w:rPr>
            </w:pPr>
          </w:p>
        </w:tc>
        <w:tc>
          <w:tcPr>
            <w:tcW w:w="1140" w:type="dxa"/>
            <w:vAlign w:val="bottom"/>
            <w:tcBorders>
              <w:top w:val="single" w:sz="8" w:color="0233A1"/>
              <w:bottom w:val="single" w:sz="8" w:color="0233A1"/>
            </w:tcBorders>
            <w:gridSpan w:val="2"/>
          </w:tcPr>
          <w:p>
            <w:pPr>
              <w:jc w:val="right"/>
              <w:ind w:right="60"/>
              <w:spacing w:after="0" w:line="183" w:lineRule="exact"/>
              <w:rPr>
                <w:sz w:val="20"/>
                <w:szCs w:val="20"/>
                <w:color w:val="auto"/>
              </w:rPr>
            </w:pPr>
            <w:r>
              <w:rPr>
                <w:rFonts w:ascii="Arial" w:cs="Arial" w:eastAsia="Arial" w:hAnsi="Arial"/>
                <w:sz w:val="16"/>
                <w:szCs w:val="16"/>
                <w:b w:val="1"/>
                <w:bCs w:val="1"/>
                <w:color w:val="0233A1"/>
              </w:rPr>
              <w:t>Dec. 31, 2023</w:t>
            </w:r>
          </w:p>
        </w:tc>
        <w:tc>
          <w:tcPr>
            <w:tcW w:w="520" w:type="dxa"/>
            <w:vAlign w:val="bottom"/>
            <w:tcBorders>
              <w:top w:val="single" w:sz="8" w:color="0233A1"/>
              <w:bottom w:val="single" w:sz="8" w:color="0233A1"/>
            </w:tcBorders>
          </w:tcPr>
          <w:p>
            <w:pPr>
              <w:spacing w:after="0"/>
              <w:rPr>
                <w:sz w:val="15"/>
                <w:szCs w:val="15"/>
                <w:color w:val="auto"/>
              </w:rPr>
            </w:pPr>
          </w:p>
        </w:tc>
        <w:tc>
          <w:tcPr>
            <w:tcW w:w="1180" w:type="dxa"/>
            <w:vAlign w:val="bottom"/>
            <w:tcBorders>
              <w:top w:val="single" w:sz="8" w:color="0233A1"/>
              <w:bottom w:val="single" w:sz="8" w:color="0233A1"/>
            </w:tcBorders>
          </w:tcPr>
          <w:p>
            <w:pPr>
              <w:jc w:val="right"/>
              <w:ind w:right="19"/>
              <w:spacing w:after="0" w:line="183" w:lineRule="exact"/>
              <w:rPr>
                <w:sz w:val="20"/>
                <w:szCs w:val="20"/>
                <w:color w:val="auto"/>
              </w:rPr>
            </w:pPr>
            <w:r>
              <w:rPr>
                <w:rFonts w:ascii="Arial" w:cs="Arial" w:eastAsia="Arial" w:hAnsi="Arial"/>
                <w:sz w:val="16"/>
                <w:szCs w:val="16"/>
                <w:b w:val="1"/>
                <w:bCs w:val="1"/>
                <w:color w:val="0233A1"/>
              </w:rPr>
              <w:t>Dec. 31, 2022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400" w:type="dxa"/>
            <w:vAlign w:val="bottom"/>
            <w:gridSpan w:val="2"/>
          </w:tcPr>
          <w:p>
            <w:pPr>
              <w:ind w:left="60"/>
              <w:spacing w:after="0" w:line="182" w:lineRule="exact"/>
              <w:rPr>
                <w:sz w:val="20"/>
                <w:szCs w:val="20"/>
                <w:color w:val="auto"/>
              </w:rPr>
            </w:pPr>
            <w:r>
              <w:rPr>
                <w:rFonts w:ascii="Arial" w:cs="Arial" w:eastAsia="Arial" w:hAnsi="Arial"/>
                <w:sz w:val="16"/>
                <w:szCs w:val="16"/>
                <w:color w:val="auto"/>
              </w:rPr>
              <w:t>Cash</w:t>
            </w:r>
          </w:p>
        </w:tc>
        <w:tc>
          <w:tcPr>
            <w:tcW w:w="3000" w:type="dxa"/>
            <w:vAlign w:val="bottom"/>
            <w:gridSpan w:val="3"/>
          </w:tcPr>
          <w:p>
            <w:pPr>
              <w:jc w:val="right"/>
              <w:ind w:right="40"/>
              <w:spacing w:after="0" w:line="182" w:lineRule="exact"/>
              <w:rPr>
                <w:sz w:val="20"/>
                <w:szCs w:val="20"/>
                <w:color w:val="auto"/>
              </w:rPr>
            </w:pPr>
            <w:r>
              <w:rPr>
                <w:rFonts w:ascii="Arial" w:cs="Arial" w:eastAsia="Arial" w:hAnsi="Arial"/>
                <w:sz w:val="16"/>
                <w:szCs w:val="16"/>
                <w:b w:val="1"/>
                <w:bCs w:val="1"/>
                <w:color w:val="auto"/>
              </w:rPr>
              <w:t>$</w:t>
            </w:r>
          </w:p>
        </w:tc>
        <w:tc>
          <w:tcPr>
            <w:tcW w:w="1140" w:type="dxa"/>
            <w:vAlign w:val="bottom"/>
            <w:gridSpan w:val="2"/>
          </w:tcPr>
          <w:p>
            <w:pPr>
              <w:jc w:val="right"/>
              <w:ind w:right="60"/>
              <w:spacing w:after="0" w:line="182" w:lineRule="exact"/>
              <w:rPr>
                <w:sz w:val="20"/>
                <w:szCs w:val="20"/>
                <w:color w:val="auto"/>
              </w:rPr>
            </w:pPr>
            <w:r>
              <w:rPr>
                <w:rFonts w:ascii="Arial" w:cs="Arial" w:eastAsia="Arial" w:hAnsi="Arial"/>
                <w:sz w:val="16"/>
                <w:szCs w:val="16"/>
                <w:b w:val="1"/>
                <w:bCs w:val="1"/>
                <w:color w:val="auto"/>
              </w:rPr>
              <w:t>2,900</w:t>
            </w:r>
          </w:p>
        </w:tc>
        <w:tc>
          <w:tcPr>
            <w:tcW w:w="520" w:type="dxa"/>
            <w:vAlign w:val="bottom"/>
          </w:tcPr>
          <w:p>
            <w:pPr>
              <w:jc w:val="right"/>
              <w:spacing w:after="0" w:line="182" w:lineRule="exact"/>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line="182" w:lineRule="exact"/>
              <w:rPr>
                <w:sz w:val="20"/>
                <w:szCs w:val="20"/>
                <w:color w:val="auto"/>
              </w:rPr>
            </w:pPr>
            <w:r>
              <w:rPr>
                <w:rFonts w:ascii="Arial" w:cs="Arial" w:eastAsia="Arial" w:hAnsi="Arial"/>
                <w:sz w:val="16"/>
                <w:szCs w:val="16"/>
                <w:color w:val="auto"/>
              </w:rPr>
              <w:t>1,655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400" w:type="dxa"/>
            <w:vAlign w:val="bottom"/>
            <w:gridSpan w:val="2"/>
          </w:tcPr>
          <w:p>
            <w:pPr>
              <w:ind w:left="60"/>
              <w:spacing w:after="0"/>
              <w:rPr>
                <w:sz w:val="20"/>
                <w:szCs w:val="20"/>
                <w:color w:val="auto"/>
              </w:rPr>
            </w:pPr>
            <w:r>
              <w:rPr>
                <w:rFonts w:ascii="Arial" w:cs="Arial" w:eastAsia="Arial" w:hAnsi="Arial"/>
                <w:sz w:val="16"/>
                <w:szCs w:val="16"/>
                <w:color w:val="auto"/>
              </w:rPr>
              <w:t>Short-term investments</w:t>
            </w:r>
          </w:p>
        </w:tc>
        <w:tc>
          <w:tcPr>
            <w:tcW w:w="4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1,089</w:t>
            </w:r>
          </w:p>
        </w:tc>
        <w:tc>
          <w:tcPr>
            <w:tcW w:w="52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1,239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gridSpan w:val="2"/>
          </w:tcPr>
          <w:p>
            <w:pPr>
              <w:ind w:left="60"/>
              <w:spacing w:after="0"/>
              <w:rPr>
                <w:sz w:val="20"/>
                <w:szCs w:val="20"/>
                <w:color w:val="auto"/>
              </w:rPr>
            </w:pPr>
            <w:r>
              <w:rPr>
                <w:rFonts w:ascii="Arial" w:cs="Arial" w:eastAsia="Arial" w:hAnsi="Arial"/>
                <w:sz w:val="16"/>
                <w:szCs w:val="16"/>
                <w:color w:val="auto"/>
              </w:rPr>
              <w:t>Short-term borrowings and current portion of long-term debt</w:t>
            </w:r>
          </w:p>
        </w:tc>
        <w:tc>
          <w:tcPr>
            <w:tcW w:w="4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(1,123)</w:t>
            </w:r>
          </w:p>
        </w:tc>
        <w:tc>
          <w:tcPr>
            <w:tcW w:w="5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tcBorders>
              <w:bottom w:val="single" w:sz="8" w:color="0233A1"/>
            </w:tcBorders>
            <w:gridSpan w:val="2"/>
          </w:tcPr>
          <w:p>
            <w:pPr>
              <w:ind w:left="60"/>
              <w:spacing w:after="0"/>
              <w:rPr>
                <w:sz w:val="20"/>
                <w:szCs w:val="20"/>
                <w:color w:val="auto"/>
              </w:rPr>
            </w:pPr>
            <w:r>
              <w:rPr>
                <w:rFonts w:ascii="Arial" w:cs="Arial" w:eastAsia="Arial" w:hAnsi="Arial"/>
                <w:sz w:val="16"/>
                <w:szCs w:val="16"/>
                <w:color w:val="auto"/>
              </w:rPr>
              <w:t>Long-term debt</w:t>
            </w:r>
          </w:p>
        </w:tc>
        <w:tc>
          <w:tcPr>
            <w:tcW w:w="460" w:type="dxa"/>
            <w:vAlign w:val="bottom"/>
            <w:tcBorders>
              <w:bottom w:val="single" w:sz="8" w:color="0233A1"/>
            </w:tcBorders>
          </w:tcPr>
          <w:p>
            <w:pPr>
              <w:spacing w:after="0"/>
              <w:rPr>
                <w:sz w:val="17"/>
                <w:szCs w:val="17"/>
                <w:color w:val="auto"/>
              </w:rPr>
            </w:pPr>
          </w:p>
        </w:tc>
        <w:tc>
          <w:tcPr>
            <w:tcW w:w="2240" w:type="dxa"/>
            <w:vAlign w:val="bottom"/>
            <w:tcBorders>
              <w:bottom w:val="single" w:sz="8" w:color="0233A1"/>
            </w:tcBorders>
          </w:tcPr>
          <w:p>
            <w:pPr>
              <w:spacing w:after="0"/>
              <w:rPr>
                <w:sz w:val="17"/>
                <w:szCs w:val="17"/>
                <w:color w:val="auto"/>
              </w:rPr>
            </w:pPr>
          </w:p>
        </w:tc>
        <w:tc>
          <w:tcPr>
            <w:tcW w:w="300" w:type="dxa"/>
            <w:vAlign w:val="bottom"/>
            <w:tcBorders>
              <w:bottom w:val="single" w:sz="8" w:color="0233A1"/>
            </w:tcBorders>
          </w:tcPr>
          <w:p>
            <w:pPr>
              <w:spacing w:after="0"/>
              <w:rPr>
                <w:sz w:val="17"/>
                <w:szCs w:val="17"/>
                <w:color w:val="auto"/>
              </w:rPr>
            </w:pPr>
          </w:p>
        </w:tc>
        <w:tc>
          <w:tcPr>
            <w:tcW w:w="1140" w:type="dxa"/>
            <w:vAlign w:val="bottom"/>
            <w:tcBorders>
              <w:bottom w:val="single" w:sz="8" w:color="0233A1"/>
            </w:tcBorders>
            <w:gridSpan w:val="2"/>
          </w:tcPr>
          <w:p>
            <w:pPr>
              <w:jc w:val="right"/>
              <w:ind w:right="20"/>
              <w:spacing w:after="0"/>
              <w:rPr>
                <w:sz w:val="20"/>
                <w:szCs w:val="20"/>
                <w:color w:val="auto"/>
              </w:rPr>
            </w:pPr>
            <w:r>
              <w:rPr>
                <w:rFonts w:ascii="Arial" w:cs="Arial" w:eastAsia="Arial" w:hAnsi="Arial"/>
                <w:sz w:val="16"/>
                <w:szCs w:val="16"/>
                <w:b w:val="1"/>
                <w:bCs w:val="1"/>
                <w:color w:val="auto"/>
              </w:rPr>
              <w:t>(10,842)</w:t>
            </w:r>
          </w:p>
        </w:tc>
        <w:tc>
          <w:tcPr>
            <w:tcW w:w="520" w:type="dxa"/>
            <w:vAlign w:val="bottom"/>
            <w:tcBorders>
              <w:bottom w:val="single" w:sz="8" w:color="0233A1"/>
            </w:tcBorders>
          </w:tcPr>
          <w:p>
            <w:pPr>
              <w:spacing w:after="0"/>
              <w:rPr>
                <w:sz w:val="17"/>
                <w:szCs w:val="17"/>
                <w:color w:val="auto"/>
              </w:rPr>
            </w:pPr>
          </w:p>
        </w:tc>
        <w:tc>
          <w:tcPr>
            <w:tcW w:w="1180" w:type="dxa"/>
            <w:vAlign w:val="bottom"/>
            <w:tcBorders>
              <w:bottom w:val="single" w:sz="8" w:color="0233A1"/>
            </w:tcBorders>
          </w:tcPr>
          <w:p>
            <w:pPr>
              <w:jc w:val="right"/>
              <w:spacing w:after="0"/>
              <w:rPr>
                <w:sz w:val="20"/>
                <w:szCs w:val="20"/>
                <w:color w:val="auto"/>
              </w:rPr>
            </w:pPr>
            <w:r>
              <w:rPr>
                <w:rFonts w:ascii="Arial" w:cs="Arial" w:eastAsia="Arial" w:hAnsi="Arial"/>
                <w:sz w:val="16"/>
                <w:szCs w:val="16"/>
                <w:color w:val="auto"/>
              </w:rPr>
              <w:t>(10,594)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400" w:type="dxa"/>
            <w:vAlign w:val="bottom"/>
            <w:tcBorders>
              <w:bottom w:val="single" w:sz="8" w:color="0233A1"/>
            </w:tcBorders>
            <w:gridSpan w:val="2"/>
          </w:tcPr>
          <w:p>
            <w:pPr>
              <w:ind w:left="60"/>
              <w:spacing w:after="0" w:line="183" w:lineRule="exact"/>
              <w:rPr>
                <w:sz w:val="20"/>
                <w:szCs w:val="20"/>
                <w:color w:val="auto"/>
              </w:rPr>
            </w:pPr>
            <w:r>
              <w:rPr>
                <w:rFonts w:ascii="Arial" w:cs="Arial" w:eastAsia="Arial" w:hAnsi="Arial"/>
                <w:sz w:val="16"/>
                <w:szCs w:val="16"/>
                <w:color w:val="auto"/>
              </w:rPr>
              <w:t>Net debt</w:t>
            </w:r>
          </w:p>
        </w:tc>
        <w:tc>
          <w:tcPr>
            <w:tcW w:w="3000" w:type="dxa"/>
            <w:vAlign w:val="bottom"/>
            <w:tcBorders>
              <w:bottom w:val="single" w:sz="8" w:color="0233A1"/>
            </w:tcBorders>
            <w:gridSpan w:val="3"/>
          </w:tcPr>
          <w:p>
            <w:pPr>
              <w:jc w:val="right"/>
              <w:ind w:right="40"/>
              <w:spacing w:after="0" w:line="183" w:lineRule="exact"/>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0233A1"/>
            </w:tcBorders>
            <w:gridSpan w:val="2"/>
          </w:tcPr>
          <w:p>
            <w:pPr>
              <w:jc w:val="right"/>
              <w:ind w:right="20"/>
              <w:spacing w:after="0" w:line="183" w:lineRule="exact"/>
              <w:rPr>
                <w:sz w:val="20"/>
                <w:szCs w:val="20"/>
                <w:color w:val="auto"/>
              </w:rPr>
            </w:pPr>
            <w:r>
              <w:rPr>
                <w:rFonts w:ascii="Arial" w:cs="Arial" w:eastAsia="Arial" w:hAnsi="Arial"/>
                <w:sz w:val="16"/>
                <w:szCs w:val="16"/>
                <w:b w:val="1"/>
                <w:bCs w:val="1"/>
                <w:color w:val="auto"/>
              </w:rPr>
              <w:t>(7,976)</w:t>
            </w:r>
          </w:p>
        </w:tc>
        <w:tc>
          <w:tcPr>
            <w:tcW w:w="520" w:type="dxa"/>
            <w:vAlign w:val="bottom"/>
            <w:tcBorders>
              <w:bottom w:val="single" w:sz="8" w:color="0233A1"/>
            </w:tcBorders>
          </w:tcPr>
          <w:p>
            <w:pPr>
              <w:jc w:val="right"/>
              <w:spacing w:after="0" w:line="183"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0233A1"/>
            </w:tcBorders>
          </w:tcPr>
          <w:p>
            <w:pPr>
              <w:jc w:val="right"/>
              <w:spacing w:after="0" w:line="183" w:lineRule="exact"/>
              <w:rPr>
                <w:sz w:val="20"/>
                <w:szCs w:val="20"/>
                <w:color w:val="auto"/>
              </w:rPr>
            </w:pPr>
            <w:r>
              <w:rPr>
                <w:rFonts w:ascii="Arial" w:cs="Arial" w:eastAsia="Arial" w:hAnsi="Arial"/>
                <w:sz w:val="16"/>
                <w:szCs w:val="16"/>
                <w:color w:val="auto"/>
              </w:rPr>
              <w:t>(9,332)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8"/>
        </w:trPr>
        <w:tc>
          <w:tcPr>
            <w:tcW w:w="92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46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A-2</w:t>
            </w:r>
          </w:p>
        </w:tc>
        <w:tc>
          <w:tcPr>
            <w:tcW w:w="254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636466"/>
              </w:rPr>
              <w:t>2024 Proxy Statement</w:t>
            </w:r>
          </w:p>
        </w:tc>
        <w:tc>
          <w:tcPr>
            <w:tcW w:w="0" w:type="dxa"/>
            <w:vAlign w:val="bottom"/>
          </w:tcPr>
          <w:p>
            <w:pPr>
              <w:spacing w:after="0"/>
              <w:rPr>
                <w:sz w:val="1"/>
                <w:szCs w:val="1"/>
                <w:color w:val="auto"/>
              </w:rPr>
            </w:pPr>
          </w:p>
        </w:tc>
      </w:tr>
      <w:tr>
        <w:trPr>
          <w:trHeight w:val="74"/>
        </w:trPr>
        <w:tc>
          <w:tcPr>
            <w:tcW w:w="920" w:type="dxa"/>
            <w:vAlign w:val="bottom"/>
          </w:tcPr>
          <w:p>
            <w:pPr>
              <w:spacing w:after="0"/>
              <w:rPr>
                <w:sz w:val="6"/>
                <w:szCs w:val="6"/>
                <w:color w:val="auto"/>
              </w:rPr>
            </w:pPr>
          </w:p>
        </w:tc>
        <w:tc>
          <w:tcPr>
            <w:tcW w:w="448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2540" w:type="dxa"/>
            <w:vAlign w:val="bottom"/>
            <w:gridSpan w:val="2"/>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46"/>
        </w:trPr>
        <w:tc>
          <w:tcPr>
            <w:tcW w:w="92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2240" w:type="dxa"/>
            <w:vAlign w:val="bottom"/>
            <w:tcBorders>
              <w:bottom w:val="single" w:sz="8" w:color="C0C0C0"/>
            </w:tcBorders>
          </w:tcPr>
          <w:p>
            <w:pPr>
              <w:spacing w:after="0"/>
              <w:rPr>
                <w:sz w:val="24"/>
                <w:szCs w:val="24"/>
                <w:color w:val="auto"/>
              </w:rPr>
            </w:pPr>
          </w:p>
        </w:tc>
        <w:tc>
          <w:tcPr>
            <w:tcW w:w="300" w:type="dxa"/>
            <w:vAlign w:val="bottom"/>
            <w:tcBorders>
              <w:bottom w:val="single" w:sz="8" w:color="C0C0C0"/>
            </w:tcBorders>
          </w:tcPr>
          <w:p>
            <w:pPr>
              <w:spacing w:after="0"/>
              <w:rPr>
                <w:sz w:val="24"/>
                <w:szCs w:val="24"/>
                <w:color w:val="auto"/>
              </w:rPr>
            </w:pPr>
          </w:p>
        </w:tc>
        <w:tc>
          <w:tcPr>
            <w:tcW w:w="1040" w:type="dxa"/>
            <w:vAlign w:val="bottom"/>
            <w:tcBorders>
              <w:bottom w:val="single" w:sz="8" w:color="C0C0C0"/>
            </w:tcBorders>
          </w:tcPr>
          <w:p>
            <w:pPr>
              <w:spacing w:after="0"/>
              <w:rPr>
                <w:sz w:val="24"/>
                <w:szCs w:val="24"/>
                <w:color w:val="auto"/>
              </w:rPr>
            </w:pPr>
          </w:p>
        </w:tc>
        <w:tc>
          <w:tcPr>
            <w:tcW w:w="100" w:type="dxa"/>
            <w:vAlign w:val="bottom"/>
            <w:tcBorders>
              <w:bottom w:val="single" w:sz="8" w:color="C0C0C0"/>
            </w:tcBorders>
          </w:tcPr>
          <w:p>
            <w:pPr>
              <w:spacing w:after="0"/>
              <w:rPr>
                <w:sz w:val="24"/>
                <w:szCs w:val="24"/>
                <w:color w:val="auto"/>
              </w:rPr>
            </w:pPr>
          </w:p>
        </w:tc>
        <w:tc>
          <w:tcPr>
            <w:tcW w:w="520" w:type="dxa"/>
            <w:vAlign w:val="bottom"/>
            <w:tcBorders>
              <w:bottom w:val="single" w:sz="8" w:color="C0C0C0"/>
            </w:tcBorders>
          </w:tcPr>
          <w:p>
            <w:pPr>
              <w:spacing w:after="0"/>
              <w:rPr>
                <w:sz w:val="24"/>
                <w:szCs w:val="24"/>
                <w:color w:val="auto"/>
              </w:rPr>
            </w:pPr>
          </w:p>
        </w:tc>
        <w:tc>
          <w:tcPr>
            <w:tcW w:w="1180" w:type="dxa"/>
            <w:vAlign w:val="bottom"/>
            <w:tcBorders>
              <w:bottom w:val="single" w:sz="8" w:color="C0C0C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-1053465</wp:posOffset>
            </wp:positionV>
            <wp:extent cx="7132320" cy="8255"/>
            <wp:wrapNone/>
            <wp:docPr id="3346" name="Picture 3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6"/>
                    <pic:cNvPicPr>
                      <a:picLocks noChangeAspect="1" noChangeArrowheads="1"/>
                    </pic:cNvPicPr>
                  </pic:nvPicPr>
                  <pic:blipFill>
                    <a:blip r:embed="rId335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-1182370</wp:posOffset>
            </wp:positionV>
            <wp:extent cx="7132320" cy="8255"/>
            <wp:wrapNone/>
            <wp:docPr id="3347" name="Picture 3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7"/>
                    <pic:cNvPicPr>
                      <a:picLocks noChangeAspect="1" noChangeArrowheads="1"/>
                    </pic:cNvPicPr>
                  </pic:nvPicPr>
                  <pic:blipFill>
                    <a:blip r:embed="rId335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-1310640</wp:posOffset>
            </wp:positionV>
            <wp:extent cx="7132320" cy="8255"/>
            <wp:wrapNone/>
            <wp:docPr id="3348" name="Picture 3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8"/>
                    <pic:cNvPicPr>
                      <a:picLocks noChangeAspect="1" noChangeArrowheads="1"/>
                    </pic:cNvPicPr>
                  </pic:nvPicPr>
                  <pic:blipFill>
                    <a:blip r:embed="rId335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-530860</wp:posOffset>
            </wp:positionV>
            <wp:extent cx="471170" cy="282575"/>
            <wp:wrapNone/>
            <wp:docPr id="3349" name="Picture 3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9"/>
                    <pic:cNvPicPr>
                      <a:picLocks noChangeAspect="1" noChangeArrowheads="1"/>
                    </pic:cNvPicPr>
                  </pic:nvPicPr>
                  <pic:blipFill>
                    <a:blip r:embed="rId3356">
                      <a:extLst>
                        <a:ext uri="{28A0092B-C50C-407E-A947-70E740481C1C}"/>
                      </a:extLst>
                    </a:blip>
                    <a:srcRect/>
                    <a:stretch>
                      <a:fillRect/>
                    </a:stretch>
                  </pic:blipFill>
                  <pic:spPr bwMode="auto">
                    <a:xfrm>
                      <a:off x="0" y="0"/>
                      <a:ext cx="471170" cy="28257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76" w:name="page77"/>
    <w:bookmarkEnd w:id="76"/>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9181465"/>
            <wp:wrapNone/>
            <wp:docPr id="3350" name="Picture 3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0"/>
                    <pic:cNvPicPr>
                      <a:picLocks noChangeAspect="1" noChangeArrowheads="1"/>
                    </pic:cNvPicPr>
                  </pic:nvPicPr>
                  <pic:blipFill>
                    <a:blip r:embed="rId3357">
                      <a:extLst>
                        <a:ext uri="{28A0092B-C50C-407E-A947-70E740481C1C}"/>
                      </a:extLst>
                    </a:blip>
                    <a:srcRect/>
                    <a:stretch>
                      <a:fillRect/>
                    </a:stretch>
                  </pic:blipFill>
                  <pic:spPr bwMode="auto">
                    <a:xfrm>
                      <a:off x="0" y="0"/>
                      <a:ext cx="7132320" cy="9181465"/>
                    </a:xfrm>
                    <a:prstGeom prst="rect">
                      <a:avLst/>
                    </a:prstGeom>
                    <a:noFill/>
                  </pic:spPr>
                </pic:pic>
              </a:graphicData>
            </a:graphic>
          </wp:anchor>
        </w:drawing>
      </w:r>
    </w:p>
    <w:p>
      <w:pPr>
        <w:sectPr>
          <w:pgSz w:w="11900" w:h="16838" w:orient="portrait"/>
          <w:cols w:equalWidth="0" w:num="1">
            <w:col w:w="10139"/>
          </w:cols>
          <w:pgMar w:left="320" w:top="238" w:right="1440" w:bottom="1440" w:gutter="0" w:footer="0" w:header="0"/>
        </w:sectPr>
      </w:pPr>
    </w:p>
    <w:bookmarkStart w:id="77" w:name="page78"/>
    <w:bookmarkEnd w:id="77"/>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9250045"/>
            <wp:wrapNone/>
            <wp:docPr id="3351" name="Picture 3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1"/>
                    <pic:cNvPicPr>
                      <a:picLocks noChangeAspect="1" noChangeArrowheads="1"/>
                    </pic:cNvPicPr>
                  </pic:nvPicPr>
                  <pic:blipFill>
                    <a:blip r:embed="rId3358">
                      <a:extLst>
                        <a:ext uri="{28A0092B-C50C-407E-A947-70E740481C1C}"/>
                      </a:extLst>
                    </a:blip>
                    <a:srcRect/>
                    <a:stretch>
                      <a:fillRect/>
                    </a:stretch>
                  </pic:blipFill>
                  <pic:spPr bwMode="auto">
                    <a:xfrm>
                      <a:off x="0" y="0"/>
                      <a:ext cx="7132320" cy="9250045"/>
                    </a:xfrm>
                    <a:prstGeom prst="rect">
                      <a:avLst/>
                    </a:prstGeom>
                    <a:noFill/>
                  </pic:spPr>
                </pic:pic>
              </a:graphicData>
            </a:graphic>
          </wp:anchor>
        </w:drawing>
      </w:r>
    </w:p>
    <w:p>
      <w:pPr>
        <w:sectPr>
          <w:pgSz w:w="11900" w:h="16838" w:orient="portrait"/>
          <w:cols w:equalWidth="0" w:num="1">
            <w:col w:w="10139"/>
          </w:cols>
          <w:pgMar w:left="320" w:top="238" w:right="1440" w:bottom="1440" w:gutter="0" w:footer="0" w:header="0"/>
        </w:sectPr>
      </w:pPr>
    </w:p>
    <w:bookmarkStart w:id="78" w:name="page79"/>
    <w:bookmarkEnd w:id="78"/>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9661525"/>
            <wp:wrapNone/>
            <wp:docPr id="3352" name="Picture 3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2"/>
                    <pic:cNvPicPr>
                      <a:picLocks noChangeAspect="1" noChangeArrowheads="1"/>
                    </pic:cNvPicPr>
                  </pic:nvPicPr>
                  <pic:blipFill>
                    <a:blip r:embed="rId3359">
                      <a:extLst>
                        <a:ext uri="{28A0092B-C50C-407E-A947-70E740481C1C}"/>
                      </a:extLst>
                    </a:blip>
                    <a:srcRect/>
                    <a:stretch>
                      <a:fillRect/>
                    </a:stretch>
                  </pic:blipFill>
                  <pic:spPr bwMode="auto">
                    <a:xfrm>
                      <a:off x="0" y="0"/>
                      <a:ext cx="7132320" cy="9661525"/>
                    </a:xfrm>
                    <a:prstGeom prst="rect">
                      <a:avLst/>
                    </a:prstGeom>
                    <a:noFill/>
                  </pic:spPr>
                </pic:pic>
              </a:graphicData>
            </a:graphic>
          </wp:anchor>
        </w:drawing>
      </w:r>
    </w:p>
    <w:sectPr>
      <w:pgSz w:w="11900" w:h="16838" w:orient="portrait"/>
      <w:cols w:equalWidth="0" w:num="1">
        <w:col w:w="10139"/>
      </w:cols>
      <w:pgMar w:left="320" w:top="23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1."/>
      <w:numFmt w:val="decimal"/>
      <w:start w:val="1"/>
    </w:lvl>
  </w:abstractNum>
  <w:abstractNum w:abstractNumId="3">
    <w:nsid w:val="3006C83E"/>
    <w:multiLevelType w:val="hybridMultilevel"/>
    <w:lvl w:ilvl="0">
      <w:lvlJc w:val="left"/>
      <w:lvlText w:val="3"/>
      <w:numFmt w:val="bullet"/>
      <w:start w:val="1"/>
    </w:lvl>
  </w:abstractNum>
  <w:abstractNum w:abstractNumId="4">
    <w:nsid w:val="614FD4A1"/>
    <w:multiLevelType w:val="hybridMultilevel"/>
    <w:lvl w:ilvl="0">
      <w:lvlJc w:val="left"/>
      <w:lvlText w:val="4"/>
      <w:numFmt w:val="bullet"/>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lvl w:ilvl="1">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1)"/>
      <w:numFmt w:val="decimal"/>
      <w:start w:val="1"/>
    </w:lvl>
  </w:abstractNum>
  <w:abstractNum w:abstractNumId="20">
    <w:nsid w:val="70A64E2A"/>
    <w:multiLevelType w:val="hybridMultilevel"/>
    <w:lvl w:ilvl="0">
      <w:lvlJc w:val="left"/>
      <w:lvlText w:val="(%1)"/>
      <w:numFmt w:val="decimal"/>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
      <w:numFmt w:val="bullet"/>
      <w:start w:val="1"/>
    </w:lvl>
  </w:abstractNum>
  <w:abstractNum w:abstractNumId="24">
    <w:nsid w:val="725A06FB"/>
    <w:multiLevelType w:val="hybridMultilevel"/>
    <w:lvl w:ilvl="0">
      <w:lvlJc w:val="left"/>
      <w:lvlText w:val="(%1)"/>
      <w:numFmt w:val="decimal"/>
      <w:start w:val="1"/>
    </w:lvl>
  </w:abstractNum>
  <w:abstractNum w:abstractNumId="25">
    <w:nsid w:val="2CD89A32"/>
    <w:multiLevelType w:val="hybridMultilevel"/>
    <w:lvl w:ilvl="0">
      <w:lvlJc w:val="left"/>
      <w:lvlText w:val="(%1)"/>
      <w:numFmt w:val="decimal"/>
      <w:start w:val="1"/>
    </w:lvl>
  </w:abstractNum>
  <w:abstractNum w:abstractNumId="26">
    <w:nsid w:val="57E4CCAF"/>
    <w:multiLevelType w:val="hybridMultilevel"/>
    <w:lvl w:ilvl="0">
      <w:lvlJc w:val="left"/>
      <w:lvlText w:val="(%1)"/>
      <w:numFmt w:val="decimal"/>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
      <w:numFmt w:val="bullet"/>
      <w:start w:val="1"/>
    </w:lvl>
  </w:abstractNum>
  <w:abstractNum w:abstractNumId="29">
    <w:nsid w:val="542289EC"/>
    <w:multiLevelType w:val="hybridMultilevel"/>
    <w:lvl w:ilvl="0">
      <w:lvlJc w:val="left"/>
      <w:lvlText w:val="•"/>
      <w:numFmt w:val="bullet"/>
      <w:start w:val="1"/>
    </w:lvl>
  </w:abstractNum>
  <w:abstractNum w:abstractNumId="30">
    <w:nsid w:val="6DE91B18"/>
    <w:multiLevelType w:val="hybridMultilevel"/>
    <w:lvl w:ilvl="0">
      <w:lvlJc w:val="left"/>
      <w:lvlText w:val="•"/>
      <w:numFmt w:val="bullet"/>
      <w:start w:val="1"/>
    </w:lvl>
  </w:abstractNum>
  <w:abstractNum w:abstractNumId="31">
    <w:nsid w:val="38437FDB"/>
    <w:multiLevelType w:val="hybridMultilevel"/>
    <w:lvl w:ilvl="0">
      <w:lvlJc w:val="left"/>
      <w:lvlText w:val="(%1)"/>
      <w:numFmt w:val="decimal"/>
      <w:start w:val="1"/>
    </w:lvl>
  </w:abstractNum>
  <w:abstractNum w:abstractNumId="32">
    <w:nsid w:val="7644A45C"/>
    <w:multiLevelType w:val="hybridMultilevel"/>
    <w:lvl w:ilvl="0">
      <w:lvlJc w:val="left"/>
      <w:lvlText w:val="•"/>
      <w:numFmt w:val="bullet"/>
      <w:start w:val="1"/>
    </w:lvl>
  </w:abstractNum>
  <w:abstractNum w:abstractNumId="33">
    <w:nsid w:val="32FFF902"/>
    <w:multiLevelType w:val="hybridMultilevel"/>
    <w:lvl w:ilvl="0">
      <w:lvlJc w:val="left"/>
      <w:lvlText w:val="(%1)"/>
      <w:numFmt w:val="decimal"/>
      <w:start w:val="1"/>
    </w:lvl>
  </w:abstractNum>
  <w:abstractNum w:abstractNumId="34">
    <w:nsid w:val="684A481A"/>
    <w:multiLevelType w:val="hybridMultilevel"/>
    <w:lvl w:ilvl="0">
      <w:lvlJc w:val="left"/>
      <w:lvlText w:val="(%1)"/>
      <w:numFmt w:val="decimal"/>
      <w:start w:val="1"/>
    </w:lvl>
  </w:abstractNum>
  <w:abstractNum w:abstractNumId="35">
    <w:nsid w:val="579478FE"/>
    <w:multiLevelType w:val="hybridMultilevel"/>
    <w:lvl w:ilvl="0">
      <w:lvlJc w:val="left"/>
      <w:lvlText w:val="(%1)"/>
      <w:numFmt w:val="decimal"/>
      <w:start w:val="1"/>
    </w:lvl>
  </w:abstractNum>
  <w:abstractNum w:abstractNumId="36">
    <w:nsid w:val="749ABB43"/>
    <w:multiLevelType w:val="hybridMultilevel"/>
    <w:lvl w:ilvl="0">
      <w:lvlJc w:val="left"/>
      <w:lvlText w:val="•"/>
      <w:numFmt w:val="bullet"/>
      <w:start w:val="1"/>
    </w:lvl>
  </w:abstractNum>
  <w:abstractNum w:abstractNumId="37">
    <w:nsid w:val="3DC240FB"/>
    <w:multiLevelType w:val="hybridMultilevel"/>
    <w:lvl w:ilvl="0">
      <w:lvlJc w:val="left"/>
      <w:lvlText w:val="•"/>
      <w:numFmt w:val="bullet"/>
      <w:start w:val="1"/>
    </w:lvl>
  </w:abstractNum>
  <w:abstractNum w:abstractNumId="38">
    <w:nsid w:val="1BA026FA"/>
    <w:multiLevelType w:val="hybridMultilevel"/>
    <w:lvl w:ilvl="0">
      <w:lvlJc w:val="left"/>
      <w:lvlText w:val="•"/>
      <w:numFmt w:val="bullet"/>
      <w:start w:val="1"/>
    </w:lvl>
  </w:abstractNum>
  <w:abstractNum w:abstractNumId="39">
    <w:nsid w:val="79A1DEAA"/>
    <w:multiLevelType w:val="hybridMultilevel"/>
    <w:lvl w:ilvl="0">
      <w:lvlJc w:val="left"/>
      <w:lvlText w:val="•"/>
      <w:numFmt w:val="bullet"/>
      <w:start w:val="1"/>
    </w:lvl>
  </w:abstractNum>
  <w:abstractNum w:abstractNumId="40">
    <w:nsid w:val="75C6C33A"/>
    <w:multiLevelType w:val="hybridMultilevel"/>
    <w:lvl w:ilvl="0">
      <w:lvlJc w:val="left"/>
      <w:lvlText w:val="•"/>
      <w:numFmt w:val="bullet"/>
      <w:start w:val="1"/>
    </w:lvl>
  </w:abstractNum>
  <w:abstractNum w:abstractNumId="41">
    <w:nsid w:val="12E685FB"/>
    <w:multiLevelType w:val="hybridMultilevel"/>
    <w:lvl w:ilvl="0">
      <w:lvlJc w:val="left"/>
      <w:lvlText w:val="•"/>
      <w:numFmt w:val="bullet"/>
      <w:start w:val="1"/>
    </w:lvl>
  </w:abstractNum>
  <w:abstractNum w:abstractNumId="42">
    <w:nsid w:val="70C6A529"/>
    <w:multiLevelType w:val="hybridMultilevel"/>
    <w:lvl w:ilvl="0">
      <w:lvlJc w:val="left"/>
      <w:lvlText w:val="•"/>
      <w:numFmt w:val="bullet"/>
      <w:start w:val="1"/>
    </w:lvl>
  </w:abstractNum>
  <w:abstractNum w:abstractNumId="43">
    <w:nsid w:val="520EEDD1"/>
    <w:multiLevelType w:val="hybridMultilevel"/>
    <w:lvl w:ilvl="0">
      <w:lvlJc w:val="left"/>
      <w:lvlText w:val="(%1)"/>
      <w:numFmt w:val="decimal"/>
      <w:start w:val="1"/>
    </w:lvl>
  </w:abstractNum>
  <w:abstractNum w:abstractNumId="44">
    <w:nsid w:val="374A3FE6"/>
    <w:multiLevelType w:val="hybridMultilevel"/>
    <w:lvl w:ilvl="0">
      <w:lvlJc w:val="left"/>
      <w:lvlText w:val="(%1)"/>
      <w:numFmt w:val="decimal"/>
      <w:start w:val="1"/>
    </w:lvl>
  </w:abstractNum>
  <w:abstractNum w:abstractNumId="45">
    <w:nsid w:val="4F4EF005"/>
    <w:multiLevelType w:val="hybridMultilevel"/>
    <w:lvl w:ilvl="0">
      <w:lvlJc w:val="left"/>
      <w:lvlText w:val="(%1)"/>
      <w:numFmt w:val="decimal"/>
      <w:start w:val="1"/>
    </w:lvl>
  </w:abstractNum>
  <w:abstractNum w:abstractNumId="46">
    <w:nsid w:val="23F9C13C"/>
    <w:multiLevelType w:val="hybridMultilevel"/>
    <w:lvl w:ilvl="0">
      <w:lvlJc w:val="left"/>
      <w:lvlText w:val="(%1)"/>
      <w:numFmt w:val="decimal"/>
      <w:start w:val="1"/>
    </w:lvl>
  </w:abstractNum>
  <w:abstractNum w:abstractNumId="47">
    <w:nsid w:val="649BB77C"/>
    <w:multiLevelType w:val="hybridMultilevel"/>
    <w:lvl w:ilvl="0">
      <w:lvlJc w:val="left"/>
      <w:lvlText w:val="•"/>
      <w:numFmt w:val="bullet"/>
      <w:start w:val="1"/>
    </w:lvl>
  </w:abstractNum>
  <w:abstractNum w:abstractNumId="48">
    <w:nsid w:val="275AC794"/>
    <w:multiLevelType w:val="hybridMultilevel"/>
    <w:lvl w:ilvl="0">
      <w:lvlJc w:val="left"/>
      <w:lvlText w:val="(%1)"/>
      <w:numFmt w:val="decimal"/>
      <w:start w:val="1"/>
    </w:lvl>
  </w:abstractNum>
  <w:abstractNum w:abstractNumId="49">
    <w:nsid w:val="39386575"/>
    <w:multiLevelType w:val="hybridMultilevel"/>
    <w:lvl w:ilvl="0">
      <w:lvlJc w:val="left"/>
      <w:lvlText w:val="(%1)"/>
      <w:numFmt w:val="decimal"/>
      <w:start w:val="1"/>
    </w:lvl>
  </w:abstractNum>
  <w:abstractNum w:abstractNumId="50">
    <w:nsid w:val="1CF10FD8"/>
    <w:multiLevelType w:val="hybridMultilevel"/>
    <w:lvl w:ilvl="0">
      <w:lvlJc w:val="left"/>
      <w:lvlText w:val="(%1)"/>
      <w:numFmt w:val="decimal"/>
      <w:start w:val="1"/>
    </w:lvl>
  </w:abstractNum>
  <w:abstractNum w:abstractNumId="51">
    <w:nsid w:val="180115BE"/>
    <w:multiLevelType w:val="hybridMultilevel"/>
    <w:lvl w:ilvl="0">
      <w:lvlJc w:val="left"/>
      <w:lvlText w:val="(%1)"/>
      <w:numFmt w:val="decimal"/>
      <w:start w:val="1"/>
    </w:lvl>
  </w:abstractNum>
  <w:abstractNum w:abstractNumId="52">
    <w:nsid w:val="235BA861"/>
    <w:multiLevelType w:val="hybridMultilevel"/>
    <w:lvl w:ilvl="0">
      <w:lvlJc w:val="left"/>
      <w:lvlText w:val="•"/>
      <w:numFmt w:val="bullet"/>
      <w:start w:val="1"/>
    </w:lvl>
  </w:abstractNum>
  <w:abstractNum w:abstractNumId="53">
    <w:nsid w:val="47398C89"/>
    <w:multiLevelType w:val="hybridMultilevel"/>
    <w:lvl w:ilvl="0">
      <w:lvlJc w:val="left"/>
      <w:lvlText w:val="(%1)"/>
      <w:numFmt w:val="decimal"/>
      <w:start w:val="1"/>
    </w:lvl>
  </w:abstractNum>
  <w:abstractNum w:abstractNumId="54">
    <w:nsid w:val="354FE9F9"/>
    <w:multiLevelType w:val="hybridMultilevel"/>
    <w:lvl w:ilvl="0">
      <w:lvlJc w:val="left"/>
      <w:lvlText w:val="(%1)"/>
      <w:numFmt w:val="lowerLetter"/>
      <w:start w:val="1"/>
    </w:lvl>
  </w:abstractNum>
  <w:abstractNum w:abstractNumId="55">
    <w:nsid w:val="15B5AF5C"/>
    <w:multiLevelType w:val="hybridMultilevel"/>
    <w:lvl w:ilvl="0">
      <w:lvlJc w:val="left"/>
      <w:lvlText w:val="(%1)"/>
      <w:numFmt w:val="lowerLetter"/>
      <w:start w:val="3"/>
    </w:lvl>
  </w:abstractNum>
  <w:abstractNum w:abstractNumId="56">
    <w:nsid w:val="741226BB"/>
    <w:multiLevelType w:val="hybridMultilevel"/>
    <w:lvl w:ilvl="0">
      <w:lvlJc w:val="left"/>
      <w:lvlText w:val="(%1)"/>
      <w:numFmt w:val="decimal"/>
      <w:start w:val="7"/>
    </w:lvl>
  </w:abstractNum>
  <w:abstractNum w:abstractNumId="57">
    <w:nsid w:val="D34B6A8"/>
    <w:multiLevelType w:val="hybridMultilevel"/>
    <w:lvl w:ilvl="0">
      <w:lvlJc w:val="left"/>
      <w:lvlText w:val="(%1)"/>
      <w:numFmt w:val="lowerLetter"/>
      <w:start w:val="23"/>
    </w:lvl>
  </w:abstractNum>
  <w:abstractNum w:abstractNumId="58">
    <w:nsid w:val="10233C99"/>
    <w:multiLevelType w:val="hybridMultilevel"/>
    <w:lvl w:ilvl="0">
      <w:lvlJc w:val="left"/>
      <w:lvlText w:val="(%1)"/>
      <w:numFmt w:val="lowerLetter"/>
      <w:start w:val="25"/>
    </w:lvl>
  </w:abstractNum>
  <w:abstractNum w:abstractNumId="59">
    <w:nsid w:val="3F6AB60F"/>
    <w:multiLevelType w:val="hybridMultilevel"/>
    <w:lvl w:ilvl="0">
      <w:lvlJc w:val="left"/>
      <w:lvlText w:val="•"/>
      <w:numFmt w:val="bullet"/>
      <w:start w:val="1"/>
    </w:lvl>
  </w:abstractNum>
  <w:abstractNum w:abstractNumId="60">
    <w:nsid w:val="61574095"/>
    <w:multiLevelType w:val="hybridMultilevel"/>
    <w:lvl w:ilvl="0">
      <w:lvlJc w:val="left"/>
      <w:lvlText w:val="•"/>
      <w:numFmt w:val="bullet"/>
      <w:start w:val="1"/>
    </w:lvl>
  </w:abstractNum>
  <w:abstractNum w:abstractNumId="61">
    <w:nsid w:val="7E0C57B1"/>
    <w:multiLevelType w:val="hybridMultilevel"/>
    <w:lvl w:ilvl="0">
      <w:lvlJc w:val="left"/>
      <w:lvlText w:val="(%1)"/>
      <w:numFmt w:val="decimal"/>
      <w:start w:val="1"/>
    </w:lvl>
  </w:abstractNum>
  <w:abstractNum w:abstractNumId="62">
    <w:nsid w:val="77AE35E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jpe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jpeg"/><Relationship Id="rId253" Type="http://schemas.openxmlformats.org/officeDocument/2006/relationships/image" Target="media/image246.jpeg"/><Relationship Id="rId254" Type="http://schemas.openxmlformats.org/officeDocument/2006/relationships/image" Target="media/image247.jpe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jpeg"/><Relationship Id="rId325" Type="http://schemas.openxmlformats.org/officeDocument/2006/relationships/image" Target="media/image318.jpeg"/><Relationship Id="rId326" Type="http://schemas.openxmlformats.org/officeDocument/2006/relationships/image" Target="media/image319.jpeg"/><Relationship Id="rId327" Type="http://schemas.openxmlformats.org/officeDocument/2006/relationships/image" Target="media/image320.jpeg"/><Relationship Id="rId328" Type="http://schemas.openxmlformats.org/officeDocument/2006/relationships/image" Target="media/image321.jpeg"/><Relationship Id="rId329" Type="http://schemas.openxmlformats.org/officeDocument/2006/relationships/image" Target="media/image322.jpeg"/><Relationship Id="rId330" Type="http://schemas.openxmlformats.org/officeDocument/2006/relationships/image" Target="media/image323.jpeg"/><Relationship Id="rId331" Type="http://schemas.openxmlformats.org/officeDocument/2006/relationships/image" Target="media/image324.jpeg"/><Relationship Id="rId332" Type="http://schemas.openxmlformats.org/officeDocument/2006/relationships/image" Target="media/image325.jpe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jpe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jpe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jpeg"/><Relationship Id="rId356" Type="http://schemas.openxmlformats.org/officeDocument/2006/relationships/image" Target="media/image349.jpe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jpeg"/><Relationship Id="rId370" Type="http://schemas.openxmlformats.org/officeDocument/2006/relationships/image" Target="media/image363.jpe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jpe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jpe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jpeg"/><Relationship Id="rId397" Type="http://schemas.openxmlformats.org/officeDocument/2006/relationships/image" Target="media/image390.jpeg"/><Relationship Id="rId398" Type="http://schemas.openxmlformats.org/officeDocument/2006/relationships/image" Target="media/image391.jpeg"/><Relationship Id="rId399" Type="http://schemas.openxmlformats.org/officeDocument/2006/relationships/image" Target="media/image392.jpeg"/><Relationship Id="rId400" Type="http://schemas.openxmlformats.org/officeDocument/2006/relationships/image" Target="media/image393.jpeg"/><Relationship Id="rId401" Type="http://schemas.openxmlformats.org/officeDocument/2006/relationships/image" Target="media/image394.jpeg"/><Relationship Id="rId402" Type="http://schemas.openxmlformats.org/officeDocument/2006/relationships/image" Target="media/image395.jpeg"/><Relationship Id="rId403" Type="http://schemas.openxmlformats.org/officeDocument/2006/relationships/image" Target="media/image396.jpeg"/><Relationship Id="rId404" Type="http://schemas.openxmlformats.org/officeDocument/2006/relationships/image" Target="media/image397.jpeg"/><Relationship Id="rId405" Type="http://schemas.openxmlformats.org/officeDocument/2006/relationships/image" Target="media/image398.jpeg"/><Relationship Id="rId406" Type="http://schemas.openxmlformats.org/officeDocument/2006/relationships/image" Target="media/image399.png"/><Relationship Id="rId407" Type="http://schemas.openxmlformats.org/officeDocument/2006/relationships/image" Target="media/image400.jpe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jpeg"/><Relationship Id="rId411" Type="http://schemas.openxmlformats.org/officeDocument/2006/relationships/image" Target="media/image404.jpe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jpe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jpeg"/><Relationship Id="rId481" Type="http://schemas.openxmlformats.org/officeDocument/2006/relationships/image" Target="media/image474.jpeg"/><Relationship Id="rId482" Type="http://schemas.openxmlformats.org/officeDocument/2006/relationships/image" Target="media/image475.png"/><Relationship Id="rId483" Type="http://schemas.openxmlformats.org/officeDocument/2006/relationships/image" Target="media/image476.jpeg"/><Relationship Id="rId484" Type="http://schemas.openxmlformats.org/officeDocument/2006/relationships/image" Target="media/image477.jpeg"/><Relationship Id="rId485" Type="http://schemas.openxmlformats.org/officeDocument/2006/relationships/image" Target="media/image478.png"/><Relationship Id="rId486" Type="http://schemas.openxmlformats.org/officeDocument/2006/relationships/image" Target="media/image479.jpeg"/><Relationship Id="rId487" Type="http://schemas.openxmlformats.org/officeDocument/2006/relationships/image" Target="media/image480.jpeg"/><Relationship Id="rId488" Type="http://schemas.openxmlformats.org/officeDocument/2006/relationships/image" Target="media/image481.jpeg"/><Relationship Id="rId489" Type="http://schemas.openxmlformats.org/officeDocument/2006/relationships/image" Target="media/image482.jpeg"/><Relationship Id="rId490" Type="http://schemas.openxmlformats.org/officeDocument/2006/relationships/image" Target="media/image483.jpeg"/><Relationship Id="rId491" Type="http://schemas.openxmlformats.org/officeDocument/2006/relationships/image" Target="media/image484.jpeg"/><Relationship Id="rId492" Type="http://schemas.openxmlformats.org/officeDocument/2006/relationships/image" Target="media/image485.jpeg"/><Relationship Id="rId493" Type="http://schemas.openxmlformats.org/officeDocument/2006/relationships/image" Target="media/image486.jpeg"/><Relationship Id="rId494" Type="http://schemas.openxmlformats.org/officeDocument/2006/relationships/image" Target="media/image487.jpeg"/><Relationship Id="rId495" Type="http://schemas.openxmlformats.org/officeDocument/2006/relationships/image" Target="media/image488.jpeg"/><Relationship Id="rId496" Type="http://schemas.openxmlformats.org/officeDocument/2006/relationships/image" Target="media/image489.jpeg"/><Relationship Id="rId497" Type="http://schemas.openxmlformats.org/officeDocument/2006/relationships/image" Target="media/image490.jpeg"/><Relationship Id="rId498" Type="http://schemas.openxmlformats.org/officeDocument/2006/relationships/image" Target="media/image491.jpeg"/><Relationship Id="rId499" Type="http://schemas.openxmlformats.org/officeDocument/2006/relationships/image" Target="media/image492.jpeg"/><Relationship Id="rId500" Type="http://schemas.openxmlformats.org/officeDocument/2006/relationships/image" Target="media/image493.jpe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jpeg"/><Relationship Id="rId504" Type="http://schemas.openxmlformats.org/officeDocument/2006/relationships/image" Target="media/image497.png"/><Relationship Id="rId505" Type="http://schemas.openxmlformats.org/officeDocument/2006/relationships/image" Target="media/image498.jpe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jpe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jpe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jpeg"/><Relationship Id="rId1401" Type="http://schemas.openxmlformats.org/officeDocument/2006/relationships/image" Target="media/image1394.jpeg"/><Relationship Id="rId1402" Type="http://schemas.openxmlformats.org/officeDocument/2006/relationships/image" Target="media/image1395.jpeg"/><Relationship Id="rId1403" Type="http://schemas.openxmlformats.org/officeDocument/2006/relationships/image" Target="media/image1396.jpeg"/><Relationship Id="rId1404" Type="http://schemas.openxmlformats.org/officeDocument/2006/relationships/image" Target="media/image1397.jpeg"/><Relationship Id="rId1405" Type="http://schemas.openxmlformats.org/officeDocument/2006/relationships/image" Target="media/image1398.png"/><Relationship Id="rId1406" Type="http://schemas.openxmlformats.org/officeDocument/2006/relationships/image" Target="media/image1399.jpeg"/><Relationship Id="rId1407" Type="http://schemas.openxmlformats.org/officeDocument/2006/relationships/image" Target="media/image1400.jpeg"/><Relationship Id="rId1408" Type="http://schemas.openxmlformats.org/officeDocument/2006/relationships/image" Target="media/image1401.png"/><Relationship Id="rId1409" Type="http://schemas.openxmlformats.org/officeDocument/2006/relationships/image" Target="media/image1402.jpe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jpeg"/><Relationship Id="rId1413" Type="http://schemas.openxmlformats.org/officeDocument/2006/relationships/image" Target="media/image1406.png"/><Relationship Id="rId1414" Type="http://schemas.openxmlformats.org/officeDocument/2006/relationships/image" Target="media/image1407.jpeg"/><Relationship Id="rId1415" Type="http://schemas.openxmlformats.org/officeDocument/2006/relationships/image" Target="media/image1408.jpeg"/><Relationship Id="rId1416" Type="http://schemas.openxmlformats.org/officeDocument/2006/relationships/image" Target="media/image1409.jpeg"/><Relationship Id="rId1417" Type="http://schemas.openxmlformats.org/officeDocument/2006/relationships/image" Target="media/image1410.png"/><Relationship Id="rId1418" Type="http://schemas.openxmlformats.org/officeDocument/2006/relationships/image" Target="media/image1411.jpeg"/><Relationship Id="rId1419" Type="http://schemas.openxmlformats.org/officeDocument/2006/relationships/image" Target="media/image1412.png"/><Relationship Id="rId1420" Type="http://schemas.openxmlformats.org/officeDocument/2006/relationships/image" Target="media/image1413.jpeg"/><Relationship Id="rId1421" Type="http://schemas.openxmlformats.org/officeDocument/2006/relationships/image" Target="media/image1414.png"/><Relationship Id="rId1422" Type="http://schemas.openxmlformats.org/officeDocument/2006/relationships/image" Target="media/image1415.jpeg"/><Relationship Id="rId1423" Type="http://schemas.openxmlformats.org/officeDocument/2006/relationships/image" Target="media/image1416.jpe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jpeg"/><Relationship Id="rId1427" Type="http://schemas.openxmlformats.org/officeDocument/2006/relationships/image" Target="media/image1420.png"/><Relationship Id="rId1428" Type="http://schemas.openxmlformats.org/officeDocument/2006/relationships/image" Target="media/image1421.jpeg"/><Relationship Id="rId1429" Type="http://schemas.openxmlformats.org/officeDocument/2006/relationships/image" Target="media/image1422.png"/><Relationship Id="rId1430" Type="http://schemas.openxmlformats.org/officeDocument/2006/relationships/image" Target="media/image1423.jpeg"/><Relationship Id="rId1431" Type="http://schemas.openxmlformats.org/officeDocument/2006/relationships/image" Target="media/image1424.png"/><Relationship Id="rId1432" Type="http://schemas.openxmlformats.org/officeDocument/2006/relationships/image" Target="media/image1425.jpeg"/><Relationship Id="rId1433" Type="http://schemas.openxmlformats.org/officeDocument/2006/relationships/image" Target="media/image1426.jpe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jpeg"/><Relationship Id="rId1449" Type="http://schemas.openxmlformats.org/officeDocument/2006/relationships/image" Target="media/image1442.jpeg"/><Relationship Id="rId1450" Type="http://schemas.openxmlformats.org/officeDocument/2006/relationships/image" Target="media/image1443.jpeg"/><Relationship Id="rId1451" Type="http://schemas.openxmlformats.org/officeDocument/2006/relationships/image" Target="media/image1444.jpe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jpeg"/><Relationship Id="rId1455" Type="http://schemas.openxmlformats.org/officeDocument/2006/relationships/image" Target="media/image1448.jpeg"/><Relationship Id="rId1456" Type="http://schemas.openxmlformats.org/officeDocument/2006/relationships/image" Target="media/image1449.jpeg"/><Relationship Id="rId1457" Type="http://schemas.openxmlformats.org/officeDocument/2006/relationships/image" Target="media/image1450.jpe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jpe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jpe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jpe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jpe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jpe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jpe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jpe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png"/><Relationship Id="rId1529" Type="http://schemas.openxmlformats.org/officeDocument/2006/relationships/image" Target="media/image1522.pn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png"/><Relationship Id="rId1535" Type="http://schemas.openxmlformats.org/officeDocument/2006/relationships/image" Target="media/image1528.png"/><Relationship Id="rId1536" Type="http://schemas.openxmlformats.org/officeDocument/2006/relationships/image" Target="media/image1529.png"/><Relationship Id="rId1537" Type="http://schemas.openxmlformats.org/officeDocument/2006/relationships/image" Target="media/image1530.png"/><Relationship Id="rId1538" Type="http://schemas.openxmlformats.org/officeDocument/2006/relationships/image" Target="media/image1531.png"/><Relationship Id="rId1539" Type="http://schemas.openxmlformats.org/officeDocument/2006/relationships/image" Target="media/image1532.png"/><Relationship Id="rId1540" Type="http://schemas.openxmlformats.org/officeDocument/2006/relationships/image" Target="media/image1533.png"/><Relationship Id="rId1541" Type="http://schemas.openxmlformats.org/officeDocument/2006/relationships/image" Target="media/image1534.png"/><Relationship Id="rId1542" Type="http://schemas.openxmlformats.org/officeDocument/2006/relationships/image" Target="media/image1535.png"/><Relationship Id="rId1543" Type="http://schemas.openxmlformats.org/officeDocument/2006/relationships/image" Target="media/image1536.png"/><Relationship Id="rId1544" Type="http://schemas.openxmlformats.org/officeDocument/2006/relationships/image" Target="media/image1537.png"/><Relationship Id="rId1545" Type="http://schemas.openxmlformats.org/officeDocument/2006/relationships/image" Target="media/image1538.png"/><Relationship Id="rId1546" Type="http://schemas.openxmlformats.org/officeDocument/2006/relationships/image" Target="media/image1539.png"/><Relationship Id="rId1547" Type="http://schemas.openxmlformats.org/officeDocument/2006/relationships/image" Target="media/image1540.png"/><Relationship Id="rId1548" Type="http://schemas.openxmlformats.org/officeDocument/2006/relationships/image" Target="media/image1541.png"/><Relationship Id="rId1549" Type="http://schemas.openxmlformats.org/officeDocument/2006/relationships/image" Target="media/image1542.png"/><Relationship Id="rId1550" Type="http://schemas.openxmlformats.org/officeDocument/2006/relationships/image" Target="media/image1543.png"/><Relationship Id="rId1551" Type="http://schemas.openxmlformats.org/officeDocument/2006/relationships/image" Target="media/image1544.png"/><Relationship Id="rId1552" Type="http://schemas.openxmlformats.org/officeDocument/2006/relationships/image" Target="media/image1545.png"/><Relationship Id="rId1553" Type="http://schemas.openxmlformats.org/officeDocument/2006/relationships/image" Target="media/image1546.png"/><Relationship Id="rId1554" Type="http://schemas.openxmlformats.org/officeDocument/2006/relationships/image" Target="media/image1547.png"/><Relationship Id="rId1555" Type="http://schemas.openxmlformats.org/officeDocument/2006/relationships/image" Target="media/image1548.png"/><Relationship Id="rId1556" Type="http://schemas.openxmlformats.org/officeDocument/2006/relationships/image" Target="media/image1549.png"/><Relationship Id="rId1557" Type="http://schemas.openxmlformats.org/officeDocument/2006/relationships/image" Target="media/image1550.png"/><Relationship Id="rId1558" Type="http://schemas.openxmlformats.org/officeDocument/2006/relationships/image" Target="media/image1551.jpeg"/><Relationship Id="rId1559" Type="http://schemas.openxmlformats.org/officeDocument/2006/relationships/image" Target="media/image1552.png"/><Relationship Id="rId1560" Type="http://schemas.openxmlformats.org/officeDocument/2006/relationships/image" Target="media/image1553.png"/><Relationship Id="rId1561" Type="http://schemas.openxmlformats.org/officeDocument/2006/relationships/image" Target="media/image1554.png"/><Relationship Id="rId1562" Type="http://schemas.openxmlformats.org/officeDocument/2006/relationships/image" Target="media/image1555.png"/><Relationship Id="rId1563" Type="http://schemas.openxmlformats.org/officeDocument/2006/relationships/image" Target="media/image1556.png"/><Relationship Id="rId1564" Type="http://schemas.openxmlformats.org/officeDocument/2006/relationships/image" Target="media/image1557.png"/><Relationship Id="rId1565" Type="http://schemas.openxmlformats.org/officeDocument/2006/relationships/image" Target="media/image1558.png"/><Relationship Id="rId1566" Type="http://schemas.openxmlformats.org/officeDocument/2006/relationships/image" Target="media/image1559.png"/><Relationship Id="rId1567" Type="http://schemas.openxmlformats.org/officeDocument/2006/relationships/image" Target="media/image1560.png"/><Relationship Id="rId1568" Type="http://schemas.openxmlformats.org/officeDocument/2006/relationships/image" Target="media/image1561.png"/><Relationship Id="rId1569" Type="http://schemas.openxmlformats.org/officeDocument/2006/relationships/image" Target="media/image1562.jpeg"/><Relationship Id="rId1570" Type="http://schemas.openxmlformats.org/officeDocument/2006/relationships/image" Target="media/image1563.png"/><Relationship Id="rId1571" Type="http://schemas.openxmlformats.org/officeDocument/2006/relationships/image" Target="media/image1564.png"/><Relationship Id="rId1572" Type="http://schemas.openxmlformats.org/officeDocument/2006/relationships/image" Target="media/image1565.png"/><Relationship Id="rId1573" Type="http://schemas.openxmlformats.org/officeDocument/2006/relationships/image" Target="media/image1566.png"/><Relationship Id="rId1574" Type="http://schemas.openxmlformats.org/officeDocument/2006/relationships/image" Target="media/image1567.png"/><Relationship Id="rId1575" Type="http://schemas.openxmlformats.org/officeDocument/2006/relationships/image" Target="media/image1568.png"/><Relationship Id="rId1576" Type="http://schemas.openxmlformats.org/officeDocument/2006/relationships/image" Target="media/image1569.png"/><Relationship Id="rId1577" Type="http://schemas.openxmlformats.org/officeDocument/2006/relationships/image" Target="media/image1570.png"/><Relationship Id="rId1578" Type="http://schemas.openxmlformats.org/officeDocument/2006/relationships/image" Target="media/image1571.png"/><Relationship Id="rId1579" Type="http://schemas.openxmlformats.org/officeDocument/2006/relationships/image" Target="media/image1572.jpeg"/><Relationship Id="rId1580" Type="http://schemas.openxmlformats.org/officeDocument/2006/relationships/image" Target="media/image1573.png"/><Relationship Id="rId1581" Type="http://schemas.openxmlformats.org/officeDocument/2006/relationships/image" Target="media/image1574.png"/><Relationship Id="rId1582" Type="http://schemas.openxmlformats.org/officeDocument/2006/relationships/image" Target="media/image1575.png"/><Relationship Id="rId1583" Type="http://schemas.openxmlformats.org/officeDocument/2006/relationships/image" Target="media/image1576.png"/><Relationship Id="rId1584" Type="http://schemas.openxmlformats.org/officeDocument/2006/relationships/image" Target="media/image1577.png"/><Relationship Id="rId1585" Type="http://schemas.openxmlformats.org/officeDocument/2006/relationships/image" Target="media/image1578.png"/><Relationship Id="rId1586" Type="http://schemas.openxmlformats.org/officeDocument/2006/relationships/image" Target="media/image1579.png"/><Relationship Id="rId1587" Type="http://schemas.openxmlformats.org/officeDocument/2006/relationships/image" Target="media/image1580.png"/><Relationship Id="rId1588" Type="http://schemas.openxmlformats.org/officeDocument/2006/relationships/image" Target="media/image1581.png"/><Relationship Id="rId1589" Type="http://schemas.openxmlformats.org/officeDocument/2006/relationships/image" Target="media/image1582.png"/><Relationship Id="rId1590" Type="http://schemas.openxmlformats.org/officeDocument/2006/relationships/image" Target="media/image1583.png"/><Relationship Id="rId1591" Type="http://schemas.openxmlformats.org/officeDocument/2006/relationships/image" Target="media/image1584.png"/><Relationship Id="rId1592" Type="http://schemas.openxmlformats.org/officeDocument/2006/relationships/image" Target="media/image1585.png"/><Relationship Id="rId1593" Type="http://schemas.openxmlformats.org/officeDocument/2006/relationships/image" Target="media/image1586.png"/><Relationship Id="rId1594" Type="http://schemas.openxmlformats.org/officeDocument/2006/relationships/image" Target="media/image1587.jpeg"/><Relationship Id="rId1595" Type="http://schemas.openxmlformats.org/officeDocument/2006/relationships/image" Target="media/image1588.jpeg"/><Relationship Id="rId1596" Type="http://schemas.openxmlformats.org/officeDocument/2006/relationships/image" Target="media/image1589.png"/><Relationship Id="rId1597" Type="http://schemas.openxmlformats.org/officeDocument/2006/relationships/image" Target="media/image1590.png"/><Relationship Id="rId1598" Type="http://schemas.openxmlformats.org/officeDocument/2006/relationships/image" Target="media/image1591.png"/><Relationship Id="rId1599" Type="http://schemas.openxmlformats.org/officeDocument/2006/relationships/image" Target="media/image1592.png"/><Relationship Id="rId1600" Type="http://schemas.openxmlformats.org/officeDocument/2006/relationships/image" Target="media/image1593.png"/><Relationship Id="rId1601" Type="http://schemas.openxmlformats.org/officeDocument/2006/relationships/image" Target="media/image1594.png"/><Relationship Id="rId1602" Type="http://schemas.openxmlformats.org/officeDocument/2006/relationships/image" Target="media/image1595.png"/><Relationship Id="rId1603" Type="http://schemas.openxmlformats.org/officeDocument/2006/relationships/image" Target="media/image1596.png"/><Relationship Id="rId1604" Type="http://schemas.openxmlformats.org/officeDocument/2006/relationships/image" Target="media/image1597.png"/><Relationship Id="rId1605" Type="http://schemas.openxmlformats.org/officeDocument/2006/relationships/image" Target="media/image1598.png"/><Relationship Id="rId1606" Type="http://schemas.openxmlformats.org/officeDocument/2006/relationships/image" Target="media/image1599.png"/><Relationship Id="rId1607" Type="http://schemas.openxmlformats.org/officeDocument/2006/relationships/image" Target="media/image1600.png"/><Relationship Id="rId1608" Type="http://schemas.openxmlformats.org/officeDocument/2006/relationships/image" Target="media/image1601.png"/><Relationship Id="rId1609" Type="http://schemas.openxmlformats.org/officeDocument/2006/relationships/image" Target="media/image1602.png"/><Relationship Id="rId1610" Type="http://schemas.openxmlformats.org/officeDocument/2006/relationships/image" Target="media/image1603.jpeg"/><Relationship Id="rId1611" Type="http://schemas.openxmlformats.org/officeDocument/2006/relationships/image" Target="media/image1604.png"/><Relationship Id="rId1612" Type="http://schemas.openxmlformats.org/officeDocument/2006/relationships/image" Target="media/image1605.png"/><Relationship Id="rId1613" Type="http://schemas.openxmlformats.org/officeDocument/2006/relationships/image" Target="media/image1606.png"/><Relationship Id="rId1614" Type="http://schemas.openxmlformats.org/officeDocument/2006/relationships/image" Target="media/image1607.png"/><Relationship Id="rId1615" Type="http://schemas.openxmlformats.org/officeDocument/2006/relationships/image" Target="media/image1608.png"/><Relationship Id="rId1616" Type="http://schemas.openxmlformats.org/officeDocument/2006/relationships/image" Target="media/image1609.png"/><Relationship Id="rId1617" Type="http://schemas.openxmlformats.org/officeDocument/2006/relationships/image" Target="media/image1610.png"/><Relationship Id="rId1618" Type="http://schemas.openxmlformats.org/officeDocument/2006/relationships/image" Target="media/image1611.png"/><Relationship Id="rId1619" Type="http://schemas.openxmlformats.org/officeDocument/2006/relationships/image" Target="media/image1612.png"/><Relationship Id="rId1620" Type="http://schemas.openxmlformats.org/officeDocument/2006/relationships/image" Target="media/image1613.png"/><Relationship Id="rId1621" Type="http://schemas.openxmlformats.org/officeDocument/2006/relationships/image" Target="media/image1614.png"/><Relationship Id="rId1622" Type="http://schemas.openxmlformats.org/officeDocument/2006/relationships/image" Target="media/image1615.png"/><Relationship Id="rId1623" Type="http://schemas.openxmlformats.org/officeDocument/2006/relationships/image" Target="media/image1616.png"/><Relationship Id="rId1624" Type="http://schemas.openxmlformats.org/officeDocument/2006/relationships/image" Target="media/image1617.png"/><Relationship Id="rId1625" Type="http://schemas.openxmlformats.org/officeDocument/2006/relationships/image" Target="media/image1618.png"/><Relationship Id="rId1626" Type="http://schemas.openxmlformats.org/officeDocument/2006/relationships/image" Target="media/image1619.png"/><Relationship Id="rId1627" Type="http://schemas.openxmlformats.org/officeDocument/2006/relationships/image" Target="media/image1620.png"/><Relationship Id="rId1628" Type="http://schemas.openxmlformats.org/officeDocument/2006/relationships/image" Target="media/image1621.png"/><Relationship Id="rId1629" Type="http://schemas.openxmlformats.org/officeDocument/2006/relationships/image" Target="media/image1622.png"/><Relationship Id="rId1630" Type="http://schemas.openxmlformats.org/officeDocument/2006/relationships/image" Target="media/image1623.png"/><Relationship Id="rId1631" Type="http://schemas.openxmlformats.org/officeDocument/2006/relationships/image" Target="media/image1624.png"/><Relationship Id="rId1632" Type="http://schemas.openxmlformats.org/officeDocument/2006/relationships/image" Target="media/image1625.png"/><Relationship Id="rId1633" Type="http://schemas.openxmlformats.org/officeDocument/2006/relationships/image" Target="media/image1626.png"/><Relationship Id="rId1634" Type="http://schemas.openxmlformats.org/officeDocument/2006/relationships/image" Target="media/image1627.png"/><Relationship Id="rId1635" Type="http://schemas.openxmlformats.org/officeDocument/2006/relationships/image" Target="media/image1628.png"/><Relationship Id="rId1636" Type="http://schemas.openxmlformats.org/officeDocument/2006/relationships/image" Target="media/image1629.png"/><Relationship Id="rId1637" Type="http://schemas.openxmlformats.org/officeDocument/2006/relationships/image" Target="media/image1630.png"/><Relationship Id="rId1638" Type="http://schemas.openxmlformats.org/officeDocument/2006/relationships/image" Target="media/image1631.png"/><Relationship Id="rId1639" Type="http://schemas.openxmlformats.org/officeDocument/2006/relationships/image" Target="media/image1632.png"/><Relationship Id="rId1640" Type="http://schemas.openxmlformats.org/officeDocument/2006/relationships/image" Target="media/image1633.png"/><Relationship Id="rId1641" Type="http://schemas.openxmlformats.org/officeDocument/2006/relationships/image" Target="media/image1634.png"/><Relationship Id="rId1642" Type="http://schemas.openxmlformats.org/officeDocument/2006/relationships/image" Target="media/image1635.png"/><Relationship Id="rId1643" Type="http://schemas.openxmlformats.org/officeDocument/2006/relationships/image" Target="media/image1636.png"/><Relationship Id="rId1644" Type="http://schemas.openxmlformats.org/officeDocument/2006/relationships/image" Target="media/image1637.png"/><Relationship Id="rId1645" Type="http://schemas.openxmlformats.org/officeDocument/2006/relationships/image" Target="media/image1638.png"/><Relationship Id="rId1646" Type="http://schemas.openxmlformats.org/officeDocument/2006/relationships/image" Target="media/image1639.png"/><Relationship Id="rId1647" Type="http://schemas.openxmlformats.org/officeDocument/2006/relationships/image" Target="media/image1640.png"/><Relationship Id="rId1648" Type="http://schemas.openxmlformats.org/officeDocument/2006/relationships/image" Target="media/image1641.png"/><Relationship Id="rId1649" Type="http://schemas.openxmlformats.org/officeDocument/2006/relationships/image" Target="media/image1642.png"/><Relationship Id="rId1650" Type="http://schemas.openxmlformats.org/officeDocument/2006/relationships/image" Target="media/image1643.png"/><Relationship Id="rId1651" Type="http://schemas.openxmlformats.org/officeDocument/2006/relationships/image" Target="media/image1644.png"/><Relationship Id="rId1652" Type="http://schemas.openxmlformats.org/officeDocument/2006/relationships/image" Target="media/image1645.png"/><Relationship Id="rId1653" Type="http://schemas.openxmlformats.org/officeDocument/2006/relationships/image" Target="media/image1646.png"/><Relationship Id="rId1654" Type="http://schemas.openxmlformats.org/officeDocument/2006/relationships/image" Target="media/image1647.png"/><Relationship Id="rId1655" Type="http://schemas.openxmlformats.org/officeDocument/2006/relationships/image" Target="media/image1648.png"/><Relationship Id="rId1656" Type="http://schemas.openxmlformats.org/officeDocument/2006/relationships/image" Target="media/image1649.png"/><Relationship Id="rId1657" Type="http://schemas.openxmlformats.org/officeDocument/2006/relationships/image" Target="media/image1650.png"/><Relationship Id="rId1658" Type="http://schemas.openxmlformats.org/officeDocument/2006/relationships/image" Target="media/image1651.png"/><Relationship Id="rId1659" Type="http://schemas.openxmlformats.org/officeDocument/2006/relationships/image" Target="media/image1652.png"/><Relationship Id="rId1660" Type="http://schemas.openxmlformats.org/officeDocument/2006/relationships/image" Target="media/image1653.png"/><Relationship Id="rId1661" Type="http://schemas.openxmlformats.org/officeDocument/2006/relationships/image" Target="media/image1654.png"/><Relationship Id="rId1662" Type="http://schemas.openxmlformats.org/officeDocument/2006/relationships/image" Target="media/image1655.png"/><Relationship Id="rId1663" Type="http://schemas.openxmlformats.org/officeDocument/2006/relationships/image" Target="media/image1656.png"/><Relationship Id="rId1664" Type="http://schemas.openxmlformats.org/officeDocument/2006/relationships/image" Target="media/image1657.png"/><Relationship Id="rId1665" Type="http://schemas.openxmlformats.org/officeDocument/2006/relationships/image" Target="media/image1658.png"/><Relationship Id="rId1666" Type="http://schemas.openxmlformats.org/officeDocument/2006/relationships/image" Target="media/image1659.png"/><Relationship Id="rId1667" Type="http://schemas.openxmlformats.org/officeDocument/2006/relationships/image" Target="media/image1660.png"/><Relationship Id="rId1668" Type="http://schemas.openxmlformats.org/officeDocument/2006/relationships/image" Target="media/image1661.png"/><Relationship Id="rId1669" Type="http://schemas.openxmlformats.org/officeDocument/2006/relationships/image" Target="media/image1662.png"/><Relationship Id="rId1670" Type="http://schemas.openxmlformats.org/officeDocument/2006/relationships/image" Target="media/image1663.png"/><Relationship Id="rId1671" Type="http://schemas.openxmlformats.org/officeDocument/2006/relationships/image" Target="media/image1664.png"/><Relationship Id="rId1672" Type="http://schemas.openxmlformats.org/officeDocument/2006/relationships/image" Target="media/image1665.png"/><Relationship Id="rId1673" Type="http://schemas.openxmlformats.org/officeDocument/2006/relationships/image" Target="media/image1666.png"/><Relationship Id="rId1674" Type="http://schemas.openxmlformats.org/officeDocument/2006/relationships/image" Target="media/image1667.png"/><Relationship Id="rId1675" Type="http://schemas.openxmlformats.org/officeDocument/2006/relationships/image" Target="media/image1668.png"/><Relationship Id="rId1676" Type="http://schemas.openxmlformats.org/officeDocument/2006/relationships/image" Target="media/image1669.png"/><Relationship Id="rId1677" Type="http://schemas.openxmlformats.org/officeDocument/2006/relationships/image" Target="media/image1670.png"/><Relationship Id="rId1678" Type="http://schemas.openxmlformats.org/officeDocument/2006/relationships/image" Target="media/image1671.png"/><Relationship Id="rId1679" Type="http://schemas.openxmlformats.org/officeDocument/2006/relationships/image" Target="media/image1672.png"/><Relationship Id="rId1680" Type="http://schemas.openxmlformats.org/officeDocument/2006/relationships/image" Target="media/image1673.png"/><Relationship Id="rId1681" Type="http://schemas.openxmlformats.org/officeDocument/2006/relationships/image" Target="media/image1674.png"/><Relationship Id="rId1682" Type="http://schemas.openxmlformats.org/officeDocument/2006/relationships/image" Target="media/image1675.png"/><Relationship Id="rId1683" Type="http://schemas.openxmlformats.org/officeDocument/2006/relationships/image" Target="media/image1676.png"/><Relationship Id="rId1684" Type="http://schemas.openxmlformats.org/officeDocument/2006/relationships/image" Target="media/image1677.png"/><Relationship Id="rId1685" Type="http://schemas.openxmlformats.org/officeDocument/2006/relationships/image" Target="media/image1678.png"/><Relationship Id="rId1686" Type="http://schemas.openxmlformats.org/officeDocument/2006/relationships/image" Target="media/image1679.png"/><Relationship Id="rId1687" Type="http://schemas.openxmlformats.org/officeDocument/2006/relationships/image" Target="media/image1680.png"/><Relationship Id="rId1688" Type="http://schemas.openxmlformats.org/officeDocument/2006/relationships/image" Target="media/image1681.png"/><Relationship Id="rId1689" Type="http://schemas.openxmlformats.org/officeDocument/2006/relationships/image" Target="media/image1682.png"/><Relationship Id="rId1690" Type="http://schemas.openxmlformats.org/officeDocument/2006/relationships/image" Target="media/image1683.png"/><Relationship Id="rId1691" Type="http://schemas.openxmlformats.org/officeDocument/2006/relationships/image" Target="media/image1684.png"/><Relationship Id="rId1692" Type="http://schemas.openxmlformats.org/officeDocument/2006/relationships/image" Target="media/image1685.png"/><Relationship Id="rId1693" Type="http://schemas.openxmlformats.org/officeDocument/2006/relationships/image" Target="media/image1686.png"/><Relationship Id="rId1694" Type="http://schemas.openxmlformats.org/officeDocument/2006/relationships/image" Target="media/image1687.png"/><Relationship Id="rId1695" Type="http://schemas.openxmlformats.org/officeDocument/2006/relationships/image" Target="media/image1688.png"/><Relationship Id="rId1696" Type="http://schemas.openxmlformats.org/officeDocument/2006/relationships/image" Target="media/image1689.png"/><Relationship Id="rId1697" Type="http://schemas.openxmlformats.org/officeDocument/2006/relationships/image" Target="media/image1690.png"/><Relationship Id="rId1698" Type="http://schemas.openxmlformats.org/officeDocument/2006/relationships/image" Target="media/image1691.png"/><Relationship Id="rId1699" Type="http://schemas.openxmlformats.org/officeDocument/2006/relationships/image" Target="media/image1692.png"/><Relationship Id="rId1700" Type="http://schemas.openxmlformats.org/officeDocument/2006/relationships/image" Target="media/image1693.png"/><Relationship Id="rId1701" Type="http://schemas.openxmlformats.org/officeDocument/2006/relationships/image" Target="media/image1694.png"/><Relationship Id="rId1702" Type="http://schemas.openxmlformats.org/officeDocument/2006/relationships/image" Target="media/image1695.png"/><Relationship Id="rId1703" Type="http://schemas.openxmlformats.org/officeDocument/2006/relationships/image" Target="media/image1696.png"/><Relationship Id="rId1704" Type="http://schemas.openxmlformats.org/officeDocument/2006/relationships/image" Target="media/image1697.png"/><Relationship Id="rId1705" Type="http://schemas.openxmlformats.org/officeDocument/2006/relationships/image" Target="media/image1698.png"/><Relationship Id="rId1706" Type="http://schemas.openxmlformats.org/officeDocument/2006/relationships/image" Target="media/image1699.png"/><Relationship Id="rId1707" Type="http://schemas.openxmlformats.org/officeDocument/2006/relationships/image" Target="media/image1700.png"/><Relationship Id="rId1708" Type="http://schemas.openxmlformats.org/officeDocument/2006/relationships/image" Target="media/image1701.png"/><Relationship Id="rId1709" Type="http://schemas.openxmlformats.org/officeDocument/2006/relationships/image" Target="media/image1702.png"/><Relationship Id="rId1710" Type="http://schemas.openxmlformats.org/officeDocument/2006/relationships/image" Target="media/image1703.png"/><Relationship Id="rId1711" Type="http://schemas.openxmlformats.org/officeDocument/2006/relationships/image" Target="media/image1704.png"/><Relationship Id="rId1712" Type="http://schemas.openxmlformats.org/officeDocument/2006/relationships/image" Target="media/image1705.png"/><Relationship Id="rId1713" Type="http://schemas.openxmlformats.org/officeDocument/2006/relationships/image" Target="media/image1706.png"/><Relationship Id="rId1714" Type="http://schemas.openxmlformats.org/officeDocument/2006/relationships/image" Target="media/image1707.png"/><Relationship Id="rId1715" Type="http://schemas.openxmlformats.org/officeDocument/2006/relationships/image" Target="media/image1708.png"/><Relationship Id="rId1716" Type="http://schemas.openxmlformats.org/officeDocument/2006/relationships/image" Target="media/image1709.png"/><Relationship Id="rId1717" Type="http://schemas.openxmlformats.org/officeDocument/2006/relationships/image" Target="media/image1710.png"/><Relationship Id="rId1718" Type="http://schemas.openxmlformats.org/officeDocument/2006/relationships/image" Target="media/image1711.png"/><Relationship Id="rId1719" Type="http://schemas.openxmlformats.org/officeDocument/2006/relationships/image" Target="media/image1712.png"/><Relationship Id="rId1720" Type="http://schemas.openxmlformats.org/officeDocument/2006/relationships/image" Target="media/image1713.png"/><Relationship Id="rId1721" Type="http://schemas.openxmlformats.org/officeDocument/2006/relationships/image" Target="media/image1714.png"/><Relationship Id="rId1722" Type="http://schemas.openxmlformats.org/officeDocument/2006/relationships/image" Target="media/image1715.png"/><Relationship Id="rId1723" Type="http://schemas.openxmlformats.org/officeDocument/2006/relationships/image" Target="media/image1716.png"/><Relationship Id="rId1724" Type="http://schemas.openxmlformats.org/officeDocument/2006/relationships/image" Target="media/image1717.png"/><Relationship Id="rId1725" Type="http://schemas.openxmlformats.org/officeDocument/2006/relationships/image" Target="media/image1718.png"/><Relationship Id="rId1726" Type="http://schemas.openxmlformats.org/officeDocument/2006/relationships/image" Target="media/image1719.png"/><Relationship Id="rId1727" Type="http://schemas.openxmlformats.org/officeDocument/2006/relationships/image" Target="media/image1720.png"/><Relationship Id="rId1728" Type="http://schemas.openxmlformats.org/officeDocument/2006/relationships/image" Target="media/image1721.png"/><Relationship Id="rId1729" Type="http://schemas.openxmlformats.org/officeDocument/2006/relationships/image" Target="media/image1722.png"/><Relationship Id="rId1730" Type="http://schemas.openxmlformats.org/officeDocument/2006/relationships/image" Target="media/image1723.png"/><Relationship Id="rId1731" Type="http://schemas.openxmlformats.org/officeDocument/2006/relationships/image" Target="media/image1724.png"/><Relationship Id="rId1732" Type="http://schemas.openxmlformats.org/officeDocument/2006/relationships/image" Target="media/image1725.png"/><Relationship Id="rId1733" Type="http://schemas.openxmlformats.org/officeDocument/2006/relationships/image" Target="media/image1726.png"/><Relationship Id="rId1734" Type="http://schemas.openxmlformats.org/officeDocument/2006/relationships/image" Target="media/image1727.png"/><Relationship Id="rId1735" Type="http://schemas.openxmlformats.org/officeDocument/2006/relationships/image" Target="media/image1728.png"/><Relationship Id="rId1736" Type="http://schemas.openxmlformats.org/officeDocument/2006/relationships/image" Target="media/image1729.png"/><Relationship Id="rId1737" Type="http://schemas.openxmlformats.org/officeDocument/2006/relationships/image" Target="media/image1730.png"/><Relationship Id="rId1738" Type="http://schemas.openxmlformats.org/officeDocument/2006/relationships/image" Target="media/image1731.png"/><Relationship Id="rId1739" Type="http://schemas.openxmlformats.org/officeDocument/2006/relationships/image" Target="media/image1732.png"/><Relationship Id="rId1740" Type="http://schemas.openxmlformats.org/officeDocument/2006/relationships/image" Target="media/image1733.png"/><Relationship Id="rId1741" Type="http://schemas.openxmlformats.org/officeDocument/2006/relationships/image" Target="media/image1734.png"/><Relationship Id="rId1742" Type="http://schemas.openxmlformats.org/officeDocument/2006/relationships/image" Target="media/image1735.png"/><Relationship Id="rId1743" Type="http://schemas.openxmlformats.org/officeDocument/2006/relationships/image" Target="media/image1736.png"/><Relationship Id="rId1744" Type="http://schemas.openxmlformats.org/officeDocument/2006/relationships/image" Target="media/image1737.png"/><Relationship Id="rId1745" Type="http://schemas.openxmlformats.org/officeDocument/2006/relationships/image" Target="media/image1738.png"/><Relationship Id="rId1746" Type="http://schemas.openxmlformats.org/officeDocument/2006/relationships/image" Target="media/image1739.png"/><Relationship Id="rId1747" Type="http://schemas.openxmlformats.org/officeDocument/2006/relationships/image" Target="media/image1740.png"/><Relationship Id="rId1748" Type="http://schemas.openxmlformats.org/officeDocument/2006/relationships/image" Target="media/image1741.png"/><Relationship Id="rId1749" Type="http://schemas.openxmlformats.org/officeDocument/2006/relationships/image" Target="media/image1742.png"/><Relationship Id="rId1750" Type="http://schemas.openxmlformats.org/officeDocument/2006/relationships/image" Target="media/image1743.png"/><Relationship Id="rId1751" Type="http://schemas.openxmlformats.org/officeDocument/2006/relationships/image" Target="media/image1744.png"/><Relationship Id="rId1752" Type="http://schemas.openxmlformats.org/officeDocument/2006/relationships/image" Target="media/image1745.png"/><Relationship Id="rId1753" Type="http://schemas.openxmlformats.org/officeDocument/2006/relationships/image" Target="media/image1746.png"/><Relationship Id="rId1754" Type="http://schemas.openxmlformats.org/officeDocument/2006/relationships/image" Target="media/image1747.png"/><Relationship Id="rId1755" Type="http://schemas.openxmlformats.org/officeDocument/2006/relationships/image" Target="media/image1748.png"/><Relationship Id="rId1756" Type="http://schemas.openxmlformats.org/officeDocument/2006/relationships/image" Target="media/image1749.png"/><Relationship Id="rId1757" Type="http://schemas.openxmlformats.org/officeDocument/2006/relationships/image" Target="media/image1750.png"/><Relationship Id="rId1758" Type="http://schemas.openxmlformats.org/officeDocument/2006/relationships/image" Target="media/image1751.png"/><Relationship Id="rId1759" Type="http://schemas.openxmlformats.org/officeDocument/2006/relationships/image" Target="media/image1752.png"/><Relationship Id="rId1760" Type="http://schemas.openxmlformats.org/officeDocument/2006/relationships/image" Target="media/image1753.png"/><Relationship Id="rId1761" Type="http://schemas.openxmlformats.org/officeDocument/2006/relationships/image" Target="media/image1754.png"/><Relationship Id="rId1762" Type="http://schemas.openxmlformats.org/officeDocument/2006/relationships/image" Target="media/image1755.png"/><Relationship Id="rId1763" Type="http://schemas.openxmlformats.org/officeDocument/2006/relationships/image" Target="media/image1756.png"/><Relationship Id="rId1764" Type="http://schemas.openxmlformats.org/officeDocument/2006/relationships/image" Target="media/image1757.png"/><Relationship Id="rId1765" Type="http://schemas.openxmlformats.org/officeDocument/2006/relationships/image" Target="media/image1758.png"/><Relationship Id="rId1766" Type="http://schemas.openxmlformats.org/officeDocument/2006/relationships/image" Target="media/image1759.png"/><Relationship Id="rId1767" Type="http://schemas.openxmlformats.org/officeDocument/2006/relationships/image" Target="media/image1760.png"/><Relationship Id="rId1768" Type="http://schemas.openxmlformats.org/officeDocument/2006/relationships/image" Target="media/image1761.png"/><Relationship Id="rId1769" Type="http://schemas.openxmlformats.org/officeDocument/2006/relationships/image" Target="media/image1762.png"/><Relationship Id="rId1770" Type="http://schemas.openxmlformats.org/officeDocument/2006/relationships/image" Target="media/image1763.png"/><Relationship Id="rId1771" Type="http://schemas.openxmlformats.org/officeDocument/2006/relationships/image" Target="media/image1764.png"/><Relationship Id="rId1772" Type="http://schemas.openxmlformats.org/officeDocument/2006/relationships/image" Target="media/image1765.png"/><Relationship Id="rId1773" Type="http://schemas.openxmlformats.org/officeDocument/2006/relationships/image" Target="media/image1766.png"/><Relationship Id="rId1774" Type="http://schemas.openxmlformats.org/officeDocument/2006/relationships/image" Target="media/image1767.png"/><Relationship Id="rId1775" Type="http://schemas.openxmlformats.org/officeDocument/2006/relationships/image" Target="media/image1768.png"/><Relationship Id="rId1776" Type="http://schemas.openxmlformats.org/officeDocument/2006/relationships/image" Target="media/image1769.png"/><Relationship Id="rId1777" Type="http://schemas.openxmlformats.org/officeDocument/2006/relationships/image" Target="media/image1770.png"/><Relationship Id="rId1778" Type="http://schemas.openxmlformats.org/officeDocument/2006/relationships/image" Target="media/image1771.png"/><Relationship Id="rId1779" Type="http://schemas.openxmlformats.org/officeDocument/2006/relationships/image" Target="media/image1772.png"/><Relationship Id="rId1780" Type="http://schemas.openxmlformats.org/officeDocument/2006/relationships/image" Target="media/image1773.png"/><Relationship Id="rId1781" Type="http://schemas.openxmlformats.org/officeDocument/2006/relationships/image" Target="media/image1774.png"/><Relationship Id="rId1782" Type="http://schemas.openxmlformats.org/officeDocument/2006/relationships/image" Target="media/image1775.png"/><Relationship Id="rId1783" Type="http://schemas.openxmlformats.org/officeDocument/2006/relationships/image" Target="media/image1776.png"/><Relationship Id="rId1784" Type="http://schemas.openxmlformats.org/officeDocument/2006/relationships/image" Target="media/image1777.png"/><Relationship Id="rId1785" Type="http://schemas.openxmlformats.org/officeDocument/2006/relationships/image" Target="media/image1778.png"/><Relationship Id="rId1786" Type="http://schemas.openxmlformats.org/officeDocument/2006/relationships/image" Target="media/image1779.png"/><Relationship Id="rId1787" Type="http://schemas.openxmlformats.org/officeDocument/2006/relationships/image" Target="media/image1780.png"/><Relationship Id="rId1788" Type="http://schemas.openxmlformats.org/officeDocument/2006/relationships/image" Target="media/image1781.png"/><Relationship Id="rId1789" Type="http://schemas.openxmlformats.org/officeDocument/2006/relationships/image" Target="media/image1782.png"/><Relationship Id="rId1790" Type="http://schemas.openxmlformats.org/officeDocument/2006/relationships/image" Target="media/image1783.png"/><Relationship Id="rId1791" Type="http://schemas.openxmlformats.org/officeDocument/2006/relationships/image" Target="media/image1784.png"/><Relationship Id="rId1792" Type="http://schemas.openxmlformats.org/officeDocument/2006/relationships/image" Target="media/image1785.png"/><Relationship Id="rId1793" Type="http://schemas.openxmlformats.org/officeDocument/2006/relationships/image" Target="media/image1786.png"/><Relationship Id="rId1794" Type="http://schemas.openxmlformats.org/officeDocument/2006/relationships/image" Target="media/image1787.png"/><Relationship Id="rId1795" Type="http://schemas.openxmlformats.org/officeDocument/2006/relationships/image" Target="media/image1788.png"/><Relationship Id="rId1796" Type="http://schemas.openxmlformats.org/officeDocument/2006/relationships/image" Target="media/image1789.png"/><Relationship Id="rId1797" Type="http://schemas.openxmlformats.org/officeDocument/2006/relationships/image" Target="media/image1790.png"/><Relationship Id="rId1798" Type="http://schemas.openxmlformats.org/officeDocument/2006/relationships/image" Target="media/image1791.png"/><Relationship Id="rId1799" Type="http://schemas.openxmlformats.org/officeDocument/2006/relationships/image" Target="media/image1792.png"/><Relationship Id="rId1800" Type="http://schemas.openxmlformats.org/officeDocument/2006/relationships/image" Target="media/image1793.png"/><Relationship Id="rId1801" Type="http://schemas.openxmlformats.org/officeDocument/2006/relationships/image" Target="media/image1794.png"/><Relationship Id="rId1802" Type="http://schemas.openxmlformats.org/officeDocument/2006/relationships/image" Target="media/image1795.png"/><Relationship Id="rId1803" Type="http://schemas.openxmlformats.org/officeDocument/2006/relationships/image" Target="media/image1796.png"/><Relationship Id="rId1804" Type="http://schemas.openxmlformats.org/officeDocument/2006/relationships/image" Target="media/image1797.png"/><Relationship Id="rId1805" Type="http://schemas.openxmlformats.org/officeDocument/2006/relationships/image" Target="media/image1798.png"/><Relationship Id="rId1806" Type="http://schemas.openxmlformats.org/officeDocument/2006/relationships/image" Target="media/image1799.png"/><Relationship Id="rId1807" Type="http://schemas.openxmlformats.org/officeDocument/2006/relationships/image" Target="media/image1800.png"/><Relationship Id="rId1808" Type="http://schemas.openxmlformats.org/officeDocument/2006/relationships/image" Target="media/image1801.png"/><Relationship Id="rId1809" Type="http://schemas.openxmlformats.org/officeDocument/2006/relationships/image" Target="media/image1802.png"/><Relationship Id="rId1810" Type="http://schemas.openxmlformats.org/officeDocument/2006/relationships/image" Target="media/image1803.png"/><Relationship Id="rId1811" Type="http://schemas.openxmlformats.org/officeDocument/2006/relationships/image" Target="media/image1804.png"/><Relationship Id="rId1812" Type="http://schemas.openxmlformats.org/officeDocument/2006/relationships/image" Target="media/image1805.png"/><Relationship Id="rId1813" Type="http://schemas.openxmlformats.org/officeDocument/2006/relationships/image" Target="media/image1806.png"/><Relationship Id="rId1814" Type="http://schemas.openxmlformats.org/officeDocument/2006/relationships/image" Target="media/image1807.png"/><Relationship Id="rId1815" Type="http://schemas.openxmlformats.org/officeDocument/2006/relationships/image" Target="media/image1808.png"/><Relationship Id="rId1816" Type="http://schemas.openxmlformats.org/officeDocument/2006/relationships/image" Target="media/image1809.png"/><Relationship Id="rId1817" Type="http://schemas.openxmlformats.org/officeDocument/2006/relationships/image" Target="media/image1810.png"/><Relationship Id="rId1818" Type="http://schemas.openxmlformats.org/officeDocument/2006/relationships/image" Target="media/image1811.png"/><Relationship Id="rId1819" Type="http://schemas.openxmlformats.org/officeDocument/2006/relationships/image" Target="media/image1812.png"/><Relationship Id="rId1820" Type="http://schemas.openxmlformats.org/officeDocument/2006/relationships/image" Target="media/image1813.png"/><Relationship Id="rId1821" Type="http://schemas.openxmlformats.org/officeDocument/2006/relationships/image" Target="media/image1814.png"/><Relationship Id="rId1822" Type="http://schemas.openxmlformats.org/officeDocument/2006/relationships/image" Target="media/image1815.png"/><Relationship Id="rId1823" Type="http://schemas.openxmlformats.org/officeDocument/2006/relationships/image" Target="media/image1816.png"/><Relationship Id="rId1824" Type="http://schemas.openxmlformats.org/officeDocument/2006/relationships/image" Target="media/image1817.png"/><Relationship Id="rId1825" Type="http://schemas.openxmlformats.org/officeDocument/2006/relationships/image" Target="media/image1818.png"/><Relationship Id="rId1826" Type="http://schemas.openxmlformats.org/officeDocument/2006/relationships/image" Target="media/image1819.png"/><Relationship Id="rId1827" Type="http://schemas.openxmlformats.org/officeDocument/2006/relationships/image" Target="media/image1820.png"/><Relationship Id="rId1828" Type="http://schemas.openxmlformats.org/officeDocument/2006/relationships/image" Target="media/image1821.png"/><Relationship Id="rId1829" Type="http://schemas.openxmlformats.org/officeDocument/2006/relationships/image" Target="media/image1822.png"/><Relationship Id="rId1830" Type="http://schemas.openxmlformats.org/officeDocument/2006/relationships/image" Target="media/image1823.png"/><Relationship Id="rId1831" Type="http://schemas.openxmlformats.org/officeDocument/2006/relationships/image" Target="media/image1824.png"/><Relationship Id="rId1832" Type="http://schemas.openxmlformats.org/officeDocument/2006/relationships/image" Target="media/image1825.png"/><Relationship Id="rId1833" Type="http://schemas.openxmlformats.org/officeDocument/2006/relationships/image" Target="media/image1826.png"/><Relationship Id="rId1834" Type="http://schemas.openxmlformats.org/officeDocument/2006/relationships/image" Target="media/image1827.png"/><Relationship Id="rId1835" Type="http://schemas.openxmlformats.org/officeDocument/2006/relationships/image" Target="media/image1828.png"/><Relationship Id="rId1836" Type="http://schemas.openxmlformats.org/officeDocument/2006/relationships/image" Target="media/image1829.png"/><Relationship Id="rId1837" Type="http://schemas.openxmlformats.org/officeDocument/2006/relationships/image" Target="media/image1830.png"/><Relationship Id="rId1838" Type="http://schemas.openxmlformats.org/officeDocument/2006/relationships/image" Target="media/image1831.png"/><Relationship Id="rId1839" Type="http://schemas.openxmlformats.org/officeDocument/2006/relationships/image" Target="media/image1832.png"/><Relationship Id="rId1840" Type="http://schemas.openxmlformats.org/officeDocument/2006/relationships/image" Target="media/image1833.png"/><Relationship Id="rId1841" Type="http://schemas.openxmlformats.org/officeDocument/2006/relationships/image" Target="media/image1834.png"/><Relationship Id="rId1842" Type="http://schemas.openxmlformats.org/officeDocument/2006/relationships/image" Target="media/image1835.png"/><Relationship Id="rId1843" Type="http://schemas.openxmlformats.org/officeDocument/2006/relationships/image" Target="media/image1836.png"/><Relationship Id="rId1844" Type="http://schemas.openxmlformats.org/officeDocument/2006/relationships/image" Target="media/image1837.png"/><Relationship Id="rId1845" Type="http://schemas.openxmlformats.org/officeDocument/2006/relationships/image" Target="media/image1838.png"/><Relationship Id="rId1846" Type="http://schemas.openxmlformats.org/officeDocument/2006/relationships/image" Target="media/image1839.png"/><Relationship Id="rId1847" Type="http://schemas.openxmlformats.org/officeDocument/2006/relationships/image" Target="media/image1840.png"/><Relationship Id="rId1848" Type="http://schemas.openxmlformats.org/officeDocument/2006/relationships/image" Target="media/image1841.png"/><Relationship Id="rId1849" Type="http://schemas.openxmlformats.org/officeDocument/2006/relationships/image" Target="media/image1842.png"/><Relationship Id="rId1850" Type="http://schemas.openxmlformats.org/officeDocument/2006/relationships/image" Target="media/image1843.png"/><Relationship Id="rId1851" Type="http://schemas.openxmlformats.org/officeDocument/2006/relationships/image" Target="media/image1844.png"/><Relationship Id="rId1852" Type="http://schemas.openxmlformats.org/officeDocument/2006/relationships/image" Target="media/image1845.png"/><Relationship Id="rId1853" Type="http://schemas.openxmlformats.org/officeDocument/2006/relationships/image" Target="media/image1846.png"/><Relationship Id="rId1854" Type="http://schemas.openxmlformats.org/officeDocument/2006/relationships/image" Target="media/image1847.png"/><Relationship Id="rId1855" Type="http://schemas.openxmlformats.org/officeDocument/2006/relationships/image" Target="media/image1848.png"/><Relationship Id="rId1856" Type="http://schemas.openxmlformats.org/officeDocument/2006/relationships/image" Target="media/image1849.png"/><Relationship Id="rId1857" Type="http://schemas.openxmlformats.org/officeDocument/2006/relationships/image" Target="media/image1850.png"/><Relationship Id="rId1858" Type="http://schemas.openxmlformats.org/officeDocument/2006/relationships/image" Target="media/image1851.png"/><Relationship Id="rId1859" Type="http://schemas.openxmlformats.org/officeDocument/2006/relationships/image" Target="media/image1852.png"/><Relationship Id="rId1860" Type="http://schemas.openxmlformats.org/officeDocument/2006/relationships/image" Target="media/image1853.png"/><Relationship Id="rId1861" Type="http://schemas.openxmlformats.org/officeDocument/2006/relationships/image" Target="media/image1854.png"/><Relationship Id="rId1862" Type="http://schemas.openxmlformats.org/officeDocument/2006/relationships/image" Target="media/image1855.png"/><Relationship Id="rId1863" Type="http://schemas.openxmlformats.org/officeDocument/2006/relationships/image" Target="media/image1856.png"/><Relationship Id="rId1864" Type="http://schemas.openxmlformats.org/officeDocument/2006/relationships/image" Target="media/image1857.png"/><Relationship Id="rId1865" Type="http://schemas.openxmlformats.org/officeDocument/2006/relationships/image" Target="media/image1858.png"/><Relationship Id="rId1866" Type="http://schemas.openxmlformats.org/officeDocument/2006/relationships/image" Target="media/image1859.png"/><Relationship Id="rId1867" Type="http://schemas.openxmlformats.org/officeDocument/2006/relationships/image" Target="media/image1860.png"/><Relationship Id="rId1868" Type="http://schemas.openxmlformats.org/officeDocument/2006/relationships/image" Target="media/image1861.png"/><Relationship Id="rId1869" Type="http://schemas.openxmlformats.org/officeDocument/2006/relationships/image" Target="media/image1862.png"/><Relationship Id="rId1870" Type="http://schemas.openxmlformats.org/officeDocument/2006/relationships/image" Target="media/image1863.png"/><Relationship Id="rId1871" Type="http://schemas.openxmlformats.org/officeDocument/2006/relationships/image" Target="media/image1864.png"/><Relationship Id="rId1872" Type="http://schemas.openxmlformats.org/officeDocument/2006/relationships/image" Target="media/image1865.png"/><Relationship Id="rId1873" Type="http://schemas.openxmlformats.org/officeDocument/2006/relationships/image" Target="media/image1866.png"/><Relationship Id="rId1874" Type="http://schemas.openxmlformats.org/officeDocument/2006/relationships/image" Target="media/image1867.png"/><Relationship Id="rId1875" Type="http://schemas.openxmlformats.org/officeDocument/2006/relationships/image" Target="media/image1868.png"/><Relationship Id="rId1876" Type="http://schemas.openxmlformats.org/officeDocument/2006/relationships/image" Target="media/image1869.png"/><Relationship Id="rId1877" Type="http://schemas.openxmlformats.org/officeDocument/2006/relationships/image" Target="media/image1870.png"/><Relationship Id="rId1878" Type="http://schemas.openxmlformats.org/officeDocument/2006/relationships/image" Target="media/image1871.png"/><Relationship Id="rId1879" Type="http://schemas.openxmlformats.org/officeDocument/2006/relationships/image" Target="media/image1872.png"/><Relationship Id="rId1880" Type="http://schemas.openxmlformats.org/officeDocument/2006/relationships/image" Target="media/image1873.png"/><Relationship Id="rId1881" Type="http://schemas.openxmlformats.org/officeDocument/2006/relationships/image" Target="media/image1874.png"/><Relationship Id="rId1882" Type="http://schemas.openxmlformats.org/officeDocument/2006/relationships/image" Target="media/image1875.png"/><Relationship Id="rId1883" Type="http://schemas.openxmlformats.org/officeDocument/2006/relationships/image" Target="media/image1876.png"/><Relationship Id="rId1884" Type="http://schemas.openxmlformats.org/officeDocument/2006/relationships/image" Target="media/image1877.png"/><Relationship Id="rId1885" Type="http://schemas.openxmlformats.org/officeDocument/2006/relationships/image" Target="media/image1878.png"/><Relationship Id="rId1886" Type="http://schemas.openxmlformats.org/officeDocument/2006/relationships/image" Target="media/image1879.png"/><Relationship Id="rId1887" Type="http://schemas.openxmlformats.org/officeDocument/2006/relationships/image" Target="media/image1880.png"/><Relationship Id="rId1888" Type="http://schemas.openxmlformats.org/officeDocument/2006/relationships/image" Target="media/image1881.png"/><Relationship Id="rId1889" Type="http://schemas.openxmlformats.org/officeDocument/2006/relationships/image" Target="media/image1882.png"/><Relationship Id="rId1890" Type="http://schemas.openxmlformats.org/officeDocument/2006/relationships/image" Target="media/image1883.png"/><Relationship Id="rId1891" Type="http://schemas.openxmlformats.org/officeDocument/2006/relationships/image" Target="media/image1884.png"/><Relationship Id="rId1892" Type="http://schemas.openxmlformats.org/officeDocument/2006/relationships/image" Target="media/image1885.png"/><Relationship Id="rId1893" Type="http://schemas.openxmlformats.org/officeDocument/2006/relationships/image" Target="media/image1886.png"/><Relationship Id="rId1894" Type="http://schemas.openxmlformats.org/officeDocument/2006/relationships/image" Target="media/image1887.png"/><Relationship Id="rId1895" Type="http://schemas.openxmlformats.org/officeDocument/2006/relationships/image" Target="media/image1888.png"/><Relationship Id="rId1896" Type="http://schemas.openxmlformats.org/officeDocument/2006/relationships/image" Target="media/image1889.png"/><Relationship Id="rId1897" Type="http://schemas.openxmlformats.org/officeDocument/2006/relationships/image" Target="media/image1890.png"/><Relationship Id="rId1898" Type="http://schemas.openxmlformats.org/officeDocument/2006/relationships/image" Target="media/image1891.png"/><Relationship Id="rId1899" Type="http://schemas.openxmlformats.org/officeDocument/2006/relationships/image" Target="media/image1892.png"/><Relationship Id="rId1900" Type="http://schemas.openxmlformats.org/officeDocument/2006/relationships/image" Target="media/image1893.png"/><Relationship Id="rId1901" Type="http://schemas.openxmlformats.org/officeDocument/2006/relationships/image" Target="media/image1894.png"/><Relationship Id="rId1902" Type="http://schemas.openxmlformats.org/officeDocument/2006/relationships/image" Target="media/image1895.png"/><Relationship Id="rId1903" Type="http://schemas.openxmlformats.org/officeDocument/2006/relationships/image" Target="media/image1896.png"/><Relationship Id="rId1904" Type="http://schemas.openxmlformats.org/officeDocument/2006/relationships/image" Target="media/image1897.png"/><Relationship Id="rId1905" Type="http://schemas.openxmlformats.org/officeDocument/2006/relationships/image" Target="media/image1898.png"/><Relationship Id="rId1906" Type="http://schemas.openxmlformats.org/officeDocument/2006/relationships/image" Target="media/image1899.png"/><Relationship Id="rId1907" Type="http://schemas.openxmlformats.org/officeDocument/2006/relationships/image" Target="media/image1900.png"/><Relationship Id="rId1908" Type="http://schemas.openxmlformats.org/officeDocument/2006/relationships/image" Target="media/image1901.png"/><Relationship Id="rId1909" Type="http://schemas.openxmlformats.org/officeDocument/2006/relationships/image" Target="media/image1902.png"/><Relationship Id="rId1910" Type="http://schemas.openxmlformats.org/officeDocument/2006/relationships/image" Target="media/image1903.png"/><Relationship Id="rId1911" Type="http://schemas.openxmlformats.org/officeDocument/2006/relationships/image" Target="media/image1904.png"/><Relationship Id="rId1912" Type="http://schemas.openxmlformats.org/officeDocument/2006/relationships/image" Target="media/image1905.png"/><Relationship Id="rId1913" Type="http://schemas.openxmlformats.org/officeDocument/2006/relationships/image" Target="media/image1906.png"/><Relationship Id="rId1914" Type="http://schemas.openxmlformats.org/officeDocument/2006/relationships/image" Target="media/image1907.png"/><Relationship Id="rId1915" Type="http://schemas.openxmlformats.org/officeDocument/2006/relationships/image" Target="media/image1908.png"/><Relationship Id="rId1916" Type="http://schemas.openxmlformats.org/officeDocument/2006/relationships/image" Target="media/image1909.png"/><Relationship Id="rId1917" Type="http://schemas.openxmlformats.org/officeDocument/2006/relationships/image" Target="media/image1910.png"/><Relationship Id="rId1918" Type="http://schemas.openxmlformats.org/officeDocument/2006/relationships/image" Target="media/image1911.png"/><Relationship Id="rId1919" Type="http://schemas.openxmlformats.org/officeDocument/2006/relationships/image" Target="media/image1912.png"/><Relationship Id="rId1920" Type="http://schemas.openxmlformats.org/officeDocument/2006/relationships/image" Target="media/image1913.png"/><Relationship Id="rId1921" Type="http://schemas.openxmlformats.org/officeDocument/2006/relationships/image" Target="media/image1914.png"/><Relationship Id="rId1922" Type="http://schemas.openxmlformats.org/officeDocument/2006/relationships/image" Target="media/image1915.png"/><Relationship Id="rId1923" Type="http://schemas.openxmlformats.org/officeDocument/2006/relationships/image" Target="media/image1916.png"/><Relationship Id="rId1924" Type="http://schemas.openxmlformats.org/officeDocument/2006/relationships/image" Target="media/image1917.png"/><Relationship Id="rId1925" Type="http://schemas.openxmlformats.org/officeDocument/2006/relationships/image" Target="media/image1918.png"/><Relationship Id="rId1926" Type="http://schemas.openxmlformats.org/officeDocument/2006/relationships/image" Target="media/image1919.png"/><Relationship Id="rId1927" Type="http://schemas.openxmlformats.org/officeDocument/2006/relationships/image" Target="media/image1920.png"/><Relationship Id="rId1928" Type="http://schemas.openxmlformats.org/officeDocument/2006/relationships/image" Target="media/image1921.png"/><Relationship Id="rId1929" Type="http://schemas.openxmlformats.org/officeDocument/2006/relationships/image" Target="media/image1922.png"/><Relationship Id="rId1930" Type="http://schemas.openxmlformats.org/officeDocument/2006/relationships/image" Target="media/image1923.png"/><Relationship Id="rId1931" Type="http://schemas.openxmlformats.org/officeDocument/2006/relationships/image" Target="media/image1924.png"/><Relationship Id="rId1932" Type="http://schemas.openxmlformats.org/officeDocument/2006/relationships/image" Target="media/image1925.png"/><Relationship Id="rId1933" Type="http://schemas.openxmlformats.org/officeDocument/2006/relationships/image" Target="media/image1926.png"/><Relationship Id="rId1934" Type="http://schemas.openxmlformats.org/officeDocument/2006/relationships/image" Target="media/image1927.png"/><Relationship Id="rId1935" Type="http://schemas.openxmlformats.org/officeDocument/2006/relationships/image" Target="media/image1928.png"/><Relationship Id="rId1936" Type="http://schemas.openxmlformats.org/officeDocument/2006/relationships/image" Target="media/image1929.png"/><Relationship Id="rId1937" Type="http://schemas.openxmlformats.org/officeDocument/2006/relationships/image" Target="media/image1930.png"/><Relationship Id="rId1938" Type="http://schemas.openxmlformats.org/officeDocument/2006/relationships/image" Target="media/image1931.png"/><Relationship Id="rId1939" Type="http://schemas.openxmlformats.org/officeDocument/2006/relationships/image" Target="media/image1932.png"/><Relationship Id="rId1940" Type="http://schemas.openxmlformats.org/officeDocument/2006/relationships/image" Target="media/image1933.png"/><Relationship Id="rId1941" Type="http://schemas.openxmlformats.org/officeDocument/2006/relationships/image" Target="media/image1934.png"/><Relationship Id="rId1942" Type="http://schemas.openxmlformats.org/officeDocument/2006/relationships/image" Target="media/image1935.png"/><Relationship Id="rId1943" Type="http://schemas.openxmlformats.org/officeDocument/2006/relationships/image" Target="media/image1936.png"/><Relationship Id="rId1944" Type="http://schemas.openxmlformats.org/officeDocument/2006/relationships/image" Target="media/image1937.png"/><Relationship Id="rId1945" Type="http://schemas.openxmlformats.org/officeDocument/2006/relationships/image" Target="media/image1938.png"/><Relationship Id="rId1946" Type="http://schemas.openxmlformats.org/officeDocument/2006/relationships/image" Target="media/image1939.png"/><Relationship Id="rId1947" Type="http://schemas.openxmlformats.org/officeDocument/2006/relationships/image" Target="media/image1940.png"/><Relationship Id="rId1948" Type="http://schemas.openxmlformats.org/officeDocument/2006/relationships/image" Target="media/image1941.png"/><Relationship Id="rId1949" Type="http://schemas.openxmlformats.org/officeDocument/2006/relationships/image" Target="media/image1942.png"/><Relationship Id="rId1950" Type="http://schemas.openxmlformats.org/officeDocument/2006/relationships/image" Target="media/image1943.png"/><Relationship Id="rId1951" Type="http://schemas.openxmlformats.org/officeDocument/2006/relationships/image" Target="media/image1944.png"/><Relationship Id="rId1952" Type="http://schemas.openxmlformats.org/officeDocument/2006/relationships/image" Target="media/image1945.png"/><Relationship Id="rId1953" Type="http://schemas.openxmlformats.org/officeDocument/2006/relationships/image" Target="media/image1946.png"/><Relationship Id="rId1954" Type="http://schemas.openxmlformats.org/officeDocument/2006/relationships/image" Target="media/image1947.png"/><Relationship Id="rId1955" Type="http://schemas.openxmlformats.org/officeDocument/2006/relationships/image" Target="media/image1948.png"/><Relationship Id="rId1956" Type="http://schemas.openxmlformats.org/officeDocument/2006/relationships/image" Target="media/image1949.png"/><Relationship Id="rId1957" Type="http://schemas.openxmlformats.org/officeDocument/2006/relationships/image" Target="media/image1950.png"/><Relationship Id="rId1958" Type="http://schemas.openxmlformats.org/officeDocument/2006/relationships/image" Target="media/image1951.png"/><Relationship Id="rId1959" Type="http://schemas.openxmlformats.org/officeDocument/2006/relationships/image" Target="media/image1952.png"/><Relationship Id="rId1960" Type="http://schemas.openxmlformats.org/officeDocument/2006/relationships/image" Target="media/image1953.png"/><Relationship Id="rId1961" Type="http://schemas.openxmlformats.org/officeDocument/2006/relationships/image" Target="media/image1954.png"/><Relationship Id="rId1962" Type="http://schemas.openxmlformats.org/officeDocument/2006/relationships/image" Target="media/image1955.png"/><Relationship Id="rId1963" Type="http://schemas.openxmlformats.org/officeDocument/2006/relationships/image" Target="media/image1956.png"/><Relationship Id="rId1964" Type="http://schemas.openxmlformats.org/officeDocument/2006/relationships/image" Target="media/image1957.png"/><Relationship Id="rId1965" Type="http://schemas.openxmlformats.org/officeDocument/2006/relationships/image" Target="media/image1958.png"/><Relationship Id="rId1966" Type="http://schemas.openxmlformats.org/officeDocument/2006/relationships/image" Target="media/image1959.png"/><Relationship Id="rId1967" Type="http://schemas.openxmlformats.org/officeDocument/2006/relationships/image" Target="media/image1960.png"/><Relationship Id="rId1968" Type="http://schemas.openxmlformats.org/officeDocument/2006/relationships/image" Target="media/image1961.png"/><Relationship Id="rId1969" Type="http://schemas.openxmlformats.org/officeDocument/2006/relationships/image" Target="media/image1962.png"/><Relationship Id="rId1970" Type="http://schemas.openxmlformats.org/officeDocument/2006/relationships/image" Target="media/image1963.png"/><Relationship Id="rId1971" Type="http://schemas.openxmlformats.org/officeDocument/2006/relationships/image" Target="media/image1964.png"/><Relationship Id="rId1972" Type="http://schemas.openxmlformats.org/officeDocument/2006/relationships/image" Target="media/image1965.png"/><Relationship Id="rId1973" Type="http://schemas.openxmlformats.org/officeDocument/2006/relationships/image" Target="media/image1966.png"/><Relationship Id="rId1974" Type="http://schemas.openxmlformats.org/officeDocument/2006/relationships/image" Target="media/image1967.png"/><Relationship Id="rId1975" Type="http://schemas.openxmlformats.org/officeDocument/2006/relationships/image" Target="media/image1968.png"/><Relationship Id="rId1976" Type="http://schemas.openxmlformats.org/officeDocument/2006/relationships/image" Target="media/image1969.png"/><Relationship Id="rId1977" Type="http://schemas.openxmlformats.org/officeDocument/2006/relationships/image" Target="media/image1970.png"/><Relationship Id="rId1978" Type="http://schemas.openxmlformats.org/officeDocument/2006/relationships/image" Target="media/image1971.png"/><Relationship Id="rId1979" Type="http://schemas.openxmlformats.org/officeDocument/2006/relationships/image" Target="media/image1972.png"/><Relationship Id="rId1980" Type="http://schemas.openxmlformats.org/officeDocument/2006/relationships/image" Target="media/image1973.png"/><Relationship Id="rId1981" Type="http://schemas.openxmlformats.org/officeDocument/2006/relationships/image" Target="media/image1974.png"/><Relationship Id="rId1982" Type="http://schemas.openxmlformats.org/officeDocument/2006/relationships/image" Target="media/image1975.png"/><Relationship Id="rId1983" Type="http://schemas.openxmlformats.org/officeDocument/2006/relationships/image" Target="media/image1976.png"/><Relationship Id="rId1984" Type="http://schemas.openxmlformats.org/officeDocument/2006/relationships/image" Target="media/image1977.png"/><Relationship Id="rId1985" Type="http://schemas.openxmlformats.org/officeDocument/2006/relationships/image" Target="media/image1978.png"/><Relationship Id="rId1986" Type="http://schemas.openxmlformats.org/officeDocument/2006/relationships/image" Target="media/image1979.png"/><Relationship Id="rId1987" Type="http://schemas.openxmlformats.org/officeDocument/2006/relationships/image" Target="media/image1980.png"/><Relationship Id="rId1988" Type="http://schemas.openxmlformats.org/officeDocument/2006/relationships/image" Target="media/image1981.png"/><Relationship Id="rId1989" Type="http://schemas.openxmlformats.org/officeDocument/2006/relationships/image" Target="media/image1982.png"/><Relationship Id="rId1990" Type="http://schemas.openxmlformats.org/officeDocument/2006/relationships/image" Target="media/image1983.png"/><Relationship Id="rId1991" Type="http://schemas.openxmlformats.org/officeDocument/2006/relationships/image" Target="media/image1984.png"/><Relationship Id="rId1992" Type="http://schemas.openxmlformats.org/officeDocument/2006/relationships/image" Target="media/image1985.png"/><Relationship Id="rId1993" Type="http://schemas.openxmlformats.org/officeDocument/2006/relationships/image" Target="media/image1986.png"/><Relationship Id="rId1994" Type="http://schemas.openxmlformats.org/officeDocument/2006/relationships/image" Target="media/image1987.png"/><Relationship Id="rId1995" Type="http://schemas.openxmlformats.org/officeDocument/2006/relationships/image" Target="media/image1988.png"/><Relationship Id="rId1996" Type="http://schemas.openxmlformats.org/officeDocument/2006/relationships/image" Target="media/image1989.png"/><Relationship Id="rId1997" Type="http://schemas.openxmlformats.org/officeDocument/2006/relationships/image" Target="media/image1990.png"/><Relationship Id="rId1998" Type="http://schemas.openxmlformats.org/officeDocument/2006/relationships/image" Target="media/image1991.png"/><Relationship Id="rId1999" Type="http://schemas.openxmlformats.org/officeDocument/2006/relationships/image" Target="media/image1992.png"/><Relationship Id="rId2000" Type="http://schemas.openxmlformats.org/officeDocument/2006/relationships/image" Target="media/image1993.png"/><Relationship Id="rId2001" Type="http://schemas.openxmlformats.org/officeDocument/2006/relationships/image" Target="media/image1994.png"/><Relationship Id="rId2002" Type="http://schemas.openxmlformats.org/officeDocument/2006/relationships/image" Target="media/image1995.png"/><Relationship Id="rId2003" Type="http://schemas.openxmlformats.org/officeDocument/2006/relationships/image" Target="media/image1996.png"/><Relationship Id="rId2004" Type="http://schemas.openxmlformats.org/officeDocument/2006/relationships/image" Target="media/image1997.png"/><Relationship Id="rId2005" Type="http://schemas.openxmlformats.org/officeDocument/2006/relationships/image" Target="media/image1998.png"/><Relationship Id="rId2006" Type="http://schemas.openxmlformats.org/officeDocument/2006/relationships/image" Target="media/image1999.png"/><Relationship Id="rId2007" Type="http://schemas.openxmlformats.org/officeDocument/2006/relationships/image" Target="media/image2000.png"/><Relationship Id="rId2008" Type="http://schemas.openxmlformats.org/officeDocument/2006/relationships/image" Target="media/image2001.png"/><Relationship Id="rId2009" Type="http://schemas.openxmlformats.org/officeDocument/2006/relationships/image" Target="media/image2002.png"/><Relationship Id="rId2010" Type="http://schemas.openxmlformats.org/officeDocument/2006/relationships/image" Target="media/image2003.png"/><Relationship Id="rId2011" Type="http://schemas.openxmlformats.org/officeDocument/2006/relationships/image" Target="media/image2004.png"/><Relationship Id="rId2012" Type="http://schemas.openxmlformats.org/officeDocument/2006/relationships/image" Target="media/image2005.png"/><Relationship Id="rId2013" Type="http://schemas.openxmlformats.org/officeDocument/2006/relationships/image" Target="media/image2006.png"/><Relationship Id="rId2014" Type="http://schemas.openxmlformats.org/officeDocument/2006/relationships/image" Target="media/image2007.png"/><Relationship Id="rId2015" Type="http://schemas.openxmlformats.org/officeDocument/2006/relationships/image" Target="media/image2008.png"/><Relationship Id="rId2016" Type="http://schemas.openxmlformats.org/officeDocument/2006/relationships/image" Target="media/image2009.png"/><Relationship Id="rId2017" Type="http://schemas.openxmlformats.org/officeDocument/2006/relationships/image" Target="media/image2010.png"/><Relationship Id="rId2018" Type="http://schemas.openxmlformats.org/officeDocument/2006/relationships/image" Target="media/image2011.png"/><Relationship Id="rId2019" Type="http://schemas.openxmlformats.org/officeDocument/2006/relationships/image" Target="media/image2012.png"/><Relationship Id="rId2020" Type="http://schemas.openxmlformats.org/officeDocument/2006/relationships/image" Target="media/image2013.png"/><Relationship Id="rId2021" Type="http://schemas.openxmlformats.org/officeDocument/2006/relationships/image" Target="media/image2014.png"/><Relationship Id="rId2022" Type="http://schemas.openxmlformats.org/officeDocument/2006/relationships/image" Target="media/image2015.png"/><Relationship Id="rId2023" Type="http://schemas.openxmlformats.org/officeDocument/2006/relationships/image" Target="media/image2016.png"/><Relationship Id="rId2024" Type="http://schemas.openxmlformats.org/officeDocument/2006/relationships/image" Target="media/image2017.png"/><Relationship Id="rId2025" Type="http://schemas.openxmlformats.org/officeDocument/2006/relationships/image" Target="media/image2018.png"/><Relationship Id="rId2026" Type="http://schemas.openxmlformats.org/officeDocument/2006/relationships/image" Target="media/image2019.png"/><Relationship Id="rId2027" Type="http://schemas.openxmlformats.org/officeDocument/2006/relationships/image" Target="media/image2020.png"/><Relationship Id="rId2028" Type="http://schemas.openxmlformats.org/officeDocument/2006/relationships/image" Target="media/image2021.png"/><Relationship Id="rId2029" Type="http://schemas.openxmlformats.org/officeDocument/2006/relationships/image" Target="media/image2022.png"/><Relationship Id="rId2030" Type="http://schemas.openxmlformats.org/officeDocument/2006/relationships/image" Target="media/image2023.png"/><Relationship Id="rId2031" Type="http://schemas.openxmlformats.org/officeDocument/2006/relationships/image" Target="media/image2024.png"/><Relationship Id="rId2032" Type="http://schemas.openxmlformats.org/officeDocument/2006/relationships/image" Target="media/image2025.png"/><Relationship Id="rId2033" Type="http://schemas.openxmlformats.org/officeDocument/2006/relationships/image" Target="media/image2026.png"/><Relationship Id="rId2034" Type="http://schemas.openxmlformats.org/officeDocument/2006/relationships/image" Target="media/image2027.png"/><Relationship Id="rId2035" Type="http://schemas.openxmlformats.org/officeDocument/2006/relationships/image" Target="media/image2028.png"/><Relationship Id="rId2036" Type="http://schemas.openxmlformats.org/officeDocument/2006/relationships/image" Target="media/image2029.png"/><Relationship Id="rId2037" Type="http://schemas.openxmlformats.org/officeDocument/2006/relationships/image" Target="media/image2030.png"/><Relationship Id="rId2038" Type="http://schemas.openxmlformats.org/officeDocument/2006/relationships/image" Target="media/image2031.png"/><Relationship Id="rId2039" Type="http://schemas.openxmlformats.org/officeDocument/2006/relationships/image" Target="media/image2032.png"/><Relationship Id="rId2040" Type="http://schemas.openxmlformats.org/officeDocument/2006/relationships/image" Target="media/image2033.png"/><Relationship Id="rId2041" Type="http://schemas.openxmlformats.org/officeDocument/2006/relationships/image" Target="media/image2034.png"/><Relationship Id="rId2042" Type="http://schemas.openxmlformats.org/officeDocument/2006/relationships/image" Target="media/image2035.png"/><Relationship Id="rId2043" Type="http://schemas.openxmlformats.org/officeDocument/2006/relationships/image" Target="media/image2036.png"/><Relationship Id="rId2044" Type="http://schemas.openxmlformats.org/officeDocument/2006/relationships/image" Target="media/image2037.png"/><Relationship Id="rId2045" Type="http://schemas.openxmlformats.org/officeDocument/2006/relationships/image" Target="media/image2038.png"/><Relationship Id="rId2046" Type="http://schemas.openxmlformats.org/officeDocument/2006/relationships/image" Target="media/image2039.png"/><Relationship Id="rId2047" Type="http://schemas.openxmlformats.org/officeDocument/2006/relationships/image" Target="media/image2040.png"/><Relationship Id="rId2048" Type="http://schemas.openxmlformats.org/officeDocument/2006/relationships/image" Target="media/image2041.png"/><Relationship Id="rId2049" Type="http://schemas.openxmlformats.org/officeDocument/2006/relationships/image" Target="media/image2042.png"/><Relationship Id="rId2050" Type="http://schemas.openxmlformats.org/officeDocument/2006/relationships/image" Target="media/image2043.png"/><Relationship Id="rId2051" Type="http://schemas.openxmlformats.org/officeDocument/2006/relationships/image" Target="media/image2044.png"/><Relationship Id="rId2052" Type="http://schemas.openxmlformats.org/officeDocument/2006/relationships/image" Target="media/image2045.png"/><Relationship Id="rId2053" Type="http://schemas.openxmlformats.org/officeDocument/2006/relationships/image" Target="media/image2046.png"/><Relationship Id="rId2054" Type="http://schemas.openxmlformats.org/officeDocument/2006/relationships/image" Target="media/image2047.png"/><Relationship Id="rId2055" Type="http://schemas.openxmlformats.org/officeDocument/2006/relationships/image" Target="media/image2048.png"/><Relationship Id="rId2056" Type="http://schemas.openxmlformats.org/officeDocument/2006/relationships/image" Target="media/image2049.png"/><Relationship Id="rId2057" Type="http://schemas.openxmlformats.org/officeDocument/2006/relationships/image" Target="media/image2050.png"/><Relationship Id="rId2058" Type="http://schemas.openxmlformats.org/officeDocument/2006/relationships/image" Target="media/image2051.png"/><Relationship Id="rId2059" Type="http://schemas.openxmlformats.org/officeDocument/2006/relationships/image" Target="media/image2052.png"/><Relationship Id="rId2060" Type="http://schemas.openxmlformats.org/officeDocument/2006/relationships/image" Target="media/image2053.png"/><Relationship Id="rId2061" Type="http://schemas.openxmlformats.org/officeDocument/2006/relationships/image" Target="media/image2054.png"/><Relationship Id="rId2062" Type="http://schemas.openxmlformats.org/officeDocument/2006/relationships/image" Target="media/image2055.png"/><Relationship Id="rId2063" Type="http://schemas.openxmlformats.org/officeDocument/2006/relationships/image" Target="media/image2056.png"/><Relationship Id="rId2064" Type="http://schemas.openxmlformats.org/officeDocument/2006/relationships/image" Target="media/image2057.png"/><Relationship Id="rId2065" Type="http://schemas.openxmlformats.org/officeDocument/2006/relationships/image" Target="media/image2058.png"/><Relationship Id="rId2066" Type="http://schemas.openxmlformats.org/officeDocument/2006/relationships/image" Target="media/image2059.png"/><Relationship Id="rId2067" Type="http://schemas.openxmlformats.org/officeDocument/2006/relationships/image" Target="media/image2060.png"/><Relationship Id="rId2068" Type="http://schemas.openxmlformats.org/officeDocument/2006/relationships/image" Target="media/image2061.png"/><Relationship Id="rId2069" Type="http://schemas.openxmlformats.org/officeDocument/2006/relationships/image" Target="media/image2062.png"/><Relationship Id="rId2070" Type="http://schemas.openxmlformats.org/officeDocument/2006/relationships/image" Target="media/image2063.png"/><Relationship Id="rId2071" Type="http://schemas.openxmlformats.org/officeDocument/2006/relationships/image" Target="media/image2064.png"/><Relationship Id="rId2072" Type="http://schemas.openxmlformats.org/officeDocument/2006/relationships/image" Target="media/image2065.png"/><Relationship Id="rId2073" Type="http://schemas.openxmlformats.org/officeDocument/2006/relationships/image" Target="media/image2066.png"/><Relationship Id="rId2074" Type="http://schemas.openxmlformats.org/officeDocument/2006/relationships/image" Target="media/image2067.png"/><Relationship Id="rId2075" Type="http://schemas.openxmlformats.org/officeDocument/2006/relationships/image" Target="media/image2068.png"/><Relationship Id="rId2076" Type="http://schemas.openxmlformats.org/officeDocument/2006/relationships/image" Target="media/image2069.png"/><Relationship Id="rId2077" Type="http://schemas.openxmlformats.org/officeDocument/2006/relationships/image" Target="media/image2070.png"/><Relationship Id="rId2078" Type="http://schemas.openxmlformats.org/officeDocument/2006/relationships/image" Target="media/image2071.png"/><Relationship Id="rId2079" Type="http://schemas.openxmlformats.org/officeDocument/2006/relationships/image" Target="media/image2072.png"/><Relationship Id="rId2080" Type="http://schemas.openxmlformats.org/officeDocument/2006/relationships/image" Target="media/image2073.png"/><Relationship Id="rId2081" Type="http://schemas.openxmlformats.org/officeDocument/2006/relationships/image" Target="media/image2074.png"/><Relationship Id="rId2082" Type="http://schemas.openxmlformats.org/officeDocument/2006/relationships/image" Target="media/image2075.png"/><Relationship Id="rId2083" Type="http://schemas.openxmlformats.org/officeDocument/2006/relationships/image" Target="media/image2076.png"/><Relationship Id="rId2084" Type="http://schemas.openxmlformats.org/officeDocument/2006/relationships/image" Target="media/image2077.png"/><Relationship Id="rId2085" Type="http://schemas.openxmlformats.org/officeDocument/2006/relationships/image" Target="media/image2078.png"/><Relationship Id="rId2086" Type="http://schemas.openxmlformats.org/officeDocument/2006/relationships/image" Target="media/image2079.png"/><Relationship Id="rId2087" Type="http://schemas.openxmlformats.org/officeDocument/2006/relationships/image" Target="media/image2080.png"/><Relationship Id="rId2088" Type="http://schemas.openxmlformats.org/officeDocument/2006/relationships/image" Target="media/image2081.png"/><Relationship Id="rId2089" Type="http://schemas.openxmlformats.org/officeDocument/2006/relationships/image" Target="media/image2082.png"/><Relationship Id="rId2090" Type="http://schemas.openxmlformats.org/officeDocument/2006/relationships/image" Target="media/image2083.png"/><Relationship Id="rId2091" Type="http://schemas.openxmlformats.org/officeDocument/2006/relationships/image" Target="media/image2084.png"/><Relationship Id="rId2092" Type="http://schemas.openxmlformats.org/officeDocument/2006/relationships/image" Target="media/image2085.png"/><Relationship Id="rId2093" Type="http://schemas.openxmlformats.org/officeDocument/2006/relationships/image" Target="media/image2086.png"/><Relationship Id="rId2094" Type="http://schemas.openxmlformats.org/officeDocument/2006/relationships/image" Target="media/image2087.png"/><Relationship Id="rId2095" Type="http://schemas.openxmlformats.org/officeDocument/2006/relationships/image" Target="media/image2088.png"/><Relationship Id="rId2096" Type="http://schemas.openxmlformats.org/officeDocument/2006/relationships/image" Target="media/image2089.png"/><Relationship Id="rId2097" Type="http://schemas.openxmlformats.org/officeDocument/2006/relationships/image" Target="media/image2090.png"/><Relationship Id="rId2098" Type="http://schemas.openxmlformats.org/officeDocument/2006/relationships/image" Target="media/image2091.png"/><Relationship Id="rId2099" Type="http://schemas.openxmlformats.org/officeDocument/2006/relationships/image" Target="media/image2092.png"/><Relationship Id="rId2100" Type="http://schemas.openxmlformats.org/officeDocument/2006/relationships/image" Target="media/image2093.png"/><Relationship Id="rId2101" Type="http://schemas.openxmlformats.org/officeDocument/2006/relationships/image" Target="media/image2094.png"/><Relationship Id="rId2102" Type="http://schemas.openxmlformats.org/officeDocument/2006/relationships/image" Target="media/image2095.png"/><Relationship Id="rId2103" Type="http://schemas.openxmlformats.org/officeDocument/2006/relationships/image" Target="media/image2096.png"/><Relationship Id="rId2104" Type="http://schemas.openxmlformats.org/officeDocument/2006/relationships/image" Target="media/image2097.png"/><Relationship Id="rId2105" Type="http://schemas.openxmlformats.org/officeDocument/2006/relationships/image" Target="media/image2098.png"/><Relationship Id="rId2106" Type="http://schemas.openxmlformats.org/officeDocument/2006/relationships/image" Target="media/image2099.png"/><Relationship Id="rId2107" Type="http://schemas.openxmlformats.org/officeDocument/2006/relationships/image" Target="media/image2100.png"/><Relationship Id="rId2108" Type="http://schemas.openxmlformats.org/officeDocument/2006/relationships/image" Target="media/image2101.png"/><Relationship Id="rId2109" Type="http://schemas.openxmlformats.org/officeDocument/2006/relationships/image" Target="media/image2102.png"/><Relationship Id="rId2110" Type="http://schemas.openxmlformats.org/officeDocument/2006/relationships/image" Target="media/image2103.png"/><Relationship Id="rId2111" Type="http://schemas.openxmlformats.org/officeDocument/2006/relationships/image" Target="media/image2104.png"/><Relationship Id="rId2112" Type="http://schemas.openxmlformats.org/officeDocument/2006/relationships/image" Target="media/image2105.png"/><Relationship Id="rId2113" Type="http://schemas.openxmlformats.org/officeDocument/2006/relationships/image" Target="media/image2106.png"/><Relationship Id="rId2114" Type="http://schemas.openxmlformats.org/officeDocument/2006/relationships/image" Target="media/image2107.png"/><Relationship Id="rId2115" Type="http://schemas.openxmlformats.org/officeDocument/2006/relationships/image" Target="media/image2108.png"/><Relationship Id="rId2116" Type="http://schemas.openxmlformats.org/officeDocument/2006/relationships/image" Target="media/image2109.png"/><Relationship Id="rId2117" Type="http://schemas.openxmlformats.org/officeDocument/2006/relationships/image" Target="media/image2110.png"/><Relationship Id="rId2118" Type="http://schemas.openxmlformats.org/officeDocument/2006/relationships/image" Target="media/image2111.png"/><Relationship Id="rId2119" Type="http://schemas.openxmlformats.org/officeDocument/2006/relationships/image" Target="media/image2112.png"/><Relationship Id="rId2120" Type="http://schemas.openxmlformats.org/officeDocument/2006/relationships/image" Target="media/image2113.png"/><Relationship Id="rId2121" Type="http://schemas.openxmlformats.org/officeDocument/2006/relationships/image" Target="media/image2114.png"/><Relationship Id="rId2122" Type="http://schemas.openxmlformats.org/officeDocument/2006/relationships/image" Target="media/image2115.png"/><Relationship Id="rId2123" Type="http://schemas.openxmlformats.org/officeDocument/2006/relationships/image" Target="media/image2116.png"/><Relationship Id="rId2124" Type="http://schemas.openxmlformats.org/officeDocument/2006/relationships/image" Target="media/image2117.png"/><Relationship Id="rId2125" Type="http://schemas.openxmlformats.org/officeDocument/2006/relationships/image" Target="media/image2118.png"/><Relationship Id="rId2126" Type="http://schemas.openxmlformats.org/officeDocument/2006/relationships/image" Target="media/image2119.png"/><Relationship Id="rId2127" Type="http://schemas.openxmlformats.org/officeDocument/2006/relationships/image" Target="media/image2120.png"/><Relationship Id="rId2128" Type="http://schemas.openxmlformats.org/officeDocument/2006/relationships/image" Target="media/image2121.png"/><Relationship Id="rId2129" Type="http://schemas.openxmlformats.org/officeDocument/2006/relationships/image" Target="media/image2122.png"/><Relationship Id="rId2130" Type="http://schemas.openxmlformats.org/officeDocument/2006/relationships/image" Target="media/image2123.png"/><Relationship Id="rId2131" Type="http://schemas.openxmlformats.org/officeDocument/2006/relationships/image" Target="media/image2124.png"/><Relationship Id="rId2132" Type="http://schemas.openxmlformats.org/officeDocument/2006/relationships/image" Target="media/image2125.png"/><Relationship Id="rId2133" Type="http://schemas.openxmlformats.org/officeDocument/2006/relationships/image" Target="media/image2126.png"/><Relationship Id="rId2134" Type="http://schemas.openxmlformats.org/officeDocument/2006/relationships/image" Target="media/image2127.png"/><Relationship Id="rId2135" Type="http://schemas.openxmlformats.org/officeDocument/2006/relationships/image" Target="media/image2128.png"/><Relationship Id="rId2136" Type="http://schemas.openxmlformats.org/officeDocument/2006/relationships/image" Target="media/image2129.png"/><Relationship Id="rId2137" Type="http://schemas.openxmlformats.org/officeDocument/2006/relationships/image" Target="media/image2130.png"/><Relationship Id="rId2138" Type="http://schemas.openxmlformats.org/officeDocument/2006/relationships/image" Target="media/image2131.png"/><Relationship Id="rId2139" Type="http://schemas.openxmlformats.org/officeDocument/2006/relationships/image" Target="media/image2132.png"/><Relationship Id="rId2140" Type="http://schemas.openxmlformats.org/officeDocument/2006/relationships/image" Target="media/image2133.png"/><Relationship Id="rId2141" Type="http://schemas.openxmlformats.org/officeDocument/2006/relationships/image" Target="media/image2134.png"/><Relationship Id="rId2142" Type="http://schemas.openxmlformats.org/officeDocument/2006/relationships/image" Target="media/image2135.png"/><Relationship Id="rId2143" Type="http://schemas.openxmlformats.org/officeDocument/2006/relationships/image" Target="media/image2136.png"/><Relationship Id="rId2144" Type="http://schemas.openxmlformats.org/officeDocument/2006/relationships/image" Target="media/image2137.png"/><Relationship Id="rId2145" Type="http://schemas.openxmlformats.org/officeDocument/2006/relationships/image" Target="media/image2138.png"/><Relationship Id="rId2146" Type="http://schemas.openxmlformats.org/officeDocument/2006/relationships/image" Target="media/image2139.png"/><Relationship Id="rId2147" Type="http://schemas.openxmlformats.org/officeDocument/2006/relationships/image" Target="media/image2140.png"/><Relationship Id="rId2148" Type="http://schemas.openxmlformats.org/officeDocument/2006/relationships/image" Target="media/image2141.png"/><Relationship Id="rId2149" Type="http://schemas.openxmlformats.org/officeDocument/2006/relationships/image" Target="media/image2142.png"/><Relationship Id="rId2150" Type="http://schemas.openxmlformats.org/officeDocument/2006/relationships/image" Target="media/image2143.png"/><Relationship Id="rId2151" Type="http://schemas.openxmlformats.org/officeDocument/2006/relationships/image" Target="media/image2144.png"/><Relationship Id="rId2152" Type="http://schemas.openxmlformats.org/officeDocument/2006/relationships/image" Target="media/image2145.png"/><Relationship Id="rId2153" Type="http://schemas.openxmlformats.org/officeDocument/2006/relationships/image" Target="media/image2146.png"/><Relationship Id="rId2154" Type="http://schemas.openxmlformats.org/officeDocument/2006/relationships/image" Target="media/image2147.png"/><Relationship Id="rId2155" Type="http://schemas.openxmlformats.org/officeDocument/2006/relationships/image" Target="media/image2148.png"/><Relationship Id="rId2156" Type="http://schemas.openxmlformats.org/officeDocument/2006/relationships/image" Target="media/image2149.png"/><Relationship Id="rId2157" Type="http://schemas.openxmlformats.org/officeDocument/2006/relationships/image" Target="media/image2150.png"/><Relationship Id="rId2158" Type="http://schemas.openxmlformats.org/officeDocument/2006/relationships/image" Target="media/image2151.png"/><Relationship Id="rId2159" Type="http://schemas.openxmlformats.org/officeDocument/2006/relationships/image" Target="media/image2152.png"/><Relationship Id="rId2160" Type="http://schemas.openxmlformats.org/officeDocument/2006/relationships/image" Target="media/image2153.png"/><Relationship Id="rId2161" Type="http://schemas.openxmlformats.org/officeDocument/2006/relationships/image" Target="media/image2154.png"/><Relationship Id="rId2162" Type="http://schemas.openxmlformats.org/officeDocument/2006/relationships/image" Target="media/image2155.png"/><Relationship Id="rId2163" Type="http://schemas.openxmlformats.org/officeDocument/2006/relationships/image" Target="media/image2156.png"/><Relationship Id="rId2164" Type="http://schemas.openxmlformats.org/officeDocument/2006/relationships/image" Target="media/image2157.png"/><Relationship Id="rId2165" Type="http://schemas.openxmlformats.org/officeDocument/2006/relationships/image" Target="media/image2158.png"/><Relationship Id="rId2166" Type="http://schemas.openxmlformats.org/officeDocument/2006/relationships/image" Target="media/image2159.png"/><Relationship Id="rId2167" Type="http://schemas.openxmlformats.org/officeDocument/2006/relationships/image" Target="media/image2160.png"/><Relationship Id="rId2168" Type="http://schemas.openxmlformats.org/officeDocument/2006/relationships/image" Target="media/image2161.png"/><Relationship Id="rId2169" Type="http://schemas.openxmlformats.org/officeDocument/2006/relationships/image" Target="media/image2162.png"/><Relationship Id="rId2170" Type="http://schemas.openxmlformats.org/officeDocument/2006/relationships/image" Target="media/image2163.png"/><Relationship Id="rId2171" Type="http://schemas.openxmlformats.org/officeDocument/2006/relationships/image" Target="media/image2164.png"/><Relationship Id="rId2172" Type="http://schemas.openxmlformats.org/officeDocument/2006/relationships/image" Target="media/image2165.png"/><Relationship Id="rId2173" Type="http://schemas.openxmlformats.org/officeDocument/2006/relationships/image" Target="media/image2166.png"/><Relationship Id="rId2174" Type="http://schemas.openxmlformats.org/officeDocument/2006/relationships/image" Target="media/image2167.png"/><Relationship Id="rId2175" Type="http://schemas.openxmlformats.org/officeDocument/2006/relationships/image" Target="media/image2168.png"/><Relationship Id="rId2176" Type="http://schemas.openxmlformats.org/officeDocument/2006/relationships/image" Target="media/image2169.png"/><Relationship Id="rId2177" Type="http://schemas.openxmlformats.org/officeDocument/2006/relationships/image" Target="media/image2170.png"/><Relationship Id="rId2178" Type="http://schemas.openxmlformats.org/officeDocument/2006/relationships/image" Target="media/image2171.png"/><Relationship Id="rId2179" Type="http://schemas.openxmlformats.org/officeDocument/2006/relationships/image" Target="media/image2172.png"/><Relationship Id="rId2180" Type="http://schemas.openxmlformats.org/officeDocument/2006/relationships/image" Target="media/image2173.png"/><Relationship Id="rId2181" Type="http://schemas.openxmlformats.org/officeDocument/2006/relationships/image" Target="media/image2174.png"/><Relationship Id="rId2182" Type="http://schemas.openxmlformats.org/officeDocument/2006/relationships/image" Target="media/image2175.png"/><Relationship Id="rId2183" Type="http://schemas.openxmlformats.org/officeDocument/2006/relationships/image" Target="media/image2176.png"/><Relationship Id="rId2184" Type="http://schemas.openxmlformats.org/officeDocument/2006/relationships/image" Target="media/image2177.png"/><Relationship Id="rId2185" Type="http://schemas.openxmlformats.org/officeDocument/2006/relationships/image" Target="media/image2178.png"/><Relationship Id="rId2186" Type="http://schemas.openxmlformats.org/officeDocument/2006/relationships/image" Target="media/image2179.png"/><Relationship Id="rId2187" Type="http://schemas.openxmlformats.org/officeDocument/2006/relationships/image" Target="media/image2180.png"/><Relationship Id="rId2188" Type="http://schemas.openxmlformats.org/officeDocument/2006/relationships/image" Target="media/image2181.png"/><Relationship Id="rId2189" Type="http://schemas.openxmlformats.org/officeDocument/2006/relationships/image" Target="media/image2182.png"/><Relationship Id="rId2190" Type="http://schemas.openxmlformats.org/officeDocument/2006/relationships/image" Target="media/image2183.png"/><Relationship Id="rId2191" Type="http://schemas.openxmlformats.org/officeDocument/2006/relationships/image" Target="media/image2184.png"/><Relationship Id="rId2192" Type="http://schemas.openxmlformats.org/officeDocument/2006/relationships/image" Target="media/image2185.png"/><Relationship Id="rId2193" Type="http://schemas.openxmlformats.org/officeDocument/2006/relationships/image" Target="media/image2186.png"/><Relationship Id="rId2194" Type="http://schemas.openxmlformats.org/officeDocument/2006/relationships/image" Target="media/image2187.png"/><Relationship Id="rId2195" Type="http://schemas.openxmlformats.org/officeDocument/2006/relationships/image" Target="media/image2188.png"/><Relationship Id="rId2196" Type="http://schemas.openxmlformats.org/officeDocument/2006/relationships/image" Target="media/image2189.png"/><Relationship Id="rId2197" Type="http://schemas.openxmlformats.org/officeDocument/2006/relationships/image" Target="media/image2190.png"/><Relationship Id="rId2198" Type="http://schemas.openxmlformats.org/officeDocument/2006/relationships/image" Target="media/image2191.png"/><Relationship Id="rId2199" Type="http://schemas.openxmlformats.org/officeDocument/2006/relationships/image" Target="media/image2192.png"/><Relationship Id="rId2200" Type="http://schemas.openxmlformats.org/officeDocument/2006/relationships/image" Target="media/image2193.png"/><Relationship Id="rId2201" Type="http://schemas.openxmlformats.org/officeDocument/2006/relationships/image" Target="media/image2194.png"/><Relationship Id="rId2202" Type="http://schemas.openxmlformats.org/officeDocument/2006/relationships/image" Target="media/image2195.png"/><Relationship Id="rId2203" Type="http://schemas.openxmlformats.org/officeDocument/2006/relationships/image" Target="media/image2196.png"/><Relationship Id="rId2204" Type="http://schemas.openxmlformats.org/officeDocument/2006/relationships/image" Target="media/image2197.png"/><Relationship Id="rId2205" Type="http://schemas.openxmlformats.org/officeDocument/2006/relationships/image" Target="media/image2198.png"/><Relationship Id="rId2206" Type="http://schemas.openxmlformats.org/officeDocument/2006/relationships/image" Target="media/image2199.png"/><Relationship Id="rId2207" Type="http://schemas.openxmlformats.org/officeDocument/2006/relationships/image" Target="media/image2200.png"/><Relationship Id="rId2208" Type="http://schemas.openxmlformats.org/officeDocument/2006/relationships/image" Target="media/image2201.png"/><Relationship Id="rId2209" Type="http://schemas.openxmlformats.org/officeDocument/2006/relationships/image" Target="media/image2202.png"/><Relationship Id="rId2210" Type="http://schemas.openxmlformats.org/officeDocument/2006/relationships/image" Target="media/image2203.png"/><Relationship Id="rId2211" Type="http://schemas.openxmlformats.org/officeDocument/2006/relationships/image" Target="media/image2204.png"/><Relationship Id="rId2212" Type="http://schemas.openxmlformats.org/officeDocument/2006/relationships/image" Target="media/image2205.png"/><Relationship Id="rId2213" Type="http://schemas.openxmlformats.org/officeDocument/2006/relationships/image" Target="media/image2206.png"/><Relationship Id="rId2214" Type="http://schemas.openxmlformats.org/officeDocument/2006/relationships/image" Target="media/image2207.png"/><Relationship Id="rId2215" Type="http://schemas.openxmlformats.org/officeDocument/2006/relationships/image" Target="media/image2208.png"/><Relationship Id="rId2216" Type="http://schemas.openxmlformats.org/officeDocument/2006/relationships/image" Target="media/image2209.png"/><Relationship Id="rId2217" Type="http://schemas.openxmlformats.org/officeDocument/2006/relationships/image" Target="media/image2210.png"/><Relationship Id="rId2218" Type="http://schemas.openxmlformats.org/officeDocument/2006/relationships/image" Target="media/image2211.png"/><Relationship Id="rId2219" Type="http://schemas.openxmlformats.org/officeDocument/2006/relationships/image" Target="media/image2212.png"/><Relationship Id="rId2220" Type="http://schemas.openxmlformats.org/officeDocument/2006/relationships/image" Target="media/image2213.png"/><Relationship Id="rId2221" Type="http://schemas.openxmlformats.org/officeDocument/2006/relationships/image" Target="media/image2214.png"/><Relationship Id="rId2222" Type="http://schemas.openxmlformats.org/officeDocument/2006/relationships/image" Target="media/image2215.png"/><Relationship Id="rId2223" Type="http://schemas.openxmlformats.org/officeDocument/2006/relationships/image" Target="media/image2216.png"/><Relationship Id="rId2224" Type="http://schemas.openxmlformats.org/officeDocument/2006/relationships/image" Target="media/image2217.png"/><Relationship Id="rId2225" Type="http://schemas.openxmlformats.org/officeDocument/2006/relationships/image" Target="media/image2218.png"/><Relationship Id="rId2226" Type="http://schemas.openxmlformats.org/officeDocument/2006/relationships/image" Target="media/image2219.png"/><Relationship Id="rId2227" Type="http://schemas.openxmlformats.org/officeDocument/2006/relationships/image" Target="media/image2220.png"/><Relationship Id="rId2228" Type="http://schemas.openxmlformats.org/officeDocument/2006/relationships/image" Target="media/image2221.png"/><Relationship Id="rId2229" Type="http://schemas.openxmlformats.org/officeDocument/2006/relationships/image" Target="media/image2222.png"/><Relationship Id="rId2230" Type="http://schemas.openxmlformats.org/officeDocument/2006/relationships/image" Target="media/image2223.png"/><Relationship Id="rId2231" Type="http://schemas.openxmlformats.org/officeDocument/2006/relationships/image" Target="media/image2224.png"/><Relationship Id="rId2232" Type="http://schemas.openxmlformats.org/officeDocument/2006/relationships/image" Target="media/image2225.png"/><Relationship Id="rId2233" Type="http://schemas.openxmlformats.org/officeDocument/2006/relationships/image" Target="media/image2226.png"/><Relationship Id="rId2234" Type="http://schemas.openxmlformats.org/officeDocument/2006/relationships/image" Target="media/image2227.png"/><Relationship Id="rId2235" Type="http://schemas.openxmlformats.org/officeDocument/2006/relationships/image" Target="media/image2228.png"/><Relationship Id="rId2236" Type="http://schemas.openxmlformats.org/officeDocument/2006/relationships/image" Target="media/image2229.png"/><Relationship Id="rId2237" Type="http://schemas.openxmlformats.org/officeDocument/2006/relationships/image" Target="media/image2230.png"/><Relationship Id="rId2238" Type="http://schemas.openxmlformats.org/officeDocument/2006/relationships/image" Target="media/image2231.png"/><Relationship Id="rId2239" Type="http://schemas.openxmlformats.org/officeDocument/2006/relationships/image" Target="media/image2232.png"/><Relationship Id="rId2240" Type="http://schemas.openxmlformats.org/officeDocument/2006/relationships/image" Target="media/image2233.png"/><Relationship Id="rId2241" Type="http://schemas.openxmlformats.org/officeDocument/2006/relationships/image" Target="media/image2234.png"/><Relationship Id="rId2242" Type="http://schemas.openxmlformats.org/officeDocument/2006/relationships/image" Target="media/image2235.png"/><Relationship Id="rId2243" Type="http://schemas.openxmlformats.org/officeDocument/2006/relationships/image" Target="media/image2236.png"/><Relationship Id="rId2244" Type="http://schemas.openxmlformats.org/officeDocument/2006/relationships/image" Target="media/image2237.png"/><Relationship Id="rId2245" Type="http://schemas.openxmlformats.org/officeDocument/2006/relationships/image" Target="media/image2238.png"/><Relationship Id="rId2246" Type="http://schemas.openxmlformats.org/officeDocument/2006/relationships/image" Target="media/image2239.png"/><Relationship Id="rId2247" Type="http://schemas.openxmlformats.org/officeDocument/2006/relationships/image" Target="media/image2240.png"/><Relationship Id="rId2248" Type="http://schemas.openxmlformats.org/officeDocument/2006/relationships/image" Target="media/image2241.png"/><Relationship Id="rId2249" Type="http://schemas.openxmlformats.org/officeDocument/2006/relationships/image" Target="media/image2242.png"/><Relationship Id="rId2250" Type="http://schemas.openxmlformats.org/officeDocument/2006/relationships/image" Target="media/image2243.png"/><Relationship Id="rId2251" Type="http://schemas.openxmlformats.org/officeDocument/2006/relationships/image" Target="media/image2244.png"/><Relationship Id="rId2252" Type="http://schemas.openxmlformats.org/officeDocument/2006/relationships/image" Target="media/image2245.png"/><Relationship Id="rId2253" Type="http://schemas.openxmlformats.org/officeDocument/2006/relationships/image" Target="media/image2246.png"/><Relationship Id="rId2254" Type="http://schemas.openxmlformats.org/officeDocument/2006/relationships/image" Target="media/image2247.png"/><Relationship Id="rId2255" Type="http://schemas.openxmlformats.org/officeDocument/2006/relationships/image" Target="media/image2248.png"/><Relationship Id="rId2256" Type="http://schemas.openxmlformats.org/officeDocument/2006/relationships/image" Target="media/image2249.png"/><Relationship Id="rId2257" Type="http://schemas.openxmlformats.org/officeDocument/2006/relationships/image" Target="media/image2250.png"/><Relationship Id="rId2258" Type="http://schemas.openxmlformats.org/officeDocument/2006/relationships/image" Target="media/image2251.png"/><Relationship Id="rId2259" Type="http://schemas.openxmlformats.org/officeDocument/2006/relationships/image" Target="media/image2252.png"/><Relationship Id="rId2260" Type="http://schemas.openxmlformats.org/officeDocument/2006/relationships/image" Target="media/image2253.png"/><Relationship Id="rId2261" Type="http://schemas.openxmlformats.org/officeDocument/2006/relationships/image" Target="media/image2254.png"/><Relationship Id="rId2262" Type="http://schemas.openxmlformats.org/officeDocument/2006/relationships/image" Target="media/image2255.png"/><Relationship Id="rId2263" Type="http://schemas.openxmlformats.org/officeDocument/2006/relationships/image" Target="media/image2256.png"/><Relationship Id="rId2264" Type="http://schemas.openxmlformats.org/officeDocument/2006/relationships/image" Target="media/image2257.png"/><Relationship Id="rId2265" Type="http://schemas.openxmlformats.org/officeDocument/2006/relationships/image" Target="media/image2258.png"/><Relationship Id="rId2266" Type="http://schemas.openxmlformats.org/officeDocument/2006/relationships/image" Target="media/image2259.png"/><Relationship Id="rId2267" Type="http://schemas.openxmlformats.org/officeDocument/2006/relationships/image" Target="media/image2260.png"/><Relationship Id="rId2268" Type="http://schemas.openxmlformats.org/officeDocument/2006/relationships/image" Target="media/image2261.png"/><Relationship Id="rId2269" Type="http://schemas.openxmlformats.org/officeDocument/2006/relationships/image" Target="media/image2262.png"/><Relationship Id="rId2270" Type="http://schemas.openxmlformats.org/officeDocument/2006/relationships/image" Target="media/image2263.png"/><Relationship Id="rId2271" Type="http://schemas.openxmlformats.org/officeDocument/2006/relationships/image" Target="media/image2264.png"/><Relationship Id="rId2272" Type="http://schemas.openxmlformats.org/officeDocument/2006/relationships/image" Target="media/image2265.png"/><Relationship Id="rId2273" Type="http://schemas.openxmlformats.org/officeDocument/2006/relationships/image" Target="media/image2266.png"/><Relationship Id="rId2274" Type="http://schemas.openxmlformats.org/officeDocument/2006/relationships/image" Target="media/image2267.png"/><Relationship Id="rId2275" Type="http://schemas.openxmlformats.org/officeDocument/2006/relationships/image" Target="media/image2268.png"/><Relationship Id="rId2276" Type="http://schemas.openxmlformats.org/officeDocument/2006/relationships/image" Target="media/image2269.png"/><Relationship Id="rId2277" Type="http://schemas.openxmlformats.org/officeDocument/2006/relationships/image" Target="media/image2270.png"/><Relationship Id="rId2278" Type="http://schemas.openxmlformats.org/officeDocument/2006/relationships/image" Target="media/image2271.png"/><Relationship Id="rId2279" Type="http://schemas.openxmlformats.org/officeDocument/2006/relationships/image" Target="media/image2272.png"/><Relationship Id="rId2280" Type="http://schemas.openxmlformats.org/officeDocument/2006/relationships/image" Target="media/image2273.png"/><Relationship Id="rId2281" Type="http://schemas.openxmlformats.org/officeDocument/2006/relationships/image" Target="media/image2274.png"/><Relationship Id="rId2282" Type="http://schemas.openxmlformats.org/officeDocument/2006/relationships/image" Target="media/image2275.png"/><Relationship Id="rId2283" Type="http://schemas.openxmlformats.org/officeDocument/2006/relationships/image" Target="media/image2276.png"/><Relationship Id="rId2284" Type="http://schemas.openxmlformats.org/officeDocument/2006/relationships/image" Target="media/image2277.png"/><Relationship Id="rId2285" Type="http://schemas.openxmlformats.org/officeDocument/2006/relationships/image" Target="media/image2278.png"/><Relationship Id="rId2286" Type="http://schemas.openxmlformats.org/officeDocument/2006/relationships/image" Target="media/image2279.png"/><Relationship Id="rId2287" Type="http://schemas.openxmlformats.org/officeDocument/2006/relationships/image" Target="media/image2280.png"/><Relationship Id="rId2288" Type="http://schemas.openxmlformats.org/officeDocument/2006/relationships/image" Target="media/image2281.png"/><Relationship Id="rId2289" Type="http://schemas.openxmlformats.org/officeDocument/2006/relationships/image" Target="media/image2282.png"/><Relationship Id="rId2290" Type="http://schemas.openxmlformats.org/officeDocument/2006/relationships/image" Target="media/image2283.png"/><Relationship Id="rId2291" Type="http://schemas.openxmlformats.org/officeDocument/2006/relationships/image" Target="media/image2284.png"/><Relationship Id="rId2292" Type="http://schemas.openxmlformats.org/officeDocument/2006/relationships/image" Target="media/image2285.png"/><Relationship Id="rId2293" Type="http://schemas.openxmlformats.org/officeDocument/2006/relationships/image" Target="media/image2286.png"/><Relationship Id="rId2294" Type="http://schemas.openxmlformats.org/officeDocument/2006/relationships/image" Target="media/image2287.png"/><Relationship Id="rId2295" Type="http://schemas.openxmlformats.org/officeDocument/2006/relationships/image" Target="media/image2288.png"/><Relationship Id="rId2296" Type="http://schemas.openxmlformats.org/officeDocument/2006/relationships/image" Target="media/image2289.png"/><Relationship Id="rId2297" Type="http://schemas.openxmlformats.org/officeDocument/2006/relationships/image" Target="media/image2290.png"/><Relationship Id="rId2298" Type="http://schemas.openxmlformats.org/officeDocument/2006/relationships/image" Target="media/image2291.png"/><Relationship Id="rId2299" Type="http://schemas.openxmlformats.org/officeDocument/2006/relationships/image" Target="media/image2292.png"/><Relationship Id="rId2300" Type="http://schemas.openxmlformats.org/officeDocument/2006/relationships/image" Target="media/image2293.png"/><Relationship Id="rId2301" Type="http://schemas.openxmlformats.org/officeDocument/2006/relationships/image" Target="media/image2294.png"/><Relationship Id="rId2302" Type="http://schemas.openxmlformats.org/officeDocument/2006/relationships/image" Target="media/image2295.png"/><Relationship Id="rId2303" Type="http://schemas.openxmlformats.org/officeDocument/2006/relationships/image" Target="media/image2296.png"/><Relationship Id="rId2304" Type="http://schemas.openxmlformats.org/officeDocument/2006/relationships/image" Target="media/image2297.png"/><Relationship Id="rId2305" Type="http://schemas.openxmlformats.org/officeDocument/2006/relationships/image" Target="media/image2298.png"/><Relationship Id="rId2306" Type="http://schemas.openxmlformats.org/officeDocument/2006/relationships/image" Target="media/image2299.png"/><Relationship Id="rId2307" Type="http://schemas.openxmlformats.org/officeDocument/2006/relationships/image" Target="media/image2300.png"/><Relationship Id="rId2308" Type="http://schemas.openxmlformats.org/officeDocument/2006/relationships/image" Target="media/image2301.png"/><Relationship Id="rId2309" Type="http://schemas.openxmlformats.org/officeDocument/2006/relationships/image" Target="media/image2302.png"/><Relationship Id="rId2310" Type="http://schemas.openxmlformats.org/officeDocument/2006/relationships/image" Target="media/image2303.png"/><Relationship Id="rId2311" Type="http://schemas.openxmlformats.org/officeDocument/2006/relationships/image" Target="media/image2304.png"/><Relationship Id="rId2312" Type="http://schemas.openxmlformats.org/officeDocument/2006/relationships/image" Target="media/image2305.png"/><Relationship Id="rId2313" Type="http://schemas.openxmlformats.org/officeDocument/2006/relationships/image" Target="media/image2306.png"/><Relationship Id="rId2314" Type="http://schemas.openxmlformats.org/officeDocument/2006/relationships/image" Target="media/image2307.png"/><Relationship Id="rId2315" Type="http://schemas.openxmlformats.org/officeDocument/2006/relationships/image" Target="media/image2308.png"/><Relationship Id="rId2316" Type="http://schemas.openxmlformats.org/officeDocument/2006/relationships/image" Target="media/image2309.png"/><Relationship Id="rId2317" Type="http://schemas.openxmlformats.org/officeDocument/2006/relationships/image" Target="media/image2310.png"/><Relationship Id="rId2318" Type="http://schemas.openxmlformats.org/officeDocument/2006/relationships/image" Target="media/image2311.png"/><Relationship Id="rId2319" Type="http://schemas.openxmlformats.org/officeDocument/2006/relationships/image" Target="media/image2312.png"/><Relationship Id="rId2320" Type="http://schemas.openxmlformats.org/officeDocument/2006/relationships/image" Target="media/image2313.png"/><Relationship Id="rId2321" Type="http://schemas.openxmlformats.org/officeDocument/2006/relationships/image" Target="media/image2314.png"/><Relationship Id="rId2322" Type="http://schemas.openxmlformats.org/officeDocument/2006/relationships/image" Target="media/image2315.png"/><Relationship Id="rId2323" Type="http://schemas.openxmlformats.org/officeDocument/2006/relationships/image" Target="media/image2316.png"/><Relationship Id="rId2324" Type="http://schemas.openxmlformats.org/officeDocument/2006/relationships/image" Target="media/image2317.png"/><Relationship Id="rId2325" Type="http://schemas.openxmlformats.org/officeDocument/2006/relationships/image" Target="media/image2318.png"/><Relationship Id="rId2326" Type="http://schemas.openxmlformats.org/officeDocument/2006/relationships/image" Target="media/image2319.png"/><Relationship Id="rId2327" Type="http://schemas.openxmlformats.org/officeDocument/2006/relationships/image" Target="media/image2320.png"/><Relationship Id="rId2328" Type="http://schemas.openxmlformats.org/officeDocument/2006/relationships/image" Target="media/image2321.png"/><Relationship Id="rId2329" Type="http://schemas.openxmlformats.org/officeDocument/2006/relationships/image" Target="media/image2322.png"/><Relationship Id="rId2330" Type="http://schemas.openxmlformats.org/officeDocument/2006/relationships/image" Target="media/image2323.png"/><Relationship Id="rId2331" Type="http://schemas.openxmlformats.org/officeDocument/2006/relationships/image" Target="media/image2324.png"/><Relationship Id="rId2332" Type="http://schemas.openxmlformats.org/officeDocument/2006/relationships/image" Target="media/image2325.png"/><Relationship Id="rId2333" Type="http://schemas.openxmlformats.org/officeDocument/2006/relationships/image" Target="media/image2326.png"/><Relationship Id="rId2334" Type="http://schemas.openxmlformats.org/officeDocument/2006/relationships/image" Target="media/image2327.png"/><Relationship Id="rId2335" Type="http://schemas.openxmlformats.org/officeDocument/2006/relationships/image" Target="media/image2328.png"/><Relationship Id="rId2336" Type="http://schemas.openxmlformats.org/officeDocument/2006/relationships/image" Target="media/image2329.png"/><Relationship Id="rId2337" Type="http://schemas.openxmlformats.org/officeDocument/2006/relationships/image" Target="media/image2330.png"/><Relationship Id="rId2338" Type="http://schemas.openxmlformats.org/officeDocument/2006/relationships/image" Target="media/image2331.png"/><Relationship Id="rId2339" Type="http://schemas.openxmlformats.org/officeDocument/2006/relationships/image" Target="media/image2332.png"/><Relationship Id="rId2340" Type="http://schemas.openxmlformats.org/officeDocument/2006/relationships/image" Target="media/image2333.png"/><Relationship Id="rId2341" Type="http://schemas.openxmlformats.org/officeDocument/2006/relationships/image" Target="media/image2334.png"/><Relationship Id="rId2342" Type="http://schemas.openxmlformats.org/officeDocument/2006/relationships/image" Target="media/image2335.png"/><Relationship Id="rId2343" Type="http://schemas.openxmlformats.org/officeDocument/2006/relationships/image" Target="media/image2336.png"/><Relationship Id="rId2344" Type="http://schemas.openxmlformats.org/officeDocument/2006/relationships/image" Target="media/image2337.png"/><Relationship Id="rId2345" Type="http://schemas.openxmlformats.org/officeDocument/2006/relationships/image" Target="media/image2338.png"/><Relationship Id="rId2346" Type="http://schemas.openxmlformats.org/officeDocument/2006/relationships/image" Target="media/image2339.png"/><Relationship Id="rId2347" Type="http://schemas.openxmlformats.org/officeDocument/2006/relationships/image" Target="media/image2340.png"/><Relationship Id="rId2348" Type="http://schemas.openxmlformats.org/officeDocument/2006/relationships/image" Target="media/image2341.png"/><Relationship Id="rId2349" Type="http://schemas.openxmlformats.org/officeDocument/2006/relationships/image" Target="media/image2342.png"/><Relationship Id="rId2350" Type="http://schemas.openxmlformats.org/officeDocument/2006/relationships/image" Target="media/image2343.png"/><Relationship Id="rId2351" Type="http://schemas.openxmlformats.org/officeDocument/2006/relationships/image" Target="media/image2344.png"/><Relationship Id="rId2352" Type="http://schemas.openxmlformats.org/officeDocument/2006/relationships/image" Target="media/image2345.png"/><Relationship Id="rId2353" Type="http://schemas.openxmlformats.org/officeDocument/2006/relationships/image" Target="media/image2346.png"/><Relationship Id="rId2354" Type="http://schemas.openxmlformats.org/officeDocument/2006/relationships/image" Target="media/image2347.png"/><Relationship Id="rId2355" Type="http://schemas.openxmlformats.org/officeDocument/2006/relationships/image" Target="media/image2348.png"/><Relationship Id="rId2356" Type="http://schemas.openxmlformats.org/officeDocument/2006/relationships/image" Target="media/image2349.png"/><Relationship Id="rId2357" Type="http://schemas.openxmlformats.org/officeDocument/2006/relationships/image" Target="media/image2350.png"/><Relationship Id="rId2358" Type="http://schemas.openxmlformats.org/officeDocument/2006/relationships/image" Target="media/image2351.png"/><Relationship Id="rId2359" Type="http://schemas.openxmlformats.org/officeDocument/2006/relationships/image" Target="media/image2352.png"/><Relationship Id="rId2360" Type="http://schemas.openxmlformats.org/officeDocument/2006/relationships/image" Target="media/image2353.png"/><Relationship Id="rId2361" Type="http://schemas.openxmlformats.org/officeDocument/2006/relationships/image" Target="media/image2354.png"/><Relationship Id="rId2362" Type="http://schemas.openxmlformats.org/officeDocument/2006/relationships/image" Target="media/image2355.png"/><Relationship Id="rId2363" Type="http://schemas.openxmlformats.org/officeDocument/2006/relationships/image" Target="media/image2356.png"/><Relationship Id="rId2364" Type="http://schemas.openxmlformats.org/officeDocument/2006/relationships/image" Target="media/image2357.png"/><Relationship Id="rId2365" Type="http://schemas.openxmlformats.org/officeDocument/2006/relationships/image" Target="media/image2358.png"/><Relationship Id="rId2366" Type="http://schemas.openxmlformats.org/officeDocument/2006/relationships/image" Target="media/image2359.png"/><Relationship Id="rId2367" Type="http://schemas.openxmlformats.org/officeDocument/2006/relationships/image" Target="media/image2360.png"/><Relationship Id="rId2368" Type="http://schemas.openxmlformats.org/officeDocument/2006/relationships/image" Target="media/image2361.png"/><Relationship Id="rId2369" Type="http://schemas.openxmlformats.org/officeDocument/2006/relationships/image" Target="media/image2362.png"/><Relationship Id="rId2370" Type="http://schemas.openxmlformats.org/officeDocument/2006/relationships/image" Target="media/image2363.png"/><Relationship Id="rId2371" Type="http://schemas.openxmlformats.org/officeDocument/2006/relationships/image" Target="media/image2364.png"/><Relationship Id="rId2372" Type="http://schemas.openxmlformats.org/officeDocument/2006/relationships/image" Target="media/image2365.png"/><Relationship Id="rId2373" Type="http://schemas.openxmlformats.org/officeDocument/2006/relationships/image" Target="media/image2366.png"/><Relationship Id="rId2374" Type="http://schemas.openxmlformats.org/officeDocument/2006/relationships/image" Target="media/image2367.png"/><Relationship Id="rId2375" Type="http://schemas.openxmlformats.org/officeDocument/2006/relationships/image" Target="media/image2368.png"/><Relationship Id="rId2376" Type="http://schemas.openxmlformats.org/officeDocument/2006/relationships/image" Target="media/image2369.png"/><Relationship Id="rId2377" Type="http://schemas.openxmlformats.org/officeDocument/2006/relationships/image" Target="media/image2370.png"/><Relationship Id="rId2378" Type="http://schemas.openxmlformats.org/officeDocument/2006/relationships/image" Target="media/image2371.png"/><Relationship Id="rId2379" Type="http://schemas.openxmlformats.org/officeDocument/2006/relationships/image" Target="media/image2372.png"/><Relationship Id="rId2380" Type="http://schemas.openxmlformats.org/officeDocument/2006/relationships/image" Target="media/image2373.png"/><Relationship Id="rId2381" Type="http://schemas.openxmlformats.org/officeDocument/2006/relationships/image" Target="media/image2374.png"/><Relationship Id="rId2382" Type="http://schemas.openxmlformats.org/officeDocument/2006/relationships/image" Target="media/image2375.png"/><Relationship Id="rId2383" Type="http://schemas.openxmlformats.org/officeDocument/2006/relationships/image" Target="media/image2376.png"/><Relationship Id="rId2384" Type="http://schemas.openxmlformats.org/officeDocument/2006/relationships/image" Target="media/image2377.png"/><Relationship Id="rId2385" Type="http://schemas.openxmlformats.org/officeDocument/2006/relationships/image" Target="media/image2378.png"/><Relationship Id="rId2386" Type="http://schemas.openxmlformats.org/officeDocument/2006/relationships/image" Target="media/image2379.png"/><Relationship Id="rId2387" Type="http://schemas.openxmlformats.org/officeDocument/2006/relationships/image" Target="media/image2380.png"/><Relationship Id="rId2388" Type="http://schemas.openxmlformats.org/officeDocument/2006/relationships/image" Target="media/image2381.png"/><Relationship Id="rId2389" Type="http://schemas.openxmlformats.org/officeDocument/2006/relationships/image" Target="media/image2382.png"/><Relationship Id="rId2390" Type="http://schemas.openxmlformats.org/officeDocument/2006/relationships/image" Target="media/image2383.png"/><Relationship Id="rId2391" Type="http://schemas.openxmlformats.org/officeDocument/2006/relationships/image" Target="media/image2384.png"/><Relationship Id="rId2392" Type="http://schemas.openxmlformats.org/officeDocument/2006/relationships/image" Target="media/image2385.png"/><Relationship Id="rId2393" Type="http://schemas.openxmlformats.org/officeDocument/2006/relationships/image" Target="media/image2386.png"/><Relationship Id="rId2394" Type="http://schemas.openxmlformats.org/officeDocument/2006/relationships/image" Target="media/image2387.png"/><Relationship Id="rId2395" Type="http://schemas.openxmlformats.org/officeDocument/2006/relationships/image" Target="media/image2388.png"/><Relationship Id="rId2396" Type="http://schemas.openxmlformats.org/officeDocument/2006/relationships/image" Target="media/image2389.png"/><Relationship Id="rId2397" Type="http://schemas.openxmlformats.org/officeDocument/2006/relationships/image" Target="media/image2390.png"/><Relationship Id="rId2398" Type="http://schemas.openxmlformats.org/officeDocument/2006/relationships/image" Target="media/image2391.png"/><Relationship Id="rId2399" Type="http://schemas.openxmlformats.org/officeDocument/2006/relationships/image" Target="media/image2392.png"/><Relationship Id="rId2400" Type="http://schemas.openxmlformats.org/officeDocument/2006/relationships/image" Target="media/image2393.png"/><Relationship Id="rId2401" Type="http://schemas.openxmlformats.org/officeDocument/2006/relationships/image" Target="media/image2394.png"/><Relationship Id="rId2402" Type="http://schemas.openxmlformats.org/officeDocument/2006/relationships/image" Target="media/image2395.png"/><Relationship Id="rId2403" Type="http://schemas.openxmlformats.org/officeDocument/2006/relationships/image" Target="media/image2396.png"/><Relationship Id="rId2404" Type="http://schemas.openxmlformats.org/officeDocument/2006/relationships/image" Target="media/image2397.png"/><Relationship Id="rId2405" Type="http://schemas.openxmlformats.org/officeDocument/2006/relationships/image" Target="media/image2398.png"/><Relationship Id="rId2406" Type="http://schemas.openxmlformats.org/officeDocument/2006/relationships/image" Target="media/image2399.png"/><Relationship Id="rId2407" Type="http://schemas.openxmlformats.org/officeDocument/2006/relationships/image" Target="media/image2400.png"/><Relationship Id="rId2408" Type="http://schemas.openxmlformats.org/officeDocument/2006/relationships/image" Target="media/image2401.png"/><Relationship Id="rId2409" Type="http://schemas.openxmlformats.org/officeDocument/2006/relationships/image" Target="media/image2402.png"/><Relationship Id="rId2410" Type="http://schemas.openxmlformats.org/officeDocument/2006/relationships/image" Target="media/image2403.png"/><Relationship Id="rId2411" Type="http://schemas.openxmlformats.org/officeDocument/2006/relationships/image" Target="media/image2404.png"/><Relationship Id="rId2412" Type="http://schemas.openxmlformats.org/officeDocument/2006/relationships/image" Target="media/image2405.png"/><Relationship Id="rId2413" Type="http://schemas.openxmlformats.org/officeDocument/2006/relationships/image" Target="media/image2406.png"/><Relationship Id="rId2414" Type="http://schemas.openxmlformats.org/officeDocument/2006/relationships/image" Target="media/image2407.png"/><Relationship Id="rId2415" Type="http://schemas.openxmlformats.org/officeDocument/2006/relationships/image" Target="media/image2408.png"/><Relationship Id="rId2416" Type="http://schemas.openxmlformats.org/officeDocument/2006/relationships/image" Target="media/image2409.png"/><Relationship Id="rId2417" Type="http://schemas.openxmlformats.org/officeDocument/2006/relationships/image" Target="media/image2410.png"/><Relationship Id="rId2418" Type="http://schemas.openxmlformats.org/officeDocument/2006/relationships/image" Target="media/image2411.png"/><Relationship Id="rId2419" Type="http://schemas.openxmlformats.org/officeDocument/2006/relationships/image" Target="media/image2412.png"/><Relationship Id="rId2420" Type="http://schemas.openxmlformats.org/officeDocument/2006/relationships/image" Target="media/image2413.png"/><Relationship Id="rId2421" Type="http://schemas.openxmlformats.org/officeDocument/2006/relationships/image" Target="media/image2414.png"/><Relationship Id="rId2422" Type="http://schemas.openxmlformats.org/officeDocument/2006/relationships/image" Target="media/image2415.png"/><Relationship Id="rId2423" Type="http://schemas.openxmlformats.org/officeDocument/2006/relationships/image" Target="media/image2416.png"/><Relationship Id="rId2424" Type="http://schemas.openxmlformats.org/officeDocument/2006/relationships/image" Target="media/image2417.png"/><Relationship Id="rId2425" Type="http://schemas.openxmlformats.org/officeDocument/2006/relationships/image" Target="media/image2418.png"/><Relationship Id="rId2426" Type="http://schemas.openxmlformats.org/officeDocument/2006/relationships/image" Target="media/image2419.png"/><Relationship Id="rId2427" Type="http://schemas.openxmlformats.org/officeDocument/2006/relationships/image" Target="media/image2420.png"/><Relationship Id="rId2428" Type="http://schemas.openxmlformats.org/officeDocument/2006/relationships/image" Target="media/image2421.png"/><Relationship Id="rId2429" Type="http://schemas.openxmlformats.org/officeDocument/2006/relationships/image" Target="media/image2422.png"/><Relationship Id="rId2430" Type="http://schemas.openxmlformats.org/officeDocument/2006/relationships/image" Target="media/image2423.png"/><Relationship Id="rId2431" Type="http://schemas.openxmlformats.org/officeDocument/2006/relationships/image" Target="media/image2424.png"/><Relationship Id="rId2432" Type="http://schemas.openxmlformats.org/officeDocument/2006/relationships/image" Target="media/image2425.png"/><Relationship Id="rId2433" Type="http://schemas.openxmlformats.org/officeDocument/2006/relationships/image" Target="media/image2426.png"/><Relationship Id="rId2434" Type="http://schemas.openxmlformats.org/officeDocument/2006/relationships/image" Target="media/image2427.png"/><Relationship Id="rId2435" Type="http://schemas.openxmlformats.org/officeDocument/2006/relationships/image" Target="media/image2428.png"/><Relationship Id="rId2436" Type="http://schemas.openxmlformats.org/officeDocument/2006/relationships/image" Target="media/image2429.png"/><Relationship Id="rId2437" Type="http://schemas.openxmlformats.org/officeDocument/2006/relationships/image" Target="media/image2430.png"/><Relationship Id="rId2438" Type="http://schemas.openxmlformats.org/officeDocument/2006/relationships/image" Target="media/image2431.png"/><Relationship Id="rId2439" Type="http://schemas.openxmlformats.org/officeDocument/2006/relationships/image" Target="media/image2432.png"/><Relationship Id="rId2440" Type="http://schemas.openxmlformats.org/officeDocument/2006/relationships/image" Target="media/image2433.png"/><Relationship Id="rId2441" Type="http://schemas.openxmlformats.org/officeDocument/2006/relationships/image" Target="media/image2434.png"/><Relationship Id="rId2442" Type="http://schemas.openxmlformats.org/officeDocument/2006/relationships/image" Target="media/image2435.png"/><Relationship Id="rId2443" Type="http://schemas.openxmlformats.org/officeDocument/2006/relationships/image" Target="media/image2436.png"/><Relationship Id="rId2444" Type="http://schemas.openxmlformats.org/officeDocument/2006/relationships/image" Target="media/image2437.png"/><Relationship Id="rId2445" Type="http://schemas.openxmlformats.org/officeDocument/2006/relationships/image" Target="media/image2438.png"/><Relationship Id="rId2446" Type="http://schemas.openxmlformats.org/officeDocument/2006/relationships/image" Target="media/image2439.png"/><Relationship Id="rId2447" Type="http://schemas.openxmlformats.org/officeDocument/2006/relationships/image" Target="media/image2440.png"/><Relationship Id="rId2448" Type="http://schemas.openxmlformats.org/officeDocument/2006/relationships/image" Target="media/image2441.png"/><Relationship Id="rId2449" Type="http://schemas.openxmlformats.org/officeDocument/2006/relationships/image" Target="media/image2442.png"/><Relationship Id="rId2450" Type="http://schemas.openxmlformats.org/officeDocument/2006/relationships/image" Target="media/image2443.png"/><Relationship Id="rId2451" Type="http://schemas.openxmlformats.org/officeDocument/2006/relationships/image" Target="media/image2444.png"/><Relationship Id="rId2452" Type="http://schemas.openxmlformats.org/officeDocument/2006/relationships/image" Target="media/image2445.png"/><Relationship Id="rId2453" Type="http://schemas.openxmlformats.org/officeDocument/2006/relationships/image" Target="media/image2446.png"/><Relationship Id="rId2454" Type="http://schemas.openxmlformats.org/officeDocument/2006/relationships/image" Target="media/image2447.png"/><Relationship Id="rId2455" Type="http://schemas.openxmlformats.org/officeDocument/2006/relationships/image" Target="media/image2448.png"/><Relationship Id="rId2456" Type="http://schemas.openxmlformats.org/officeDocument/2006/relationships/image" Target="media/image2449.png"/><Relationship Id="rId2457" Type="http://schemas.openxmlformats.org/officeDocument/2006/relationships/image" Target="media/image2450.png"/><Relationship Id="rId2458" Type="http://schemas.openxmlformats.org/officeDocument/2006/relationships/image" Target="media/image2451.png"/><Relationship Id="rId2459" Type="http://schemas.openxmlformats.org/officeDocument/2006/relationships/image" Target="media/image2452.png"/><Relationship Id="rId2460" Type="http://schemas.openxmlformats.org/officeDocument/2006/relationships/image" Target="media/image2453.png"/><Relationship Id="rId2461" Type="http://schemas.openxmlformats.org/officeDocument/2006/relationships/image" Target="media/image2454.png"/><Relationship Id="rId2462" Type="http://schemas.openxmlformats.org/officeDocument/2006/relationships/image" Target="media/image2455.png"/><Relationship Id="rId2463" Type="http://schemas.openxmlformats.org/officeDocument/2006/relationships/image" Target="media/image2456.png"/><Relationship Id="rId2464" Type="http://schemas.openxmlformats.org/officeDocument/2006/relationships/image" Target="media/image2457.png"/><Relationship Id="rId2465" Type="http://schemas.openxmlformats.org/officeDocument/2006/relationships/image" Target="media/image2458.png"/><Relationship Id="rId2466" Type="http://schemas.openxmlformats.org/officeDocument/2006/relationships/image" Target="media/image2459.png"/><Relationship Id="rId2467" Type="http://schemas.openxmlformats.org/officeDocument/2006/relationships/image" Target="media/image2460.png"/><Relationship Id="rId2468" Type="http://schemas.openxmlformats.org/officeDocument/2006/relationships/image" Target="media/image2461.png"/><Relationship Id="rId2469" Type="http://schemas.openxmlformats.org/officeDocument/2006/relationships/image" Target="media/image2462.png"/><Relationship Id="rId2470" Type="http://schemas.openxmlformats.org/officeDocument/2006/relationships/image" Target="media/image2463.png"/><Relationship Id="rId2471" Type="http://schemas.openxmlformats.org/officeDocument/2006/relationships/image" Target="media/image2464.png"/><Relationship Id="rId2472" Type="http://schemas.openxmlformats.org/officeDocument/2006/relationships/image" Target="media/image2465.png"/><Relationship Id="rId2473" Type="http://schemas.openxmlformats.org/officeDocument/2006/relationships/image" Target="media/image2466.png"/><Relationship Id="rId2474" Type="http://schemas.openxmlformats.org/officeDocument/2006/relationships/image" Target="media/image2467.png"/><Relationship Id="rId2475" Type="http://schemas.openxmlformats.org/officeDocument/2006/relationships/image" Target="media/image2468.png"/><Relationship Id="rId2476" Type="http://schemas.openxmlformats.org/officeDocument/2006/relationships/image" Target="media/image2469.png"/><Relationship Id="rId2477" Type="http://schemas.openxmlformats.org/officeDocument/2006/relationships/image" Target="media/image2470.png"/><Relationship Id="rId2478" Type="http://schemas.openxmlformats.org/officeDocument/2006/relationships/image" Target="media/image2471.png"/><Relationship Id="rId2479" Type="http://schemas.openxmlformats.org/officeDocument/2006/relationships/image" Target="media/image2472.png"/><Relationship Id="rId2480" Type="http://schemas.openxmlformats.org/officeDocument/2006/relationships/image" Target="media/image2473.png"/><Relationship Id="rId2481" Type="http://schemas.openxmlformats.org/officeDocument/2006/relationships/image" Target="media/image2474.png"/><Relationship Id="rId2482" Type="http://schemas.openxmlformats.org/officeDocument/2006/relationships/image" Target="media/image2475.png"/><Relationship Id="rId2483" Type="http://schemas.openxmlformats.org/officeDocument/2006/relationships/image" Target="media/image2476.png"/><Relationship Id="rId2484" Type="http://schemas.openxmlformats.org/officeDocument/2006/relationships/image" Target="media/image2477.png"/><Relationship Id="rId2485" Type="http://schemas.openxmlformats.org/officeDocument/2006/relationships/image" Target="media/image2478.png"/><Relationship Id="rId2486" Type="http://schemas.openxmlformats.org/officeDocument/2006/relationships/image" Target="media/image2479.png"/><Relationship Id="rId2487" Type="http://schemas.openxmlformats.org/officeDocument/2006/relationships/image" Target="media/image2480.png"/><Relationship Id="rId2488" Type="http://schemas.openxmlformats.org/officeDocument/2006/relationships/image" Target="media/image2481.png"/><Relationship Id="rId2489" Type="http://schemas.openxmlformats.org/officeDocument/2006/relationships/image" Target="media/image2482.png"/><Relationship Id="rId2490" Type="http://schemas.openxmlformats.org/officeDocument/2006/relationships/image" Target="media/image2483.png"/><Relationship Id="rId2491" Type="http://schemas.openxmlformats.org/officeDocument/2006/relationships/image" Target="media/image2484.png"/><Relationship Id="rId2492" Type="http://schemas.openxmlformats.org/officeDocument/2006/relationships/image" Target="media/image2485.png"/><Relationship Id="rId2493" Type="http://schemas.openxmlformats.org/officeDocument/2006/relationships/image" Target="media/image2486.png"/><Relationship Id="rId2494" Type="http://schemas.openxmlformats.org/officeDocument/2006/relationships/image" Target="media/image2487.png"/><Relationship Id="rId2495" Type="http://schemas.openxmlformats.org/officeDocument/2006/relationships/image" Target="media/image2488.png"/><Relationship Id="rId2496" Type="http://schemas.openxmlformats.org/officeDocument/2006/relationships/image" Target="media/image2489.png"/><Relationship Id="rId2497" Type="http://schemas.openxmlformats.org/officeDocument/2006/relationships/image" Target="media/image2490.png"/><Relationship Id="rId2498" Type="http://schemas.openxmlformats.org/officeDocument/2006/relationships/image" Target="media/image2491.png"/><Relationship Id="rId2499" Type="http://schemas.openxmlformats.org/officeDocument/2006/relationships/image" Target="media/image2492.png"/><Relationship Id="rId2500" Type="http://schemas.openxmlformats.org/officeDocument/2006/relationships/image" Target="media/image2493.png"/><Relationship Id="rId2501" Type="http://schemas.openxmlformats.org/officeDocument/2006/relationships/image" Target="media/image2494.png"/><Relationship Id="rId2502" Type="http://schemas.openxmlformats.org/officeDocument/2006/relationships/image" Target="media/image2495.png"/><Relationship Id="rId2503" Type="http://schemas.openxmlformats.org/officeDocument/2006/relationships/image" Target="media/image2496.png"/><Relationship Id="rId2504" Type="http://schemas.openxmlformats.org/officeDocument/2006/relationships/image" Target="media/image2497.png"/><Relationship Id="rId2505" Type="http://schemas.openxmlformats.org/officeDocument/2006/relationships/image" Target="media/image2498.png"/><Relationship Id="rId2506" Type="http://schemas.openxmlformats.org/officeDocument/2006/relationships/image" Target="media/image2499.png"/><Relationship Id="rId2507" Type="http://schemas.openxmlformats.org/officeDocument/2006/relationships/image" Target="media/image2500.png"/><Relationship Id="rId2508" Type="http://schemas.openxmlformats.org/officeDocument/2006/relationships/image" Target="media/image2501.png"/><Relationship Id="rId2509" Type="http://schemas.openxmlformats.org/officeDocument/2006/relationships/image" Target="media/image2502.png"/><Relationship Id="rId2510" Type="http://schemas.openxmlformats.org/officeDocument/2006/relationships/image" Target="media/image2503.png"/><Relationship Id="rId2511" Type="http://schemas.openxmlformats.org/officeDocument/2006/relationships/image" Target="media/image2504.png"/><Relationship Id="rId2512" Type="http://schemas.openxmlformats.org/officeDocument/2006/relationships/image" Target="media/image2505.png"/><Relationship Id="rId2513" Type="http://schemas.openxmlformats.org/officeDocument/2006/relationships/image" Target="media/image2506.png"/><Relationship Id="rId2514" Type="http://schemas.openxmlformats.org/officeDocument/2006/relationships/image" Target="media/image2507.png"/><Relationship Id="rId2515" Type="http://schemas.openxmlformats.org/officeDocument/2006/relationships/image" Target="media/image2508.png"/><Relationship Id="rId2516" Type="http://schemas.openxmlformats.org/officeDocument/2006/relationships/image" Target="media/image2509.png"/><Relationship Id="rId2517" Type="http://schemas.openxmlformats.org/officeDocument/2006/relationships/image" Target="media/image2510.png"/><Relationship Id="rId2518" Type="http://schemas.openxmlformats.org/officeDocument/2006/relationships/image" Target="media/image2511.png"/><Relationship Id="rId2519" Type="http://schemas.openxmlformats.org/officeDocument/2006/relationships/image" Target="media/image2512.png"/><Relationship Id="rId2520" Type="http://schemas.openxmlformats.org/officeDocument/2006/relationships/image" Target="media/image2513.png"/><Relationship Id="rId2521" Type="http://schemas.openxmlformats.org/officeDocument/2006/relationships/image" Target="media/image2514.png"/><Relationship Id="rId2522" Type="http://schemas.openxmlformats.org/officeDocument/2006/relationships/image" Target="media/image2515.png"/><Relationship Id="rId2523" Type="http://schemas.openxmlformats.org/officeDocument/2006/relationships/image" Target="media/image2516.png"/><Relationship Id="rId2524" Type="http://schemas.openxmlformats.org/officeDocument/2006/relationships/image" Target="media/image2517.png"/><Relationship Id="rId2525" Type="http://schemas.openxmlformats.org/officeDocument/2006/relationships/image" Target="media/image2518.png"/><Relationship Id="rId2526" Type="http://schemas.openxmlformats.org/officeDocument/2006/relationships/image" Target="media/image2519.png"/><Relationship Id="rId2527" Type="http://schemas.openxmlformats.org/officeDocument/2006/relationships/image" Target="media/image2520.png"/><Relationship Id="rId2528" Type="http://schemas.openxmlformats.org/officeDocument/2006/relationships/image" Target="media/image2521.png"/><Relationship Id="rId2529" Type="http://schemas.openxmlformats.org/officeDocument/2006/relationships/image" Target="media/image2522.png"/><Relationship Id="rId2530" Type="http://schemas.openxmlformats.org/officeDocument/2006/relationships/image" Target="media/image2523.png"/><Relationship Id="rId2531" Type="http://schemas.openxmlformats.org/officeDocument/2006/relationships/image" Target="media/image2524.png"/><Relationship Id="rId2532" Type="http://schemas.openxmlformats.org/officeDocument/2006/relationships/image" Target="media/image2525.png"/><Relationship Id="rId2533" Type="http://schemas.openxmlformats.org/officeDocument/2006/relationships/image" Target="media/image2526.png"/><Relationship Id="rId2534" Type="http://schemas.openxmlformats.org/officeDocument/2006/relationships/image" Target="media/image2527.png"/><Relationship Id="rId2535" Type="http://schemas.openxmlformats.org/officeDocument/2006/relationships/image" Target="media/image2528.png"/><Relationship Id="rId2536" Type="http://schemas.openxmlformats.org/officeDocument/2006/relationships/image" Target="media/image2529.png"/><Relationship Id="rId2537" Type="http://schemas.openxmlformats.org/officeDocument/2006/relationships/image" Target="media/image2530.png"/><Relationship Id="rId2538" Type="http://schemas.openxmlformats.org/officeDocument/2006/relationships/image" Target="media/image2531.png"/><Relationship Id="rId2539" Type="http://schemas.openxmlformats.org/officeDocument/2006/relationships/image" Target="media/image2532.png"/><Relationship Id="rId2540" Type="http://schemas.openxmlformats.org/officeDocument/2006/relationships/image" Target="media/image2533.png"/><Relationship Id="rId2541" Type="http://schemas.openxmlformats.org/officeDocument/2006/relationships/image" Target="media/image2534.png"/><Relationship Id="rId2542" Type="http://schemas.openxmlformats.org/officeDocument/2006/relationships/image" Target="media/image2535.png"/><Relationship Id="rId2543" Type="http://schemas.openxmlformats.org/officeDocument/2006/relationships/image" Target="media/image2536.png"/><Relationship Id="rId2544" Type="http://schemas.openxmlformats.org/officeDocument/2006/relationships/image" Target="media/image2537.png"/><Relationship Id="rId2545" Type="http://schemas.openxmlformats.org/officeDocument/2006/relationships/image" Target="media/image2538.png"/><Relationship Id="rId2546" Type="http://schemas.openxmlformats.org/officeDocument/2006/relationships/image" Target="media/image2539.png"/><Relationship Id="rId2547" Type="http://schemas.openxmlformats.org/officeDocument/2006/relationships/image" Target="media/image2540.png"/><Relationship Id="rId2548" Type="http://schemas.openxmlformats.org/officeDocument/2006/relationships/image" Target="media/image2541.png"/><Relationship Id="rId2549" Type="http://schemas.openxmlformats.org/officeDocument/2006/relationships/image" Target="media/image2542.png"/><Relationship Id="rId2550" Type="http://schemas.openxmlformats.org/officeDocument/2006/relationships/image" Target="media/image2543.png"/><Relationship Id="rId2551" Type="http://schemas.openxmlformats.org/officeDocument/2006/relationships/image" Target="media/image2544.png"/><Relationship Id="rId2552" Type="http://schemas.openxmlformats.org/officeDocument/2006/relationships/image" Target="media/image2545.png"/><Relationship Id="rId2553" Type="http://schemas.openxmlformats.org/officeDocument/2006/relationships/image" Target="media/image2546.png"/><Relationship Id="rId2554" Type="http://schemas.openxmlformats.org/officeDocument/2006/relationships/image" Target="media/image2547.png"/><Relationship Id="rId2555" Type="http://schemas.openxmlformats.org/officeDocument/2006/relationships/image" Target="media/image2548.png"/><Relationship Id="rId2556" Type="http://schemas.openxmlformats.org/officeDocument/2006/relationships/image" Target="media/image2549.png"/><Relationship Id="rId2557" Type="http://schemas.openxmlformats.org/officeDocument/2006/relationships/image" Target="media/image2550.png"/><Relationship Id="rId2558" Type="http://schemas.openxmlformats.org/officeDocument/2006/relationships/image" Target="media/image2551.png"/><Relationship Id="rId2559" Type="http://schemas.openxmlformats.org/officeDocument/2006/relationships/image" Target="media/image2552.png"/><Relationship Id="rId2560" Type="http://schemas.openxmlformats.org/officeDocument/2006/relationships/image" Target="media/image2553.png"/><Relationship Id="rId2561" Type="http://schemas.openxmlformats.org/officeDocument/2006/relationships/image" Target="media/image2554.png"/><Relationship Id="rId2562" Type="http://schemas.openxmlformats.org/officeDocument/2006/relationships/image" Target="media/image2555.png"/><Relationship Id="rId2563" Type="http://schemas.openxmlformats.org/officeDocument/2006/relationships/image" Target="media/image2556.png"/><Relationship Id="rId2564" Type="http://schemas.openxmlformats.org/officeDocument/2006/relationships/image" Target="media/image2557.png"/><Relationship Id="rId2565" Type="http://schemas.openxmlformats.org/officeDocument/2006/relationships/image" Target="media/image2558.png"/><Relationship Id="rId2566" Type="http://schemas.openxmlformats.org/officeDocument/2006/relationships/image" Target="media/image2559.png"/><Relationship Id="rId2567" Type="http://schemas.openxmlformats.org/officeDocument/2006/relationships/image" Target="media/image2560.png"/><Relationship Id="rId2568" Type="http://schemas.openxmlformats.org/officeDocument/2006/relationships/image" Target="media/image2561.png"/><Relationship Id="rId2569" Type="http://schemas.openxmlformats.org/officeDocument/2006/relationships/image" Target="media/image2562.png"/><Relationship Id="rId2570" Type="http://schemas.openxmlformats.org/officeDocument/2006/relationships/image" Target="media/image2563.png"/><Relationship Id="rId2571" Type="http://schemas.openxmlformats.org/officeDocument/2006/relationships/image" Target="media/image2564.png"/><Relationship Id="rId2572" Type="http://schemas.openxmlformats.org/officeDocument/2006/relationships/image" Target="media/image2565.png"/><Relationship Id="rId2573" Type="http://schemas.openxmlformats.org/officeDocument/2006/relationships/image" Target="media/image2566.png"/><Relationship Id="rId2574" Type="http://schemas.openxmlformats.org/officeDocument/2006/relationships/image" Target="media/image2567.png"/><Relationship Id="rId2575" Type="http://schemas.openxmlformats.org/officeDocument/2006/relationships/image" Target="media/image2568.png"/><Relationship Id="rId2576" Type="http://schemas.openxmlformats.org/officeDocument/2006/relationships/image" Target="media/image2569.png"/><Relationship Id="rId2577" Type="http://schemas.openxmlformats.org/officeDocument/2006/relationships/image" Target="media/image2570.png"/><Relationship Id="rId2578" Type="http://schemas.openxmlformats.org/officeDocument/2006/relationships/image" Target="media/image2571.png"/><Relationship Id="rId2579" Type="http://schemas.openxmlformats.org/officeDocument/2006/relationships/image" Target="media/image2572.png"/><Relationship Id="rId2580" Type="http://schemas.openxmlformats.org/officeDocument/2006/relationships/image" Target="media/image2573.png"/><Relationship Id="rId2581" Type="http://schemas.openxmlformats.org/officeDocument/2006/relationships/image" Target="media/image2574.png"/><Relationship Id="rId2582" Type="http://schemas.openxmlformats.org/officeDocument/2006/relationships/image" Target="media/image2575.png"/><Relationship Id="rId2583" Type="http://schemas.openxmlformats.org/officeDocument/2006/relationships/image" Target="media/image2576.png"/><Relationship Id="rId2584" Type="http://schemas.openxmlformats.org/officeDocument/2006/relationships/image" Target="media/image2577.png"/><Relationship Id="rId2585" Type="http://schemas.openxmlformats.org/officeDocument/2006/relationships/image" Target="media/image2578.png"/><Relationship Id="rId2586" Type="http://schemas.openxmlformats.org/officeDocument/2006/relationships/image" Target="media/image2579.png"/><Relationship Id="rId2587" Type="http://schemas.openxmlformats.org/officeDocument/2006/relationships/image" Target="media/image2580.png"/><Relationship Id="rId2588" Type="http://schemas.openxmlformats.org/officeDocument/2006/relationships/image" Target="media/image2581.png"/><Relationship Id="rId2589" Type="http://schemas.openxmlformats.org/officeDocument/2006/relationships/image" Target="media/image2582.png"/><Relationship Id="rId2590" Type="http://schemas.openxmlformats.org/officeDocument/2006/relationships/image" Target="media/image2583.png"/><Relationship Id="rId2591" Type="http://schemas.openxmlformats.org/officeDocument/2006/relationships/image" Target="media/image2584.png"/><Relationship Id="rId2592" Type="http://schemas.openxmlformats.org/officeDocument/2006/relationships/image" Target="media/image2585.png"/><Relationship Id="rId2593" Type="http://schemas.openxmlformats.org/officeDocument/2006/relationships/image" Target="media/image2586.png"/><Relationship Id="rId2594" Type="http://schemas.openxmlformats.org/officeDocument/2006/relationships/image" Target="media/image2587.png"/><Relationship Id="rId2595" Type="http://schemas.openxmlformats.org/officeDocument/2006/relationships/image" Target="media/image2588.png"/><Relationship Id="rId2596" Type="http://schemas.openxmlformats.org/officeDocument/2006/relationships/image" Target="media/image2589.png"/><Relationship Id="rId2597" Type="http://schemas.openxmlformats.org/officeDocument/2006/relationships/image" Target="media/image2590.png"/><Relationship Id="rId2598" Type="http://schemas.openxmlformats.org/officeDocument/2006/relationships/image" Target="media/image2591.png"/><Relationship Id="rId2599" Type="http://schemas.openxmlformats.org/officeDocument/2006/relationships/image" Target="media/image2592.png"/><Relationship Id="rId2600" Type="http://schemas.openxmlformats.org/officeDocument/2006/relationships/image" Target="media/image2593.png"/><Relationship Id="rId2601" Type="http://schemas.openxmlformats.org/officeDocument/2006/relationships/image" Target="media/image2594.png"/><Relationship Id="rId2602" Type="http://schemas.openxmlformats.org/officeDocument/2006/relationships/image" Target="media/image2595.png"/><Relationship Id="rId2603" Type="http://schemas.openxmlformats.org/officeDocument/2006/relationships/image" Target="media/image2596.png"/><Relationship Id="rId2604" Type="http://schemas.openxmlformats.org/officeDocument/2006/relationships/image" Target="media/image2597.png"/><Relationship Id="rId2605" Type="http://schemas.openxmlformats.org/officeDocument/2006/relationships/image" Target="media/image2598.png"/><Relationship Id="rId2606" Type="http://schemas.openxmlformats.org/officeDocument/2006/relationships/image" Target="media/image2599.png"/><Relationship Id="rId2607" Type="http://schemas.openxmlformats.org/officeDocument/2006/relationships/image" Target="media/image2600.png"/><Relationship Id="rId2608" Type="http://schemas.openxmlformats.org/officeDocument/2006/relationships/image" Target="media/image2601.png"/><Relationship Id="rId2609" Type="http://schemas.openxmlformats.org/officeDocument/2006/relationships/image" Target="media/image2602.png"/><Relationship Id="rId2610" Type="http://schemas.openxmlformats.org/officeDocument/2006/relationships/image" Target="media/image2603.png"/><Relationship Id="rId2611" Type="http://schemas.openxmlformats.org/officeDocument/2006/relationships/image" Target="media/image2604.png"/><Relationship Id="rId2612" Type="http://schemas.openxmlformats.org/officeDocument/2006/relationships/image" Target="media/image2605.png"/><Relationship Id="rId2613" Type="http://schemas.openxmlformats.org/officeDocument/2006/relationships/image" Target="media/image2606.png"/><Relationship Id="rId2614" Type="http://schemas.openxmlformats.org/officeDocument/2006/relationships/image" Target="media/image2607.png"/><Relationship Id="rId2615" Type="http://schemas.openxmlformats.org/officeDocument/2006/relationships/image" Target="media/image2608.png"/><Relationship Id="rId2616" Type="http://schemas.openxmlformats.org/officeDocument/2006/relationships/image" Target="media/image2609.png"/><Relationship Id="rId2617" Type="http://schemas.openxmlformats.org/officeDocument/2006/relationships/image" Target="media/image2610.png"/><Relationship Id="rId2618" Type="http://schemas.openxmlformats.org/officeDocument/2006/relationships/image" Target="media/image2611.png"/><Relationship Id="rId2619" Type="http://schemas.openxmlformats.org/officeDocument/2006/relationships/image" Target="media/image2612.png"/><Relationship Id="rId2620" Type="http://schemas.openxmlformats.org/officeDocument/2006/relationships/image" Target="media/image2613.png"/><Relationship Id="rId2621" Type="http://schemas.openxmlformats.org/officeDocument/2006/relationships/image" Target="media/image2614.png"/><Relationship Id="rId2622" Type="http://schemas.openxmlformats.org/officeDocument/2006/relationships/image" Target="media/image2615.png"/><Relationship Id="rId2623" Type="http://schemas.openxmlformats.org/officeDocument/2006/relationships/image" Target="media/image2616.png"/><Relationship Id="rId2624" Type="http://schemas.openxmlformats.org/officeDocument/2006/relationships/image" Target="media/image2617.png"/><Relationship Id="rId2625" Type="http://schemas.openxmlformats.org/officeDocument/2006/relationships/image" Target="media/image2618.png"/><Relationship Id="rId2626" Type="http://schemas.openxmlformats.org/officeDocument/2006/relationships/image" Target="media/image2619.png"/><Relationship Id="rId2627" Type="http://schemas.openxmlformats.org/officeDocument/2006/relationships/image" Target="media/image2620.png"/><Relationship Id="rId2628" Type="http://schemas.openxmlformats.org/officeDocument/2006/relationships/image" Target="media/image2621.png"/><Relationship Id="rId2629" Type="http://schemas.openxmlformats.org/officeDocument/2006/relationships/image" Target="media/image2622.png"/><Relationship Id="rId2630" Type="http://schemas.openxmlformats.org/officeDocument/2006/relationships/image" Target="media/image2623.png"/><Relationship Id="rId2631" Type="http://schemas.openxmlformats.org/officeDocument/2006/relationships/image" Target="media/image2624.png"/><Relationship Id="rId2632" Type="http://schemas.openxmlformats.org/officeDocument/2006/relationships/image" Target="media/image2625.png"/><Relationship Id="rId2633" Type="http://schemas.openxmlformats.org/officeDocument/2006/relationships/image" Target="media/image2626.png"/><Relationship Id="rId2634" Type="http://schemas.openxmlformats.org/officeDocument/2006/relationships/image" Target="media/image2627.png"/><Relationship Id="rId2635" Type="http://schemas.openxmlformats.org/officeDocument/2006/relationships/image" Target="media/image2628.png"/><Relationship Id="rId2636" Type="http://schemas.openxmlformats.org/officeDocument/2006/relationships/image" Target="media/image2629.png"/><Relationship Id="rId2637" Type="http://schemas.openxmlformats.org/officeDocument/2006/relationships/image" Target="media/image2630.png"/><Relationship Id="rId2638" Type="http://schemas.openxmlformats.org/officeDocument/2006/relationships/image" Target="media/image2631.png"/><Relationship Id="rId2639" Type="http://schemas.openxmlformats.org/officeDocument/2006/relationships/image" Target="media/image2632.png"/><Relationship Id="rId2640" Type="http://schemas.openxmlformats.org/officeDocument/2006/relationships/image" Target="media/image2633.png"/><Relationship Id="rId2641" Type="http://schemas.openxmlformats.org/officeDocument/2006/relationships/image" Target="media/image2634.png"/><Relationship Id="rId2642" Type="http://schemas.openxmlformats.org/officeDocument/2006/relationships/image" Target="media/image2635.png"/><Relationship Id="rId2643" Type="http://schemas.openxmlformats.org/officeDocument/2006/relationships/image" Target="media/image2636.png"/><Relationship Id="rId2644" Type="http://schemas.openxmlformats.org/officeDocument/2006/relationships/image" Target="media/image2637.png"/><Relationship Id="rId2645" Type="http://schemas.openxmlformats.org/officeDocument/2006/relationships/image" Target="media/image2638.png"/><Relationship Id="rId2646" Type="http://schemas.openxmlformats.org/officeDocument/2006/relationships/image" Target="media/image2639.png"/><Relationship Id="rId2647" Type="http://schemas.openxmlformats.org/officeDocument/2006/relationships/image" Target="media/image2640.png"/><Relationship Id="rId2648" Type="http://schemas.openxmlformats.org/officeDocument/2006/relationships/image" Target="media/image2641.png"/><Relationship Id="rId2649" Type="http://schemas.openxmlformats.org/officeDocument/2006/relationships/image" Target="media/image2642.png"/><Relationship Id="rId2650" Type="http://schemas.openxmlformats.org/officeDocument/2006/relationships/image" Target="media/image2643.png"/><Relationship Id="rId2651" Type="http://schemas.openxmlformats.org/officeDocument/2006/relationships/image" Target="media/image2644.png"/><Relationship Id="rId2652" Type="http://schemas.openxmlformats.org/officeDocument/2006/relationships/image" Target="media/image2645.png"/><Relationship Id="rId2653" Type="http://schemas.openxmlformats.org/officeDocument/2006/relationships/image" Target="media/image2646.png"/><Relationship Id="rId2654" Type="http://schemas.openxmlformats.org/officeDocument/2006/relationships/image" Target="media/image2647.png"/><Relationship Id="rId2655" Type="http://schemas.openxmlformats.org/officeDocument/2006/relationships/image" Target="media/image2648.png"/><Relationship Id="rId2656" Type="http://schemas.openxmlformats.org/officeDocument/2006/relationships/image" Target="media/image2649.png"/><Relationship Id="rId2657" Type="http://schemas.openxmlformats.org/officeDocument/2006/relationships/image" Target="media/image2650.png"/><Relationship Id="rId2658" Type="http://schemas.openxmlformats.org/officeDocument/2006/relationships/image" Target="media/image2651.png"/><Relationship Id="rId2659" Type="http://schemas.openxmlformats.org/officeDocument/2006/relationships/image" Target="media/image2652.png"/><Relationship Id="rId2660" Type="http://schemas.openxmlformats.org/officeDocument/2006/relationships/image" Target="media/image2653.png"/><Relationship Id="rId2661" Type="http://schemas.openxmlformats.org/officeDocument/2006/relationships/image" Target="media/image2654.png"/><Relationship Id="rId2662" Type="http://schemas.openxmlformats.org/officeDocument/2006/relationships/image" Target="media/image2655.png"/><Relationship Id="rId2663" Type="http://schemas.openxmlformats.org/officeDocument/2006/relationships/image" Target="media/image2656.png"/><Relationship Id="rId2664" Type="http://schemas.openxmlformats.org/officeDocument/2006/relationships/image" Target="media/image2657.png"/><Relationship Id="rId2665" Type="http://schemas.openxmlformats.org/officeDocument/2006/relationships/image" Target="media/image2658.png"/><Relationship Id="rId2666" Type="http://schemas.openxmlformats.org/officeDocument/2006/relationships/image" Target="media/image2659.png"/><Relationship Id="rId2667" Type="http://schemas.openxmlformats.org/officeDocument/2006/relationships/image" Target="media/image2660.png"/><Relationship Id="rId2668" Type="http://schemas.openxmlformats.org/officeDocument/2006/relationships/image" Target="media/image2661.png"/><Relationship Id="rId2669" Type="http://schemas.openxmlformats.org/officeDocument/2006/relationships/image" Target="media/image2662.png"/><Relationship Id="rId2670" Type="http://schemas.openxmlformats.org/officeDocument/2006/relationships/image" Target="media/image2663.png"/><Relationship Id="rId2671" Type="http://schemas.openxmlformats.org/officeDocument/2006/relationships/image" Target="media/image2664.png"/><Relationship Id="rId2672" Type="http://schemas.openxmlformats.org/officeDocument/2006/relationships/image" Target="media/image2665.png"/><Relationship Id="rId2673" Type="http://schemas.openxmlformats.org/officeDocument/2006/relationships/image" Target="media/image2666.png"/><Relationship Id="rId2674" Type="http://schemas.openxmlformats.org/officeDocument/2006/relationships/image" Target="media/image2667.png"/><Relationship Id="rId2675" Type="http://schemas.openxmlformats.org/officeDocument/2006/relationships/image" Target="media/image2668.png"/><Relationship Id="rId2676" Type="http://schemas.openxmlformats.org/officeDocument/2006/relationships/image" Target="media/image2669.png"/><Relationship Id="rId2677" Type="http://schemas.openxmlformats.org/officeDocument/2006/relationships/image" Target="media/image2670.png"/><Relationship Id="rId2678" Type="http://schemas.openxmlformats.org/officeDocument/2006/relationships/image" Target="media/image2671.png"/><Relationship Id="rId2679" Type="http://schemas.openxmlformats.org/officeDocument/2006/relationships/image" Target="media/image2672.png"/><Relationship Id="rId2680" Type="http://schemas.openxmlformats.org/officeDocument/2006/relationships/image" Target="media/image2673.png"/><Relationship Id="rId2681" Type="http://schemas.openxmlformats.org/officeDocument/2006/relationships/image" Target="media/image2674.png"/><Relationship Id="rId2682" Type="http://schemas.openxmlformats.org/officeDocument/2006/relationships/image" Target="media/image2675.png"/><Relationship Id="rId2683" Type="http://schemas.openxmlformats.org/officeDocument/2006/relationships/image" Target="media/image2676.png"/><Relationship Id="rId2684" Type="http://schemas.openxmlformats.org/officeDocument/2006/relationships/image" Target="media/image2677.png"/><Relationship Id="rId2685" Type="http://schemas.openxmlformats.org/officeDocument/2006/relationships/image" Target="media/image2678.png"/><Relationship Id="rId2686" Type="http://schemas.openxmlformats.org/officeDocument/2006/relationships/image" Target="media/image2679.png"/><Relationship Id="rId2687" Type="http://schemas.openxmlformats.org/officeDocument/2006/relationships/image" Target="media/image2680.png"/><Relationship Id="rId2688" Type="http://schemas.openxmlformats.org/officeDocument/2006/relationships/image" Target="media/image2681.png"/><Relationship Id="rId2689" Type="http://schemas.openxmlformats.org/officeDocument/2006/relationships/image" Target="media/image2682.png"/><Relationship Id="rId2690" Type="http://schemas.openxmlformats.org/officeDocument/2006/relationships/image" Target="media/image2683.png"/><Relationship Id="rId2691" Type="http://schemas.openxmlformats.org/officeDocument/2006/relationships/image" Target="media/image2684.png"/><Relationship Id="rId2692" Type="http://schemas.openxmlformats.org/officeDocument/2006/relationships/image" Target="media/image2685.png"/><Relationship Id="rId2693" Type="http://schemas.openxmlformats.org/officeDocument/2006/relationships/image" Target="media/image2686.png"/><Relationship Id="rId2694" Type="http://schemas.openxmlformats.org/officeDocument/2006/relationships/image" Target="media/image2687.png"/><Relationship Id="rId2695" Type="http://schemas.openxmlformats.org/officeDocument/2006/relationships/image" Target="media/image2688.png"/><Relationship Id="rId2696" Type="http://schemas.openxmlformats.org/officeDocument/2006/relationships/image" Target="media/image2689.png"/><Relationship Id="rId2697" Type="http://schemas.openxmlformats.org/officeDocument/2006/relationships/image" Target="media/image2690.png"/><Relationship Id="rId2698" Type="http://schemas.openxmlformats.org/officeDocument/2006/relationships/image" Target="media/image2691.png"/><Relationship Id="rId2699" Type="http://schemas.openxmlformats.org/officeDocument/2006/relationships/image" Target="media/image2692.png"/><Relationship Id="rId2700" Type="http://schemas.openxmlformats.org/officeDocument/2006/relationships/image" Target="media/image2693.png"/><Relationship Id="rId2701" Type="http://schemas.openxmlformats.org/officeDocument/2006/relationships/image" Target="media/image2694.png"/><Relationship Id="rId2702" Type="http://schemas.openxmlformats.org/officeDocument/2006/relationships/image" Target="media/image2695.png"/><Relationship Id="rId2703" Type="http://schemas.openxmlformats.org/officeDocument/2006/relationships/image" Target="media/image2696.png"/><Relationship Id="rId2704" Type="http://schemas.openxmlformats.org/officeDocument/2006/relationships/image" Target="media/image2697.png"/><Relationship Id="rId2705" Type="http://schemas.openxmlformats.org/officeDocument/2006/relationships/image" Target="media/image2698.png"/><Relationship Id="rId2706" Type="http://schemas.openxmlformats.org/officeDocument/2006/relationships/image" Target="media/image2699.png"/><Relationship Id="rId2707" Type="http://schemas.openxmlformats.org/officeDocument/2006/relationships/image" Target="media/image2700.png"/><Relationship Id="rId2708" Type="http://schemas.openxmlformats.org/officeDocument/2006/relationships/image" Target="media/image2701.png"/><Relationship Id="rId2709" Type="http://schemas.openxmlformats.org/officeDocument/2006/relationships/image" Target="media/image2702.png"/><Relationship Id="rId2710" Type="http://schemas.openxmlformats.org/officeDocument/2006/relationships/image" Target="media/image2703.png"/><Relationship Id="rId2711" Type="http://schemas.openxmlformats.org/officeDocument/2006/relationships/image" Target="media/image2704.png"/><Relationship Id="rId2712" Type="http://schemas.openxmlformats.org/officeDocument/2006/relationships/image" Target="media/image2705.png"/><Relationship Id="rId2713" Type="http://schemas.openxmlformats.org/officeDocument/2006/relationships/image" Target="media/image2706.png"/><Relationship Id="rId2714" Type="http://schemas.openxmlformats.org/officeDocument/2006/relationships/image" Target="media/image2707.png"/><Relationship Id="rId2715" Type="http://schemas.openxmlformats.org/officeDocument/2006/relationships/image" Target="media/image2708.png"/><Relationship Id="rId2716" Type="http://schemas.openxmlformats.org/officeDocument/2006/relationships/image" Target="media/image2709.png"/><Relationship Id="rId2717" Type="http://schemas.openxmlformats.org/officeDocument/2006/relationships/image" Target="media/image2710.png"/><Relationship Id="rId2718" Type="http://schemas.openxmlformats.org/officeDocument/2006/relationships/image" Target="media/image2711.png"/><Relationship Id="rId2719" Type="http://schemas.openxmlformats.org/officeDocument/2006/relationships/image" Target="media/image2712.png"/><Relationship Id="rId2720" Type="http://schemas.openxmlformats.org/officeDocument/2006/relationships/image" Target="media/image2713.png"/><Relationship Id="rId2721" Type="http://schemas.openxmlformats.org/officeDocument/2006/relationships/image" Target="media/image2714.png"/><Relationship Id="rId2722" Type="http://schemas.openxmlformats.org/officeDocument/2006/relationships/image" Target="media/image2715.png"/><Relationship Id="rId2723" Type="http://schemas.openxmlformats.org/officeDocument/2006/relationships/image" Target="media/image2716.png"/><Relationship Id="rId2724" Type="http://schemas.openxmlformats.org/officeDocument/2006/relationships/image" Target="media/image2717.png"/><Relationship Id="rId2725" Type="http://schemas.openxmlformats.org/officeDocument/2006/relationships/image" Target="media/image2718.png"/><Relationship Id="rId2726" Type="http://schemas.openxmlformats.org/officeDocument/2006/relationships/image" Target="media/image2719.png"/><Relationship Id="rId2727" Type="http://schemas.openxmlformats.org/officeDocument/2006/relationships/image" Target="media/image2720.png"/><Relationship Id="rId2728" Type="http://schemas.openxmlformats.org/officeDocument/2006/relationships/image" Target="media/image2721.png"/><Relationship Id="rId2729" Type="http://schemas.openxmlformats.org/officeDocument/2006/relationships/image" Target="media/image2722.png"/><Relationship Id="rId2730" Type="http://schemas.openxmlformats.org/officeDocument/2006/relationships/image" Target="media/image2723.png"/><Relationship Id="rId2731" Type="http://schemas.openxmlformats.org/officeDocument/2006/relationships/image" Target="media/image2724.png"/><Relationship Id="rId2732" Type="http://schemas.openxmlformats.org/officeDocument/2006/relationships/image" Target="media/image2725.png"/><Relationship Id="rId2733" Type="http://schemas.openxmlformats.org/officeDocument/2006/relationships/image" Target="media/image2726.png"/><Relationship Id="rId2734" Type="http://schemas.openxmlformats.org/officeDocument/2006/relationships/image" Target="media/image2727.png"/><Relationship Id="rId2735" Type="http://schemas.openxmlformats.org/officeDocument/2006/relationships/image" Target="media/image2728.png"/><Relationship Id="rId2736" Type="http://schemas.openxmlformats.org/officeDocument/2006/relationships/image" Target="media/image2729.png"/><Relationship Id="rId2737" Type="http://schemas.openxmlformats.org/officeDocument/2006/relationships/image" Target="media/image2730.png"/><Relationship Id="rId2738" Type="http://schemas.openxmlformats.org/officeDocument/2006/relationships/image" Target="media/image2731.png"/><Relationship Id="rId2739" Type="http://schemas.openxmlformats.org/officeDocument/2006/relationships/image" Target="media/image2732.png"/><Relationship Id="rId2740" Type="http://schemas.openxmlformats.org/officeDocument/2006/relationships/image" Target="media/image2733.png"/><Relationship Id="rId2741" Type="http://schemas.openxmlformats.org/officeDocument/2006/relationships/image" Target="media/image2734.png"/><Relationship Id="rId2742" Type="http://schemas.openxmlformats.org/officeDocument/2006/relationships/image" Target="media/image2735.png"/><Relationship Id="rId2743" Type="http://schemas.openxmlformats.org/officeDocument/2006/relationships/image" Target="media/image2736.png"/><Relationship Id="rId2744" Type="http://schemas.openxmlformats.org/officeDocument/2006/relationships/image" Target="media/image2737.png"/><Relationship Id="rId2745" Type="http://schemas.openxmlformats.org/officeDocument/2006/relationships/image" Target="media/image2738.png"/><Relationship Id="rId2746" Type="http://schemas.openxmlformats.org/officeDocument/2006/relationships/image" Target="media/image2739.png"/><Relationship Id="rId2747" Type="http://schemas.openxmlformats.org/officeDocument/2006/relationships/image" Target="media/image2740.png"/><Relationship Id="rId2748" Type="http://schemas.openxmlformats.org/officeDocument/2006/relationships/image" Target="media/image2741.png"/><Relationship Id="rId2749" Type="http://schemas.openxmlformats.org/officeDocument/2006/relationships/image" Target="media/image2742.png"/><Relationship Id="rId2750" Type="http://schemas.openxmlformats.org/officeDocument/2006/relationships/image" Target="media/image2743.png"/><Relationship Id="rId2751" Type="http://schemas.openxmlformats.org/officeDocument/2006/relationships/image" Target="media/image2744.png"/><Relationship Id="rId2752" Type="http://schemas.openxmlformats.org/officeDocument/2006/relationships/image" Target="media/image2745.png"/><Relationship Id="rId2753" Type="http://schemas.openxmlformats.org/officeDocument/2006/relationships/image" Target="media/image2746.png"/><Relationship Id="rId2754" Type="http://schemas.openxmlformats.org/officeDocument/2006/relationships/image" Target="media/image2747.png"/><Relationship Id="rId2755" Type="http://schemas.openxmlformats.org/officeDocument/2006/relationships/image" Target="media/image2748.png"/><Relationship Id="rId2756" Type="http://schemas.openxmlformats.org/officeDocument/2006/relationships/image" Target="media/image2749.png"/><Relationship Id="rId2757" Type="http://schemas.openxmlformats.org/officeDocument/2006/relationships/image" Target="media/image2750.png"/><Relationship Id="rId2758" Type="http://schemas.openxmlformats.org/officeDocument/2006/relationships/image" Target="media/image2751.png"/><Relationship Id="rId2759" Type="http://schemas.openxmlformats.org/officeDocument/2006/relationships/image" Target="media/image2752.png"/><Relationship Id="rId2760" Type="http://schemas.openxmlformats.org/officeDocument/2006/relationships/image" Target="media/image2753.png"/><Relationship Id="rId2761" Type="http://schemas.openxmlformats.org/officeDocument/2006/relationships/image" Target="media/image2754.png"/><Relationship Id="rId2762" Type="http://schemas.openxmlformats.org/officeDocument/2006/relationships/image" Target="media/image2755.png"/><Relationship Id="rId2763" Type="http://schemas.openxmlformats.org/officeDocument/2006/relationships/image" Target="media/image2756.png"/><Relationship Id="rId2764" Type="http://schemas.openxmlformats.org/officeDocument/2006/relationships/image" Target="media/image2757.png"/><Relationship Id="rId2765" Type="http://schemas.openxmlformats.org/officeDocument/2006/relationships/image" Target="media/image2758.png"/><Relationship Id="rId2766" Type="http://schemas.openxmlformats.org/officeDocument/2006/relationships/image" Target="media/image2759.png"/><Relationship Id="rId2767" Type="http://schemas.openxmlformats.org/officeDocument/2006/relationships/image" Target="media/image2760.png"/><Relationship Id="rId2768" Type="http://schemas.openxmlformats.org/officeDocument/2006/relationships/image" Target="media/image2761.png"/><Relationship Id="rId2769" Type="http://schemas.openxmlformats.org/officeDocument/2006/relationships/image" Target="media/image2762.png"/><Relationship Id="rId2770" Type="http://schemas.openxmlformats.org/officeDocument/2006/relationships/image" Target="media/image2763.png"/><Relationship Id="rId2771" Type="http://schemas.openxmlformats.org/officeDocument/2006/relationships/image" Target="media/image2764.png"/><Relationship Id="rId2772" Type="http://schemas.openxmlformats.org/officeDocument/2006/relationships/image" Target="media/image2765.png"/><Relationship Id="rId2773" Type="http://schemas.openxmlformats.org/officeDocument/2006/relationships/image" Target="media/image2766.png"/><Relationship Id="rId2774" Type="http://schemas.openxmlformats.org/officeDocument/2006/relationships/image" Target="media/image2767.png"/><Relationship Id="rId2775" Type="http://schemas.openxmlformats.org/officeDocument/2006/relationships/image" Target="media/image2768.png"/><Relationship Id="rId2776" Type="http://schemas.openxmlformats.org/officeDocument/2006/relationships/image" Target="media/image2769.png"/><Relationship Id="rId2777" Type="http://schemas.openxmlformats.org/officeDocument/2006/relationships/image" Target="media/image2770.png"/><Relationship Id="rId2778" Type="http://schemas.openxmlformats.org/officeDocument/2006/relationships/image" Target="media/image2771.png"/><Relationship Id="rId2779" Type="http://schemas.openxmlformats.org/officeDocument/2006/relationships/image" Target="media/image2772.png"/><Relationship Id="rId2780" Type="http://schemas.openxmlformats.org/officeDocument/2006/relationships/image" Target="media/image2773.png"/><Relationship Id="rId2781" Type="http://schemas.openxmlformats.org/officeDocument/2006/relationships/image" Target="media/image2774.png"/><Relationship Id="rId2782" Type="http://schemas.openxmlformats.org/officeDocument/2006/relationships/image" Target="media/image2775.png"/><Relationship Id="rId2783" Type="http://schemas.openxmlformats.org/officeDocument/2006/relationships/image" Target="media/image2776.png"/><Relationship Id="rId2784" Type="http://schemas.openxmlformats.org/officeDocument/2006/relationships/image" Target="media/image2777.png"/><Relationship Id="rId2785" Type="http://schemas.openxmlformats.org/officeDocument/2006/relationships/image" Target="media/image2778.png"/><Relationship Id="rId2786" Type="http://schemas.openxmlformats.org/officeDocument/2006/relationships/image" Target="media/image2779.png"/><Relationship Id="rId2787" Type="http://schemas.openxmlformats.org/officeDocument/2006/relationships/image" Target="media/image2780.png"/><Relationship Id="rId2788" Type="http://schemas.openxmlformats.org/officeDocument/2006/relationships/image" Target="media/image2781.png"/><Relationship Id="rId2789" Type="http://schemas.openxmlformats.org/officeDocument/2006/relationships/image" Target="media/image2782.png"/><Relationship Id="rId2790" Type="http://schemas.openxmlformats.org/officeDocument/2006/relationships/image" Target="media/image2783.png"/><Relationship Id="rId2791" Type="http://schemas.openxmlformats.org/officeDocument/2006/relationships/image" Target="media/image2784.png"/><Relationship Id="rId2792" Type="http://schemas.openxmlformats.org/officeDocument/2006/relationships/image" Target="media/image2785.png"/><Relationship Id="rId2793" Type="http://schemas.openxmlformats.org/officeDocument/2006/relationships/image" Target="media/image2786.png"/><Relationship Id="rId2794" Type="http://schemas.openxmlformats.org/officeDocument/2006/relationships/image" Target="media/image2787.png"/><Relationship Id="rId2795" Type="http://schemas.openxmlformats.org/officeDocument/2006/relationships/image" Target="media/image2788.png"/><Relationship Id="rId2796" Type="http://schemas.openxmlformats.org/officeDocument/2006/relationships/image" Target="media/image2789.png"/><Relationship Id="rId2797" Type="http://schemas.openxmlformats.org/officeDocument/2006/relationships/image" Target="media/image2790.png"/><Relationship Id="rId2798" Type="http://schemas.openxmlformats.org/officeDocument/2006/relationships/image" Target="media/image2791.png"/><Relationship Id="rId2799" Type="http://schemas.openxmlformats.org/officeDocument/2006/relationships/image" Target="media/image2792.png"/><Relationship Id="rId2800" Type="http://schemas.openxmlformats.org/officeDocument/2006/relationships/image" Target="media/image2793.png"/><Relationship Id="rId2801" Type="http://schemas.openxmlformats.org/officeDocument/2006/relationships/image" Target="media/image2794.png"/><Relationship Id="rId2802" Type="http://schemas.openxmlformats.org/officeDocument/2006/relationships/image" Target="media/image2795.png"/><Relationship Id="rId2803" Type="http://schemas.openxmlformats.org/officeDocument/2006/relationships/image" Target="media/image2796.png"/><Relationship Id="rId2804" Type="http://schemas.openxmlformats.org/officeDocument/2006/relationships/image" Target="media/image2797.png"/><Relationship Id="rId2805" Type="http://schemas.openxmlformats.org/officeDocument/2006/relationships/image" Target="media/image2798.png"/><Relationship Id="rId2806" Type="http://schemas.openxmlformats.org/officeDocument/2006/relationships/image" Target="media/image2799.png"/><Relationship Id="rId2807" Type="http://schemas.openxmlformats.org/officeDocument/2006/relationships/image" Target="media/image2800.png"/><Relationship Id="rId2808" Type="http://schemas.openxmlformats.org/officeDocument/2006/relationships/image" Target="media/image2801.png"/><Relationship Id="rId2809" Type="http://schemas.openxmlformats.org/officeDocument/2006/relationships/image" Target="media/image2802.png"/><Relationship Id="rId2810" Type="http://schemas.openxmlformats.org/officeDocument/2006/relationships/image" Target="media/image2803.png"/><Relationship Id="rId2811" Type="http://schemas.openxmlformats.org/officeDocument/2006/relationships/image" Target="media/image2804.png"/><Relationship Id="rId2812" Type="http://schemas.openxmlformats.org/officeDocument/2006/relationships/image" Target="media/image2805.png"/><Relationship Id="rId2813" Type="http://schemas.openxmlformats.org/officeDocument/2006/relationships/image" Target="media/image2806.png"/><Relationship Id="rId2814" Type="http://schemas.openxmlformats.org/officeDocument/2006/relationships/image" Target="media/image2807.png"/><Relationship Id="rId2815" Type="http://schemas.openxmlformats.org/officeDocument/2006/relationships/image" Target="media/image2808.png"/><Relationship Id="rId2816" Type="http://schemas.openxmlformats.org/officeDocument/2006/relationships/image" Target="media/image2809.png"/><Relationship Id="rId2817" Type="http://schemas.openxmlformats.org/officeDocument/2006/relationships/image" Target="media/image2810.png"/><Relationship Id="rId2818" Type="http://schemas.openxmlformats.org/officeDocument/2006/relationships/image" Target="media/image2811.png"/><Relationship Id="rId2819" Type="http://schemas.openxmlformats.org/officeDocument/2006/relationships/image" Target="media/image2812.png"/><Relationship Id="rId2820" Type="http://schemas.openxmlformats.org/officeDocument/2006/relationships/image" Target="media/image2813.png"/><Relationship Id="rId2821" Type="http://schemas.openxmlformats.org/officeDocument/2006/relationships/image" Target="media/image2814.png"/><Relationship Id="rId2822" Type="http://schemas.openxmlformats.org/officeDocument/2006/relationships/image" Target="media/image2815.png"/><Relationship Id="rId2823" Type="http://schemas.openxmlformats.org/officeDocument/2006/relationships/image" Target="media/image2816.png"/><Relationship Id="rId2824" Type="http://schemas.openxmlformats.org/officeDocument/2006/relationships/image" Target="media/image2817.png"/><Relationship Id="rId2825" Type="http://schemas.openxmlformats.org/officeDocument/2006/relationships/image" Target="media/image2818.png"/><Relationship Id="rId2826" Type="http://schemas.openxmlformats.org/officeDocument/2006/relationships/image" Target="media/image2819.png"/><Relationship Id="rId2827" Type="http://schemas.openxmlformats.org/officeDocument/2006/relationships/image" Target="media/image2820.png"/><Relationship Id="rId2828" Type="http://schemas.openxmlformats.org/officeDocument/2006/relationships/image" Target="media/image2821.png"/><Relationship Id="rId2829" Type="http://schemas.openxmlformats.org/officeDocument/2006/relationships/image" Target="media/image2822.png"/><Relationship Id="rId2830" Type="http://schemas.openxmlformats.org/officeDocument/2006/relationships/image" Target="media/image2823.png"/><Relationship Id="rId2831" Type="http://schemas.openxmlformats.org/officeDocument/2006/relationships/image" Target="media/image2824.png"/><Relationship Id="rId2832" Type="http://schemas.openxmlformats.org/officeDocument/2006/relationships/image" Target="media/image2825.png"/><Relationship Id="rId2833" Type="http://schemas.openxmlformats.org/officeDocument/2006/relationships/image" Target="media/image2826.png"/><Relationship Id="rId2834" Type="http://schemas.openxmlformats.org/officeDocument/2006/relationships/image" Target="media/image2827.png"/><Relationship Id="rId2835" Type="http://schemas.openxmlformats.org/officeDocument/2006/relationships/image" Target="media/image2828.png"/><Relationship Id="rId2836" Type="http://schemas.openxmlformats.org/officeDocument/2006/relationships/image" Target="media/image2829.png"/><Relationship Id="rId2837" Type="http://schemas.openxmlformats.org/officeDocument/2006/relationships/image" Target="media/image2830.png"/><Relationship Id="rId2838" Type="http://schemas.openxmlformats.org/officeDocument/2006/relationships/image" Target="media/image2831.png"/><Relationship Id="rId2839" Type="http://schemas.openxmlformats.org/officeDocument/2006/relationships/image" Target="media/image2832.png"/><Relationship Id="rId2840" Type="http://schemas.openxmlformats.org/officeDocument/2006/relationships/image" Target="media/image2833.png"/><Relationship Id="rId2841" Type="http://schemas.openxmlformats.org/officeDocument/2006/relationships/image" Target="media/image2834.png"/><Relationship Id="rId2842" Type="http://schemas.openxmlformats.org/officeDocument/2006/relationships/image" Target="media/image2835.png"/><Relationship Id="rId2843" Type="http://schemas.openxmlformats.org/officeDocument/2006/relationships/image" Target="media/image2836.png"/><Relationship Id="rId2844" Type="http://schemas.openxmlformats.org/officeDocument/2006/relationships/image" Target="media/image2837.png"/><Relationship Id="rId2845" Type="http://schemas.openxmlformats.org/officeDocument/2006/relationships/image" Target="media/image2838.png"/><Relationship Id="rId2846" Type="http://schemas.openxmlformats.org/officeDocument/2006/relationships/image" Target="media/image2839.png"/><Relationship Id="rId2847" Type="http://schemas.openxmlformats.org/officeDocument/2006/relationships/image" Target="media/image2840.png"/><Relationship Id="rId2848" Type="http://schemas.openxmlformats.org/officeDocument/2006/relationships/image" Target="media/image2841.png"/><Relationship Id="rId2849" Type="http://schemas.openxmlformats.org/officeDocument/2006/relationships/image" Target="media/image2842.png"/><Relationship Id="rId2850" Type="http://schemas.openxmlformats.org/officeDocument/2006/relationships/image" Target="media/image2843.png"/><Relationship Id="rId2851" Type="http://schemas.openxmlformats.org/officeDocument/2006/relationships/image" Target="media/image2844.png"/><Relationship Id="rId2852" Type="http://schemas.openxmlformats.org/officeDocument/2006/relationships/image" Target="media/image2845.png"/><Relationship Id="rId2853" Type="http://schemas.openxmlformats.org/officeDocument/2006/relationships/image" Target="media/image2846.png"/><Relationship Id="rId2854" Type="http://schemas.openxmlformats.org/officeDocument/2006/relationships/image" Target="media/image2847.png"/><Relationship Id="rId2855" Type="http://schemas.openxmlformats.org/officeDocument/2006/relationships/image" Target="media/image2848.png"/><Relationship Id="rId2856" Type="http://schemas.openxmlformats.org/officeDocument/2006/relationships/image" Target="media/image2849.png"/><Relationship Id="rId2857" Type="http://schemas.openxmlformats.org/officeDocument/2006/relationships/image" Target="media/image2850.png"/><Relationship Id="rId2858" Type="http://schemas.openxmlformats.org/officeDocument/2006/relationships/image" Target="media/image2851.png"/><Relationship Id="rId2859" Type="http://schemas.openxmlformats.org/officeDocument/2006/relationships/image" Target="media/image2852.png"/><Relationship Id="rId2860" Type="http://schemas.openxmlformats.org/officeDocument/2006/relationships/image" Target="media/image2853.png"/><Relationship Id="rId2861" Type="http://schemas.openxmlformats.org/officeDocument/2006/relationships/image" Target="media/image2854.png"/><Relationship Id="rId2862" Type="http://schemas.openxmlformats.org/officeDocument/2006/relationships/image" Target="media/image2855.png"/><Relationship Id="rId2863" Type="http://schemas.openxmlformats.org/officeDocument/2006/relationships/image" Target="media/image2856.png"/><Relationship Id="rId2864" Type="http://schemas.openxmlformats.org/officeDocument/2006/relationships/image" Target="media/image2857.png"/><Relationship Id="rId2865" Type="http://schemas.openxmlformats.org/officeDocument/2006/relationships/image" Target="media/image2858.png"/><Relationship Id="rId2866" Type="http://schemas.openxmlformats.org/officeDocument/2006/relationships/image" Target="media/image2859.png"/><Relationship Id="rId2867" Type="http://schemas.openxmlformats.org/officeDocument/2006/relationships/image" Target="media/image2860.png"/><Relationship Id="rId2868" Type="http://schemas.openxmlformats.org/officeDocument/2006/relationships/image" Target="media/image2861.png"/><Relationship Id="rId2869" Type="http://schemas.openxmlformats.org/officeDocument/2006/relationships/image" Target="media/image2862.png"/><Relationship Id="rId2870" Type="http://schemas.openxmlformats.org/officeDocument/2006/relationships/image" Target="media/image2863.png"/><Relationship Id="rId2871" Type="http://schemas.openxmlformats.org/officeDocument/2006/relationships/image" Target="media/image2864.png"/><Relationship Id="rId2872" Type="http://schemas.openxmlformats.org/officeDocument/2006/relationships/image" Target="media/image2865.png"/><Relationship Id="rId2873" Type="http://schemas.openxmlformats.org/officeDocument/2006/relationships/image" Target="media/image2866.png"/><Relationship Id="rId2874" Type="http://schemas.openxmlformats.org/officeDocument/2006/relationships/image" Target="media/image2867.png"/><Relationship Id="rId2875" Type="http://schemas.openxmlformats.org/officeDocument/2006/relationships/image" Target="media/image2868.png"/><Relationship Id="rId2876" Type="http://schemas.openxmlformats.org/officeDocument/2006/relationships/image" Target="media/image2869.png"/><Relationship Id="rId2877" Type="http://schemas.openxmlformats.org/officeDocument/2006/relationships/image" Target="media/image2870.png"/><Relationship Id="rId2878" Type="http://schemas.openxmlformats.org/officeDocument/2006/relationships/image" Target="media/image2871.png"/><Relationship Id="rId2879" Type="http://schemas.openxmlformats.org/officeDocument/2006/relationships/image" Target="media/image2872.png"/><Relationship Id="rId2880" Type="http://schemas.openxmlformats.org/officeDocument/2006/relationships/image" Target="media/image2873.png"/><Relationship Id="rId2881" Type="http://schemas.openxmlformats.org/officeDocument/2006/relationships/image" Target="media/image2874.png"/><Relationship Id="rId2882" Type="http://schemas.openxmlformats.org/officeDocument/2006/relationships/image" Target="media/image2875.png"/><Relationship Id="rId2883" Type="http://schemas.openxmlformats.org/officeDocument/2006/relationships/image" Target="media/image2876.png"/><Relationship Id="rId2884" Type="http://schemas.openxmlformats.org/officeDocument/2006/relationships/image" Target="media/image2877.png"/><Relationship Id="rId2885" Type="http://schemas.openxmlformats.org/officeDocument/2006/relationships/image" Target="media/image2878.png"/><Relationship Id="rId2886" Type="http://schemas.openxmlformats.org/officeDocument/2006/relationships/image" Target="media/image2879.png"/><Relationship Id="rId2887" Type="http://schemas.openxmlformats.org/officeDocument/2006/relationships/image" Target="media/image2880.png"/><Relationship Id="rId2888" Type="http://schemas.openxmlformats.org/officeDocument/2006/relationships/image" Target="media/image2881.png"/><Relationship Id="rId2889" Type="http://schemas.openxmlformats.org/officeDocument/2006/relationships/image" Target="media/image2882.png"/><Relationship Id="rId2890" Type="http://schemas.openxmlformats.org/officeDocument/2006/relationships/image" Target="media/image2883.png"/><Relationship Id="rId2891" Type="http://schemas.openxmlformats.org/officeDocument/2006/relationships/image" Target="media/image2884.png"/><Relationship Id="rId2892" Type="http://schemas.openxmlformats.org/officeDocument/2006/relationships/image" Target="media/image2885.png"/><Relationship Id="rId2893" Type="http://schemas.openxmlformats.org/officeDocument/2006/relationships/image" Target="media/image2886.png"/><Relationship Id="rId2894" Type="http://schemas.openxmlformats.org/officeDocument/2006/relationships/image" Target="media/image2887.png"/><Relationship Id="rId2895" Type="http://schemas.openxmlformats.org/officeDocument/2006/relationships/image" Target="media/image2888.png"/><Relationship Id="rId2896" Type="http://schemas.openxmlformats.org/officeDocument/2006/relationships/image" Target="media/image2889.png"/><Relationship Id="rId2897" Type="http://schemas.openxmlformats.org/officeDocument/2006/relationships/image" Target="media/image2890.png"/><Relationship Id="rId2898" Type="http://schemas.openxmlformats.org/officeDocument/2006/relationships/image" Target="media/image2891.png"/><Relationship Id="rId2899" Type="http://schemas.openxmlformats.org/officeDocument/2006/relationships/image" Target="media/image2892.png"/><Relationship Id="rId2900" Type="http://schemas.openxmlformats.org/officeDocument/2006/relationships/image" Target="media/image2893.png"/><Relationship Id="rId2901" Type="http://schemas.openxmlformats.org/officeDocument/2006/relationships/image" Target="media/image2894.png"/><Relationship Id="rId2902" Type="http://schemas.openxmlformats.org/officeDocument/2006/relationships/image" Target="media/image2895.png"/><Relationship Id="rId2903" Type="http://schemas.openxmlformats.org/officeDocument/2006/relationships/image" Target="media/image2896.png"/><Relationship Id="rId2904" Type="http://schemas.openxmlformats.org/officeDocument/2006/relationships/image" Target="media/image2897.png"/><Relationship Id="rId2905" Type="http://schemas.openxmlformats.org/officeDocument/2006/relationships/image" Target="media/image2898.png"/><Relationship Id="rId2906" Type="http://schemas.openxmlformats.org/officeDocument/2006/relationships/image" Target="media/image2899.png"/><Relationship Id="rId2907" Type="http://schemas.openxmlformats.org/officeDocument/2006/relationships/image" Target="media/image2900.png"/><Relationship Id="rId2908" Type="http://schemas.openxmlformats.org/officeDocument/2006/relationships/image" Target="media/image2901.png"/><Relationship Id="rId2909" Type="http://schemas.openxmlformats.org/officeDocument/2006/relationships/image" Target="media/image2902.png"/><Relationship Id="rId2910" Type="http://schemas.openxmlformats.org/officeDocument/2006/relationships/image" Target="media/image2903.png"/><Relationship Id="rId2911" Type="http://schemas.openxmlformats.org/officeDocument/2006/relationships/image" Target="media/image2904.png"/><Relationship Id="rId2912" Type="http://schemas.openxmlformats.org/officeDocument/2006/relationships/image" Target="media/image2905.png"/><Relationship Id="rId2913" Type="http://schemas.openxmlformats.org/officeDocument/2006/relationships/image" Target="media/image2906.png"/><Relationship Id="rId2914" Type="http://schemas.openxmlformats.org/officeDocument/2006/relationships/image" Target="media/image2907.png"/><Relationship Id="rId2915" Type="http://schemas.openxmlformats.org/officeDocument/2006/relationships/image" Target="media/image2908.png"/><Relationship Id="rId2916" Type="http://schemas.openxmlformats.org/officeDocument/2006/relationships/image" Target="media/image2909.png"/><Relationship Id="rId2917" Type="http://schemas.openxmlformats.org/officeDocument/2006/relationships/image" Target="media/image2910.png"/><Relationship Id="rId2918" Type="http://schemas.openxmlformats.org/officeDocument/2006/relationships/image" Target="media/image2911.png"/><Relationship Id="rId2919" Type="http://schemas.openxmlformats.org/officeDocument/2006/relationships/image" Target="media/image2912.png"/><Relationship Id="rId2920" Type="http://schemas.openxmlformats.org/officeDocument/2006/relationships/image" Target="media/image2913.png"/><Relationship Id="rId2921" Type="http://schemas.openxmlformats.org/officeDocument/2006/relationships/image" Target="media/image2914.png"/><Relationship Id="rId2922" Type="http://schemas.openxmlformats.org/officeDocument/2006/relationships/image" Target="media/image2915.png"/><Relationship Id="rId2923" Type="http://schemas.openxmlformats.org/officeDocument/2006/relationships/image" Target="media/image2916.png"/><Relationship Id="rId2924" Type="http://schemas.openxmlformats.org/officeDocument/2006/relationships/image" Target="media/image2917.png"/><Relationship Id="rId2925" Type="http://schemas.openxmlformats.org/officeDocument/2006/relationships/image" Target="media/image2918.png"/><Relationship Id="rId2926" Type="http://schemas.openxmlformats.org/officeDocument/2006/relationships/image" Target="media/image2919.png"/><Relationship Id="rId2927" Type="http://schemas.openxmlformats.org/officeDocument/2006/relationships/image" Target="media/image2920.png"/><Relationship Id="rId2928" Type="http://schemas.openxmlformats.org/officeDocument/2006/relationships/image" Target="media/image2921.png"/><Relationship Id="rId2929" Type="http://schemas.openxmlformats.org/officeDocument/2006/relationships/image" Target="media/image2922.png"/><Relationship Id="rId2930" Type="http://schemas.openxmlformats.org/officeDocument/2006/relationships/image" Target="media/image2923.png"/><Relationship Id="rId2931" Type="http://schemas.openxmlformats.org/officeDocument/2006/relationships/image" Target="media/image2924.png"/><Relationship Id="rId2932" Type="http://schemas.openxmlformats.org/officeDocument/2006/relationships/image" Target="media/image2925.png"/><Relationship Id="rId2933" Type="http://schemas.openxmlformats.org/officeDocument/2006/relationships/image" Target="media/image2926.png"/><Relationship Id="rId2934" Type="http://schemas.openxmlformats.org/officeDocument/2006/relationships/image" Target="media/image2927.png"/><Relationship Id="rId2935" Type="http://schemas.openxmlformats.org/officeDocument/2006/relationships/image" Target="media/image2928.png"/><Relationship Id="rId2936" Type="http://schemas.openxmlformats.org/officeDocument/2006/relationships/image" Target="media/image2929.png"/><Relationship Id="rId2937" Type="http://schemas.openxmlformats.org/officeDocument/2006/relationships/image" Target="media/image2930.png"/><Relationship Id="rId2938" Type="http://schemas.openxmlformats.org/officeDocument/2006/relationships/image" Target="media/image2931.png"/><Relationship Id="rId2939" Type="http://schemas.openxmlformats.org/officeDocument/2006/relationships/image" Target="media/image2932.png"/><Relationship Id="rId2940" Type="http://schemas.openxmlformats.org/officeDocument/2006/relationships/image" Target="media/image2933.png"/><Relationship Id="rId2941" Type="http://schemas.openxmlformats.org/officeDocument/2006/relationships/image" Target="media/image2934.png"/><Relationship Id="rId2942" Type="http://schemas.openxmlformats.org/officeDocument/2006/relationships/image" Target="media/image2935.png"/><Relationship Id="rId2943" Type="http://schemas.openxmlformats.org/officeDocument/2006/relationships/image" Target="media/image2936.png"/><Relationship Id="rId2944" Type="http://schemas.openxmlformats.org/officeDocument/2006/relationships/image" Target="media/image2937.png"/><Relationship Id="rId2945" Type="http://schemas.openxmlformats.org/officeDocument/2006/relationships/image" Target="media/image2938.png"/><Relationship Id="rId2946" Type="http://schemas.openxmlformats.org/officeDocument/2006/relationships/image" Target="media/image2939.png"/><Relationship Id="rId2947" Type="http://schemas.openxmlformats.org/officeDocument/2006/relationships/image" Target="media/image2940.png"/><Relationship Id="rId2948" Type="http://schemas.openxmlformats.org/officeDocument/2006/relationships/image" Target="media/image2941.png"/><Relationship Id="rId2949" Type="http://schemas.openxmlformats.org/officeDocument/2006/relationships/image" Target="media/image2942.png"/><Relationship Id="rId2950" Type="http://schemas.openxmlformats.org/officeDocument/2006/relationships/image" Target="media/image2943.png"/><Relationship Id="rId2951" Type="http://schemas.openxmlformats.org/officeDocument/2006/relationships/image" Target="media/image2944.png"/><Relationship Id="rId2952" Type="http://schemas.openxmlformats.org/officeDocument/2006/relationships/image" Target="media/image2945.png"/><Relationship Id="rId2953" Type="http://schemas.openxmlformats.org/officeDocument/2006/relationships/image" Target="media/image2946.png"/><Relationship Id="rId2954" Type="http://schemas.openxmlformats.org/officeDocument/2006/relationships/image" Target="media/image2947.png"/><Relationship Id="rId2955" Type="http://schemas.openxmlformats.org/officeDocument/2006/relationships/image" Target="media/image2948.png"/><Relationship Id="rId2956" Type="http://schemas.openxmlformats.org/officeDocument/2006/relationships/image" Target="media/image2949.png"/><Relationship Id="rId2957" Type="http://schemas.openxmlformats.org/officeDocument/2006/relationships/image" Target="media/image2950.png"/><Relationship Id="rId2958" Type="http://schemas.openxmlformats.org/officeDocument/2006/relationships/image" Target="media/image2951.png"/><Relationship Id="rId2959" Type="http://schemas.openxmlformats.org/officeDocument/2006/relationships/image" Target="media/image2952.png"/><Relationship Id="rId2960" Type="http://schemas.openxmlformats.org/officeDocument/2006/relationships/image" Target="media/image2953.png"/><Relationship Id="rId2961" Type="http://schemas.openxmlformats.org/officeDocument/2006/relationships/image" Target="media/image2954.png"/><Relationship Id="rId2962" Type="http://schemas.openxmlformats.org/officeDocument/2006/relationships/image" Target="media/image2955.png"/><Relationship Id="rId2963" Type="http://schemas.openxmlformats.org/officeDocument/2006/relationships/image" Target="media/image2956.png"/><Relationship Id="rId2964" Type="http://schemas.openxmlformats.org/officeDocument/2006/relationships/image" Target="media/image2957.png"/><Relationship Id="rId2965" Type="http://schemas.openxmlformats.org/officeDocument/2006/relationships/image" Target="media/image2958.png"/><Relationship Id="rId2966" Type="http://schemas.openxmlformats.org/officeDocument/2006/relationships/image" Target="media/image2959.png"/><Relationship Id="rId2967" Type="http://schemas.openxmlformats.org/officeDocument/2006/relationships/image" Target="media/image2960.png"/><Relationship Id="rId2968" Type="http://schemas.openxmlformats.org/officeDocument/2006/relationships/image" Target="media/image2961.png"/><Relationship Id="rId2969" Type="http://schemas.openxmlformats.org/officeDocument/2006/relationships/image" Target="media/image2962.png"/><Relationship Id="rId2970" Type="http://schemas.openxmlformats.org/officeDocument/2006/relationships/image" Target="media/image2963.png"/><Relationship Id="rId2971" Type="http://schemas.openxmlformats.org/officeDocument/2006/relationships/image" Target="media/image2964.png"/><Relationship Id="rId2972" Type="http://schemas.openxmlformats.org/officeDocument/2006/relationships/image" Target="media/image2965.png"/><Relationship Id="rId2973" Type="http://schemas.openxmlformats.org/officeDocument/2006/relationships/image" Target="media/image2966.png"/><Relationship Id="rId2974" Type="http://schemas.openxmlformats.org/officeDocument/2006/relationships/image" Target="media/image2967.png"/><Relationship Id="rId2975" Type="http://schemas.openxmlformats.org/officeDocument/2006/relationships/image" Target="media/image2968.png"/><Relationship Id="rId2976" Type="http://schemas.openxmlformats.org/officeDocument/2006/relationships/image" Target="media/image2969.png"/><Relationship Id="rId2977" Type="http://schemas.openxmlformats.org/officeDocument/2006/relationships/image" Target="media/image2970.png"/><Relationship Id="rId2978" Type="http://schemas.openxmlformats.org/officeDocument/2006/relationships/image" Target="media/image2971.png"/><Relationship Id="rId2979" Type="http://schemas.openxmlformats.org/officeDocument/2006/relationships/image" Target="media/image2972.png"/><Relationship Id="rId2980" Type="http://schemas.openxmlformats.org/officeDocument/2006/relationships/image" Target="media/image2973.png"/><Relationship Id="rId2981" Type="http://schemas.openxmlformats.org/officeDocument/2006/relationships/image" Target="media/image2974.png"/><Relationship Id="rId2982" Type="http://schemas.openxmlformats.org/officeDocument/2006/relationships/image" Target="media/image2975.png"/><Relationship Id="rId2983" Type="http://schemas.openxmlformats.org/officeDocument/2006/relationships/image" Target="media/image2976.png"/><Relationship Id="rId2984" Type="http://schemas.openxmlformats.org/officeDocument/2006/relationships/image" Target="media/image2977.png"/><Relationship Id="rId2985" Type="http://schemas.openxmlformats.org/officeDocument/2006/relationships/image" Target="media/image2978.png"/><Relationship Id="rId2986" Type="http://schemas.openxmlformats.org/officeDocument/2006/relationships/image" Target="media/image2979.png"/><Relationship Id="rId2987" Type="http://schemas.openxmlformats.org/officeDocument/2006/relationships/image" Target="media/image2980.png"/><Relationship Id="rId2988" Type="http://schemas.openxmlformats.org/officeDocument/2006/relationships/image" Target="media/image2981.png"/><Relationship Id="rId2989" Type="http://schemas.openxmlformats.org/officeDocument/2006/relationships/image" Target="media/image2982.png"/><Relationship Id="rId2990" Type="http://schemas.openxmlformats.org/officeDocument/2006/relationships/image" Target="media/image2983.png"/><Relationship Id="rId2991" Type="http://schemas.openxmlformats.org/officeDocument/2006/relationships/image" Target="media/image2984.png"/><Relationship Id="rId2992" Type="http://schemas.openxmlformats.org/officeDocument/2006/relationships/image" Target="media/image2985.png"/><Relationship Id="rId2993" Type="http://schemas.openxmlformats.org/officeDocument/2006/relationships/image" Target="media/image2986.png"/><Relationship Id="rId2994" Type="http://schemas.openxmlformats.org/officeDocument/2006/relationships/image" Target="media/image2987.png"/><Relationship Id="rId2995" Type="http://schemas.openxmlformats.org/officeDocument/2006/relationships/image" Target="media/image2988.png"/><Relationship Id="rId2996" Type="http://schemas.openxmlformats.org/officeDocument/2006/relationships/image" Target="media/image2989.png"/><Relationship Id="rId2997" Type="http://schemas.openxmlformats.org/officeDocument/2006/relationships/image" Target="media/image2990.png"/><Relationship Id="rId2998" Type="http://schemas.openxmlformats.org/officeDocument/2006/relationships/image" Target="media/image2991.png"/><Relationship Id="rId2999" Type="http://schemas.openxmlformats.org/officeDocument/2006/relationships/image" Target="media/image2992.png"/><Relationship Id="rId3000" Type="http://schemas.openxmlformats.org/officeDocument/2006/relationships/image" Target="media/image2993.png"/><Relationship Id="rId3001" Type="http://schemas.openxmlformats.org/officeDocument/2006/relationships/image" Target="media/image2994.png"/><Relationship Id="rId3002" Type="http://schemas.openxmlformats.org/officeDocument/2006/relationships/image" Target="media/image2995.png"/><Relationship Id="rId3003" Type="http://schemas.openxmlformats.org/officeDocument/2006/relationships/image" Target="media/image2996.png"/><Relationship Id="rId3004" Type="http://schemas.openxmlformats.org/officeDocument/2006/relationships/image" Target="media/image2997.png"/><Relationship Id="rId3005" Type="http://schemas.openxmlformats.org/officeDocument/2006/relationships/image" Target="media/image2998.png"/><Relationship Id="rId3006" Type="http://schemas.openxmlformats.org/officeDocument/2006/relationships/image" Target="media/image2999.png"/><Relationship Id="rId3007" Type="http://schemas.openxmlformats.org/officeDocument/2006/relationships/image" Target="media/image3000.png"/><Relationship Id="rId3008" Type="http://schemas.openxmlformats.org/officeDocument/2006/relationships/image" Target="media/image3001.png"/><Relationship Id="rId3009" Type="http://schemas.openxmlformats.org/officeDocument/2006/relationships/image" Target="media/image3002.png"/><Relationship Id="rId3010" Type="http://schemas.openxmlformats.org/officeDocument/2006/relationships/image" Target="media/image3003.png"/><Relationship Id="rId3011" Type="http://schemas.openxmlformats.org/officeDocument/2006/relationships/image" Target="media/image3004.png"/><Relationship Id="rId3012" Type="http://schemas.openxmlformats.org/officeDocument/2006/relationships/image" Target="media/image3005.png"/><Relationship Id="rId3013" Type="http://schemas.openxmlformats.org/officeDocument/2006/relationships/image" Target="media/image3006.png"/><Relationship Id="rId3014" Type="http://schemas.openxmlformats.org/officeDocument/2006/relationships/image" Target="media/image3007.png"/><Relationship Id="rId3015" Type="http://schemas.openxmlformats.org/officeDocument/2006/relationships/image" Target="media/image3008.png"/><Relationship Id="rId3016" Type="http://schemas.openxmlformats.org/officeDocument/2006/relationships/image" Target="media/image3009.png"/><Relationship Id="rId3017" Type="http://schemas.openxmlformats.org/officeDocument/2006/relationships/image" Target="media/image3010.png"/><Relationship Id="rId3018" Type="http://schemas.openxmlformats.org/officeDocument/2006/relationships/image" Target="media/image3011.png"/><Relationship Id="rId3019" Type="http://schemas.openxmlformats.org/officeDocument/2006/relationships/image" Target="media/image3012.png"/><Relationship Id="rId3020" Type="http://schemas.openxmlformats.org/officeDocument/2006/relationships/image" Target="media/image3013.png"/><Relationship Id="rId3021" Type="http://schemas.openxmlformats.org/officeDocument/2006/relationships/image" Target="media/image3014.png"/><Relationship Id="rId3022" Type="http://schemas.openxmlformats.org/officeDocument/2006/relationships/image" Target="media/image3015.png"/><Relationship Id="rId3023" Type="http://schemas.openxmlformats.org/officeDocument/2006/relationships/image" Target="media/image3016.png"/><Relationship Id="rId3024" Type="http://schemas.openxmlformats.org/officeDocument/2006/relationships/image" Target="media/image3017.png"/><Relationship Id="rId3025" Type="http://schemas.openxmlformats.org/officeDocument/2006/relationships/image" Target="media/image3018.png"/><Relationship Id="rId3026" Type="http://schemas.openxmlformats.org/officeDocument/2006/relationships/image" Target="media/image3019.png"/><Relationship Id="rId3027" Type="http://schemas.openxmlformats.org/officeDocument/2006/relationships/image" Target="media/image3020.png"/><Relationship Id="rId3028" Type="http://schemas.openxmlformats.org/officeDocument/2006/relationships/image" Target="media/image3021.png"/><Relationship Id="rId3029" Type="http://schemas.openxmlformats.org/officeDocument/2006/relationships/image" Target="media/image3022.png"/><Relationship Id="rId3030" Type="http://schemas.openxmlformats.org/officeDocument/2006/relationships/image" Target="media/image3023.png"/><Relationship Id="rId3031" Type="http://schemas.openxmlformats.org/officeDocument/2006/relationships/image" Target="media/image3024.png"/><Relationship Id="rId3032" Type="http://schemas.openxmlformats.org/officeDocument/2006/relationships/image" Target="media/image3025.png"/><Relationship Id="rId3033" Type="http://schemas.openxmlformats.org/officeDocument/2006/relationships/image" Target="media/image3026.png"/><Relationship Id="rId3034" Type="http://schemas.openxmlformats.org/officeDocument/2006/relationships/image" Target="media/image3027.png"/><Relationship Id="rId3035" Type="http://schemas.openxmlformats.org/officeDocument/2006/relationships/image" Target="media/image3028.png"/><Relationship Id="rId3036" Type="http://schemas.openxmlformats.org/officeDocument/2006/relationships/image" Target="media/image3029.png"/><Relationship Id="rId3037" Type="http://schemas.openxmlformats.org/officeDocument/2006/relationships/image" Target="media/image3030.png"/><Relationship Id="rId3038" Type="http://schemas.openxmlformats.org/officeDocument/2006/relationships/image" Target="media/image3031.png"/><Relationship Id="rId3039" Type="http://schemas.openxmlformats.org/officeDocument/2006/relationships/image" Target="media/image3032.png"/><Relationship Id="rId3040" Type="http://schemas.openxmlformats.org/officeDocument/2006/relationships/image" Target="media/image3033.png"/><Relationship Id="rId3041" Type="http://schemas.openxmlformats.org/officeDocument/2006/relationships/image" Target="media/image3034.png"/><Relationship Id="rId3042" Type="http://schemas.openxmlformats.org/officeDocument/2006/relationships/image" Target="media/image3035.png"/><Relationship Id="rId3043" Type="http://schemas.openxmlformats.org/officeDocument/2006/relationships/image" Target="media/image3036.png"/><Relationship Id="rId3044" Type="http://schemas.openxmlformats.org/officeDocument/2006/relationships/image" Target="media/image3037.png"/><Relationship Id="rId3045" Type="http://schemas.openxmlformats.org/officeDocument/2006/relationships/image" Target="media/image3038.png"/><Relationship Id="rId3046" Type="http://schemas.openxmlformats.org/officeDocument/2006/relationships/image" Target="media/image3039.png"/><Relationship Id="rId3047" Type="http://schemas.openxmlformats.org/officeDocument/2006/relationships/image" Target="media/image3040.png"/><Relationship Id="rId3048" Type="http://schemas.openxmlformats.org/officeDocument/2006/relationships/image" Target="media/image3041.png"/><Relationship Id="rId3049" Type="http://schemas.openxmlformats.org/officeDocument/2006/relationships/image" Target="media/image3042.png"/><Relationship Id="rId3050" Type="http://schemas.openxmlformats.org/officeDocument/2006/relationships/image" Target="media/image3043.png"/><Relationship Id="rId3051" Type="http://schemas.openxmlformats.org/officeDocument/2006/relationships/image" Target="media/image3044.png"/><Relationship Id="rId3052" Type="http://schemas.openxmlformats.org/officeDocument/2006/relationships/image" Target="media/image3045.png"/><Relationship Id="rId3053" Type="http://schemas.openxmlformats.org/officeDocument/2006/relationships/image" Target="media/image3046.png"/><Relationship Id="rId3054" Type="http://schemas.openxmlformats.org/officeDocument/2006/relationships/image" Target="media/image3047.png"/><Relationship Id="rId3055" Type="http://schemas.openxmlformats.org/officeDocument/2006/relationships/image" Target="media/image3048.png"/><Relationship Id="rId3056" Type="http://schemas.openxmlformats.org/officeDocument/2006/relationships/image" Target="media/image3049.png"/><Relationship Id="rId3057" Type="http://schemas.openxmlformats.org/officeDocument/2006/relationships/image" Target="media/image3050.png"/><Relationship Id="rId3058" Type="http://schemas.openxmlformats.org/officeDocument/2006/relationships/image" Target="media/image3051.png"/><Relationship Id="rId3059" Type="http://schemas.openxmlformats.org/officeDocument/2006/relationships/image" Target="media/image3052.png"/><Relationship Id="rId3060" Type="http://schemas.openxmlformats.org/officeDocument/2006/relationships/image" Target="media/image3053.png"/><Relationship Id="rId3061" Type="http://schemas.openxmlformats.org/officeDocument/2006/relationships/image" Target="media/image3054.png"/><Relationship Id="rId3062" Type="http://schemas.openxmlformats.org/officeDocument/2006/relationships/image" Target="media/image3055.png"/><Relationship Id="rId3063" Type="http://schemas.openxmlformats.org/officeDocument/2006/relationships/image" Target="media/image3056.png"/><Relationship Id="rId3064" Type="http://schemas.openxmlformats.org/officeDocument/2006/relationships/image" Target="media/image3057.png"/><Relationship Id="rId3065" Type="http://schemas.openxmlformats.org/officeDocument/2006/relationships/image" Target="media/image3058.png"/><Relationship Id="rId3066" Type="http://schemas.openxmlformats.org/officeDocument/2006/relationships/image" Target="media/image3059.png"/><Relationship Id="rId3067" Type="http://schemas.openxmlformats.org/officeDocument/2006/relationships/image" Target="media/image3060.png"/><Relationship Id="rId3068" Type="http://schemas.openxmlformats.org/officeDocument/2006/relationships/image" Target="media/image3061.png"/><Relationship Id="rId3069" Type="http://schemas.openxmlformats.org/officeDocument/2006/relationships/image" Target="media/image3062.png"/><Relationship Id="rId3070" Type="http://schemas.openxmlformats.org/officeDocument/2006/relationships/image" Target="media/image3063.png"/><Relationship Id="rId3071" Type="http://schemas.openxmlformats.org/officeDocument/2006/relationships/image" Target="media/image3064.png"/><Relationship Id="rId3072" Type="http://schemas.openxmlformats.org/officeDocument/2006/relationships/image" Target="media/image3065.png"/><Relationship Id="rId3073" Type="http://schemas.openxmlformats.org/officeDocument/2006/relationships/image" Target="media/image3066.png"/><Relationship Id="rId3074" Type="http://schemas.openxmlformats.org/officeDocument/2006/relationships/image" Target="media/image3067.png"/><Relationship Id="rId3075" Type="http://schemas.openxmlformats.org/officeDocument/2006/relationships/image" Target="media/image3068.png"/><Relationship Id="rId3076" Type="http://schemas.openxmlformats.org/officeDocument/2006/relationships/image" Target="media/image3069.png"/><Relationship Id="rId3077" Type="http://schemas.openxmlformats.org/officeDocument/2006/relationships/image" Target="media/image3070.png"/><Relationship Id="rId3078" Type="http://schemas.openxmlformats.org/officeDocument/2006/relationships/image" Target="media/image3071.png"/><Relationship Id="rId3079" Type="http://schemas.openxmlformats.org/officeDocument/2006/relationships/image" Target="media/image3072.png"/><Relationship Id="rId3080" Type="http://schemas.openxmlformats.org/officeDocument/2006/relationships/image" Target="media/image3073.png"/><Relationship Id="rId3081" Type="http://schemas.openxmlformats.org/officeDocument/2006/relationships/image" Target="media/image3074.png"/><Relationship Id="rId3082" Type="http://schemas.openxmlformats.org/officeDocument/2006/relationships/image" Target="media/image3075.png"/><Relationship Id="rId3083" Type="http://schemas.openxmlformats.org/officeDocument/2006/relationships/image" Target="media/image3076.jpeg"/><Relationship Id="rId3084" Type="http://schemas.openxmlformats.org/officeDocument/2006/relationships/image" Target="media/image3077.png"/><Relationship Id="rId3085" Type="http://schemas.openxmlformats.org/officeDocument/2006/relationships/image" Target="media/image3078.png"/><Relationship Id="rId3086" Type="http://schemas.openxmlformats.org/officeDocument/2006/relationships/image" Target="media/image3079.png"/><Relationship Id="rId3087" Type="http://schemas.openxmlformats.org/officeDocument/2006/relationships/image" Target="media/image3080.png"/><Relationship Id="rId3088" Type="http://schemas.openxmlformats.org/officeDocument/2006/relationships/image" Target="media/image3081.png"/><Relationship Id="rId3089" Type="http://schemas.openxmlformats.org/officeDocument/2006/relationships/image" Target="media/image3082.png"/><Relationship Id="rId3090" Type="http://schemas.openxmlformats.org/officeDocument/2006/relationships/image" Target="media/image3083.png"/><Relationship Id="rId3091" Type="http://schemas.openxmlformats.org/officeDocument/2006/relationships/image" Target="media/image3084.png"/><Relationship Id="rId3092" Type="http://schemas.openxmlformats.org/officeDocument/2006/relationships/image" Target="media/image3085.png"/><Relationship Id="rId3093" Type="http://schemas.openxmlformats.org/officeDocument/2006/relationships/image" Target="media/image3086.png"/><Relationship Id="rId3094" Type="http://schemas.openxmlformats.org/officeDocument/2006/relationships/image" Target="media/image3087.png"/><Relationship Id="rId3095" Type="http://schemas.openxmlformats.org/officeDocument/2006/relationships/image" Target="media/image3088.png"/><Relationship Id="rId3096" Type="http://schemas.openxmlformats.org/officeDocument/2006/relationships/image" Target="media/image3089.png"/><Relationship Id="rId3097" Type="http://schemas.openxmlformats.org/officeDocument/2006/relationships/image" Target="media/image3090.png"/><Relationship Id="rId3098" Type="http://schemas.openxmlformats.org/officeDocument/2006/relationships/image" Target="media/image3091.png"/><Relationship Id="rId3099" Type="http://schemas.openxmlformats.org/officeDocument/2006/relationships/image" Target="media/image3092.png"/><Relationship Id="rId3100" Type="http://schemas.openxmlformats.org/officeDocument/2006/relationships/image" Target="media/image3093.png"/><Relationship Id="rId3101" Type="http://schemas.openxmlformats.org/officeDocument/2006/relationships/image" Target="media/image3094.png"/><Relationship Id="rId3102" Type="http://schemas.openxmlformats.org/officeDocument/2006/relationships/image" Target="media/image3095.png"/><Relationship Id="rId3103" Type="http://schemas.openxmlformats.org/officeDocument/2006/relationships/image" Target="media/image3096.png"/><Relationship Id="rId3104" Type="http://schemas.openxmlformats.org/officeDocument/2006/relationships/image" Target="media/image3097.png"/><Relationship Id="rId3105" Type="http://schemas.openxmlformats.org/officeDocument/2006/relationships/image" Target="media/image3098.png"/><Relationship Id="rId3106" Type="http://schemas.openxmlformats.org/officeDocument/2006/relationships/image" Target="media/image3099.png"/><Relationship Id="rId3107" Type="http://schemas.openxmlformats.org/officeDocument/2006/relationships/image" Target="media/image3100.png"/><Relationship Id="rId3108" Type="http://schemas.openxmlformats.org/officeDocument/2006/relationships/image" Target="media/image3101.png"/><Relationship Id="rId3109" Type="http://schemas.openxmlformats.org/officeDocument/2006/relationships/image" Target="media/image3102.png"/><Relationship Id="rId3110" Type="http://schemas.openxmlformats.org/officeDocument/2006/relationships/image" Target="media/image3103.png"/><Relationship Id="rId3111" Type="http://schemas.openxmlformats.org/officeDocument/2006/relationships/image" Target="media/image3104.png"/><Relationship Id="rId3112" Type="http://schemas.openxmlformats.org/officeDocument/2006/relationships/image" Target="media/image3105.png"/><Relationship Id="rId3113" Type="http://schemas.openxmlformats.org/officeDocument/2006/relationships/image" Target="media/image3106.png"/><Relationship Id="rId3114" Type="http://schemas.openxmlformats.org/officeDocument/2006/relationships/image" Target="media/image3107.png"/><Relationship Id="rId3115" Type="http://schemas.openxmlformats.org/officeDocument/2006/relationships/image" Target="media/image3108.png"/><Relationship Id="rId3116" Type="http://schemas.openxmlformats.org/officeDocument/2006/relationships/image" Target="media/image3109.png"/><Relationship Id="rId3117" Type="http://schemas.openxmlformats.org/officeDocument/2006/relationships/image" Target="media/image3110.png"/><Relationship Id="rId3118" Type="http://schemas.openxmlformats.org/officeDocument/2006/relationships/image" Target="media/image3111.png"/><Relationship Id="rId3119" Type="http://schemas.openxmlformats.org/officeDocument/2006/relationships/image" Target="media/image3112.png"/><Relationship Id="rId3120" Type="http://schemas.openxmlformats.org/officeDocument/2006/relationships/image" Target="media/image3113.png"/><Relationship Id="rId3121" Type="http://schemas.openxmlformats.org/officeDocument/2006/relationships/image" Target="media/image3114.png"/><Relationship Id="rId3122" Type="http://schemas.openxmlformats.org/officeDocument/2006/relationships/image" Target="media/image3115.png"/><Relationship Id="rId3123" Type="http://schemas.openxmlformats.org/officeDocument/2006/relationships/image" Target="media/image3116.png"/><Relationship Id="rId3124" Type="http://schemas.openxmlformats.org/officeDocument/2006/relationships/image" Target="media/image3117.png"/><Relationship Id="rId3125" Type="http://schemas.openxmlformats.org/officeDocument/2006/relationships/image" Target="media/image3118.png"/><Relationship Id="rId3126" Type="http://schemas.openxmlformats.org/officeDocument/2006/relationships/image" Target="media/image3119.png"/><Relationship Id="rId3127" Type="http://schemas.openxmlformats.org/officeDocument/2006/relationships/image" Target="media/image3120.png"/><Relationship Id="rId3128" Type="http://schemas.openxmlformats.org/officeDocument/2006/relationships/image" Target="media/image3121.png"/><Relationship Id="rId3129" Type="http://schemas.openxmlformats.org/officeDocument/2006/relationships/image" Target="media/image3122.png"/><Relationship Id="rId3130" Type="http://schemas.openxmlformats.org/officeDocument/2006/relationships/image" Target="media/image3123.png"/><Relationship Id="rId3131" Type="http://schemas.openxmlformats.org/officeDocument/2006/relationships/image" Target="media/image3124.png"/><Relationship Id="rId3132" Type="http://schemas.openxmlformats.org/officeDocument/2006/relationships/image" Target="media/image3125.png"/><Relationship Id="rId3133" Type="http://schemas.openxmlformats.org/officeDocument/2006/relationships/image" Target="media/image3126.png"/><Relationship Id="rId3134" Type="http://schemas.openxmlformats.org/officeDocument/2006/relationships/image" Target="media/image3127.png"/><Relationship Id="rId3135" Type="http://schemas.openxmlformats.org/officeDocument/2006/relationships/image" Target="media/image3128.png"/><Relationship Id="rId3136" Type="http://schemas.openxmlformats.org/officeDocument/2006/relationships/image" Target="media/image3129.png"/><Relationship Id="rId3137" Type="http://schemas.openxmlformats.org/officeDocument/2006/relationships/image" Target="media/image3130.png"/><Relationship Id="rId3138" Type="http://schemas.openxmlformats.org/officeDocument/2006/relationships/image" Target="media/image3131.png"/><Relationship Id="rId3139" Type="http://schemas.openxmlformats.org/officeDocument/2006/relationships/image" Target="media/image3132.png"/><Relationship Id="rId3140" Type="http://schemas.openxmlformats.org/officeDocument/2006/relationships/image" Target="media/image3133.png"/><Relationship Id="rId3141" Type="http://schemas.openxmlformats.org/officeDocument/2006/relationships/image" Target="media/image3134.png"/><Relationship Id="rId3142" Type="http://schemas.openxmlformats.org/officeDocument/2006/relationships/image" Target="media/image3135.png"/><Relationship Id="rId3143" Type="http://schemas.openxmlformats.org/officeDocument/2006/relationships/image" Target="media/image3136.png"/><Relationship Id="rId3144" Type="http://schemas.openxmlformats.org/officeDocument/2006/relationships/image" Target="media/image3137.png"/><Relationship Id="rId3145" Type="http://schemas.openxmlformats.org/officeDocument/2006/relationships/image" Target="media/image3138.png"/><Relationship Id="rId3146" Type="http://schemas.openxmlformats.org/officeDocument/2006/relationships/image" Target="media/image3139.png"/><Relationship Id="rId3147" Type="http://schemas.openxmlformats.org/officeDocument/2006/relationships/image" Target="media/image3140.png"/><Relationship Id="rId3148" Type="http://schemas.openxmlformats.org/officeDocument/2006/relationships/image" Target="media/image3141.png"/><Relationship Id="rId3149" Type="http://schemas.openxmlformats.org/officeDocument/2006/relationships/image" Target="media/image3142.png"/><Relationship Id="rId3150" Type="http://schemas.openxmlformats.org/officeDocument/2006/relationships/image" Target="media/image3143.png"/><Relationship Id="rId3151" Type="http://schemas.openxmlformats.org/officeDocument/2006/relationships/image" Target="media/image3144.png"/><Relationship Id="rId3152" Type="http://schemas.openxmlformats.org/officeDocument/2006/relationships/image" Target="media/image3145.png"/><Relationship Id="rId3153" Type="http://schemas.openxmlformats.org/officeDocument/2006/relationships/image" Target="media/image3146.png"/><Relationship Id="rId3154" Type="http://schemas.openxmlformats.org/officeDocument/2006/relationships/image" Target="media/image3147.png"/><Relationship Id="rId3155" Type="http://schemas.openxmlformats.org/officeDocument/2006/relationships/image" Target="media/image3148.png"/><Relationship Id="rId3156" Type="http://schemas.openxmlformats.org/officeDocument/2006/relationships/image" Target="media/image3149.png"/><Relationship Id="rId3157" Type="http://schemas.openxmlformats.org/officeDocument/2006/relationships/image" Target="media/image3150.png"/><Relationship Id="rId3158" Type="http://schemas.openxmlformats.org/officeDocument/2006/relationships/image" Target="media/image3151.png"/><Relationship Id="rId3159" Type="http://schemas.openxmlformats.org/officeDocument/2006/relationships/image" Target="media/image3152.png"/><Relationship Id="rId3160" Type="http://schemas.openxmlformats.org/officeDocument/2006/relationships/image" Target="media/image3153.png"/><Relationship Id="rId3161" Type="http://schemas.openxmlformats.org/officeDocument/2006/relationships/image" Target="media/image3154.png"/><Relationship Id="rId3162" Type="http://schemas.openxmlformats.org/officeDocument/2006/relationships/image" Target="media/image3155.png"/><Relationship Id="rId3163" Type="http://schemas.openxmlformats.org/officeDocument/2006/relationships/image" Target="media/image3156.png"/><Relationship Id="rId3164" Type="http://schemas.openxmlformats.org/officeDocument/2006/relationships/image" Target="media/image3157.png"/><Relationship Id="rId3165" Type="http://schemas.openxmlformats.org/officeDocument/2006/relationships/image" Target="media/image3158.png"/><Relationship Id="rId3166" Type="http://schemas.openxmlformats.org/officeDocument/2006/relationships/image" Target="media/image3159.png"/><Relationship Id="rId3167" Type="http://schemas.openxmlformats.org/officeDocument/2006/relationships/image" Target="media/image3160.png"/><Relationship Id="rId3168" Type="http://schemas.openxmlformats.org/officeDocument/2006/relationships/image" Target="media/image3161.png"/><Relationship Id="rId3169" Type="http://schemas.openxmlformats.org/officeDocument/2006/relationships/image" Target="media/image3162.png"/><Relationship Id="rId3170" Type="http://schemas.openxmlformats.org/officeDocument/2006/relationships/image" Target="media/image3163.png"/><Relationship Id="rId3171" Type="http://schemas.openxmlformats.org/officeDocument/2006/relationships/image" Target="media/image3164.png"/><Relationship Id="rId3172" Type="http://schemas.openxmlformats.org/officeDocument/2006/relationships/image" Target="media/image3165.png"/><Relationship Id="rId3173" Type="http://schemas.openxmlformats.org/officeDocument/2006/relationships/image" Target="media/image3166.png"/><Relationship Id="rId3174" Type="http://schemas.openxmlformats.org/officeDocument/2006/relationships/image" Target="media/image3167.png"/><Relationship Id="rId3175" Type="http://schemas.openxmlformats.org/officeDocument/2006/relationships/image" Target="media/image3168.png"/><Relationship Id="rId3176" Type="http://schemas.openxmlformats.org/officeDocument/2006/relationships/image" Target="media/image3169.png"/><Relationship Id="rId3177" Type="http://schemas.openxmlformats.org/officeDocument/2006/relationships/image" Target="media/image3170.png"/><Relationship Id="rId3178" Type="http://schemas.openxmlformats.org/officeDocument/2006/relationships/image" Target="media/image3171.png"/><Relationship Id="rId3179" Type="http://schemas.openxmlformats.org/officeDocument/2006/relationships/image" Target="media/image3172.png"/><Relationship Id="rId3180" Type="http://schemas.openxmlformats.org/officeDocument/2006/relationships/image" Target="media/image3173.png"/><Relationship Id="rId3181" Type="http://schemas.openxmlformats.org/officeDocument/2006/relationships/image" Target="media/image3174.png"/><Relationship Id="rId3182" Type="http://schemas.openxmlformats.org/officeDocument/2006/relationships/image" Target="media/image3175.png"/><Relationship Id="rId3183" Type="http://schemas.openxmlformats.org/officeDocument/2006/relationships/image" Target="media/image3176.png"/><Relationship Id="rId3184" Type="http://schemas.openxmlformats.org/officeDocument/2006/relationships/image" Target="media/image3177.png"/><Relationship Id="rId3185" Type="http://schemas.openxmlformats.org/officeDocument/2006/relationships/image" Target="media/image3178.png"/><Relationship Id="rId3186" Type="http://schemas.openxmlformats.org/officeDocument/2006/relationships/image" Target="media/image3179.png"/><Relationship Id="rId3187" Type="http://schemas.openxmlformats.org/officeDocument/2006/relationships/image" Target="media/image3180.png"/><Relationship Id="rId3188" Type="http://schemas.openxmlformats.org/officeDocument/2006/relationships/image" Target="media/image3181.png"/><Relationship Id="rId3189" Type="http://schemas.openxmlformats.org/officeDocument/2006/relationships/image" Target="media/image3182.png"/><Relationship Id="rId3190" Type="http://schemas.openxmlformats.org/officeDocument/2006/relationships/image" Target="media/image3183.png"/><Relationship Id="rId3191" Type="http://schemas.openxmlformats.org/officeDocument/2006/relationships/image" Target="media/image3184.png"/><Relationship Id="rId3192" Type="http://schemas.openxmlformats.org/officeDocument/2006/relationships/image" Target="media/image3185.png"/><Relationship Id="rId3193" Type="http://schemas.openxmlformats.org/officeDocument/2006/relationships/image" Target="media/image3186.png"/><Relationship Id="rId3194" Type="http://schemas.openxmlformats.org/officeDocument/2006/relationships/image" Target="media/image3187.png"/><Relationship Id="rId3195" Type="http://schemas.openxmlformats.org/officeDocument/2006/relationships/image" Target="media/image3188.png"/><Relationship Id="rId3196" Type="http://schemas.openxmlformats.org/officeDocument/2006/relationships/image" Target="media/image3189.png"/><Relationship Id="rId3197" Type="http://schemas.openxmlformats.org/officeDocument/2006/relationships/image" Target="media/image3190.png"/><Relationship Id="rId3198" Type="http://schemas.openxmlformats.org/officeDocument/2006/relationships/image" Target="media/image3191.png"/><Relationship Id="rId3199" Type="http://schemas.openxmlformats.org/officeDocument/2006/relationships/image" Target="media/image3192.png"/><Relationship Id="rId3200" Type="http://schemas.openxmlformats.org/officeDocument/2006/relationships/image" Target="media/image3193.png"/><Relationship Id="rId3201" Type="http://schemas.openxmlformats.org/officeDocument/2006/relationships/image" Target="media/image3194.png"/><Relationship Id="rId3202" Type="http://schemas.openxmlformats.org/officeDocument/2006/relationships/image" Target="media/image3195.png"/><Relationship Id="rId3203" Type="http://schemas.openxmlformats.org/officeDocument/2006/relationships/image" Target="media/image3196.png"/><Relationship Id="rId3204" Type="http://schemas.openxmlformats.org/officeDocument/2006/relationships/image" Target="media/image3197.png"/><Relationship Id="rId3205" Type="http://schemas.openxmlformats.org/officeDocument/2006/relationships/image" Target="media/image3198.png"/><Relationship Id="rId3206" Type="http://schemas.openxmlformats.org/officeDocument/2006/relationships/image" Target="media/image3199.png"/><Relationship Id="rId3207" Type="http://schemas.openxmlformats.org/officeDocument/2006/relationships/image" Target="media/image3200.png"/><Relationship Id="rId3208" Type="http://schemas.openxmlformats.org/officeDocument/2006/relationships/image" Target="media/image3201.png"/><Relationship Id="rId3209" Type="http://schemas.openxmlformats.org/officeDocument/2006/relationships/image" Target="media/image3202.png"/><Relationship Id="rId3210" Type="http://schemas.openxmlformats.org/officeDocument/2006/relationships/image" Target="media/image3203.png"/><Relationship Id="rId3211" Type="http://schemas.openxmlformats.org/officeDocument/2006/relationships/image" Target="media/image3204.png"/><Relationship Id="rId3212" Type="http://schemas.openxmlformats.org/officeDocument/2006/relationships/image" Target="media/image3205.png"/><Relationship Id="rId3213" Type="http://schemas.openxmlformats.org/officeDocument/2006/relationships/image" Target="media/image3206.png"/><Relationship Id="rId3214" Type="http://schemas.openxmlformats.org/officeDocument/2006/relationships/image" Target="media/image3207.png"/><Relationship Id="rId3215" Type="http://schemas.openxmlformats.org/officeDocument/2006/relationships/image" Target="media/image3208.png"/><Relationship Id="rId3216" Type="http://schemas.openxmlformats.org/officeDocument/2006/relationships/image" Target="media/image3209.png"/><Relationship Id="rId3217" Type="http://schemas.openxmlformats.org/officeDocument/2006/relationships/image" Target="media/image3210.png"/><Relationship Id="rId3218" Type="http://schemas.openxmlformats.org/officeDocument/2006/relationships/image" Target="media/image3211.png"/><Relationship Id="rId3219" Type="http://schemas.openxmlformats.org/officeDocument/2006/relationships/image" Target="media/image3212.png"/><Relationship Id="rId3220" Type="http://schemas.openxmlformats.org/officeDocument/2006/relationships/image" Target="media/image3213.png"/><Relationship Id="rId3221" Type="http://schemas.openxmlformats.org/officeDocument/2006/relationships/image" Target="media/image3214.png"/><Relationship Id="rId3222" Type="http://schemas.openxmlformats.org/officeDocument/2006/relationships/image" Target="media/image3215.png"/><Relationship Id="rId3223" Type="http://schemas.openxmlformats.org/officeDocument/2006/relationships/image" Target="media/image3216.png"/><Relationship Id="rId3224" Type="http://schemas.openxmlformats.org/officeDocument/2006/relationships/image" Target="media/image3217.png"/><Relationship Id="rId3225" Type="http://schemas.openxmlformats.org/officeDocument/2006/relationships/image" Target="media/image3218.png"/><Relationship Id="rId3226" Type="http://schemas.openxmlformats.org/officeDocument/2006/relationships/image" Target="media/image3219.png"/><Relationship Id="rId3227" Type="http://schemas.openxmlformats.org/officeDocument/2006/relationships/image" Target="media/image3220.png"/><Relationship Id="rId3228" Type="http://schemas.openxmlformats.org/officeDocument/2006/relationships/image" Target="media/image3221.png"/><Relationship Id="rId3229" Type="http://schemas.openxmlformats.org/officeDocument/2006/relationships/image" Target="media/image3222.png"/><Relationship Id="rId3230" Type="http://schemas.openxmlformats.org/officeDocument/2006/relationships/image" Target="media/image3223.png"/><Relationship Id="rId3231" Type="http://schemas.openxmlformats.org/officeDocument/2006/relationships/image" Target="media/image3224.png"/><Relationship Id="rId3232" Type="http://schemas.openxmlformats.org/officeDocument/2006/relationships/image" Target="media/image3225.png"/><Relationship Id="rId3233" Type="http://schemas.openxmlformats.org/officeDocument/2006/relationships/image" Target="media/image3226.png"/><Relationship Id="rId3234" Type="http://schemas.openxmlformats.org/officeDocument/2006/relationships/image" Target="media/image3227.png"/><Relationship Id="rId3235" Type="http://schemas.openxmlformats.org/officeDocument/2006/relationships/image" Target="media/image3228.png"/><Relationship Id="rId3236" Type="http://schemas.openxmlformats.org/officeDocument/2006/relationships/image" Target="media/image3229.png"/><Relationship Id="rId3237" Type="http://schemas.openxmlformats.org/officeDocument/2006/relationships/image" Target="media/image3230.png"/><Relationship Id="rId3238" Type="http://schemas.openxmlformats.org/officeDocument/2006/relationships/image" Target="media/image3231.png"/><Relationship Id="rId3239" Type="http://schemas.openxmlformats.org/officeDocument/2006/relationships/image" Target="media/image3232.png"/><Relationship Id="rId3240" Type="http://schemas.openxmlformats.org/officeDocument/2006/relationships/image" Target="media/image3233.png"/><Relationship Id="rId3241" Type="http://schemas.openxmlformats.org/officeDocument/2006/relationships/image" Target="media/image3234.png"/><Relationship Id="rId3242" Type="http://schemas.openxmlformats.org/officeDocument/2006/relationships/image" Target="media/image3235.png"/><Relationship Id="rId3243" Type="http://schemas.openxmlformats.org/officeDocument/2006/relationships/image" Target="media/image3236.png"/><Relationship Id="rId3244" Type="http://schemas.openxmlformats.org/officeDocument/2006/relationships/image" Target="media/image3237.png"/><Relationship Id="rId3245" Type="http://schemas.openxmlformats.org/officeDocument/2006/relationships/image" Target="media/image3238.png"/><Relationship Id="rId3246" Type="http://schemas.openxmlformats.org/officeDocument/2006/relationships/image" Target="media/image3239.png"/><Relationship Id="rId3247" Type="http://schemas.openxmlformats.org/officeDocument/2006/relationships/image" Target="media/image3240.png"/><Relationship Id="rId3248" Type="http://schemas.openxmlformats.org/officeDocument/2006/relationships/image" Target="media/image3241.png"/><Relationship Id="rId3249" Type="http://schemas.openxmlformats.org/officeDocument/2006/relationships/image" Target="media/image3242.png"/><Relationship Id="rId3250" Type="http://schemas.openxmlformats.org/officeDocument/2006/relationships/image" Target="media/image3243.png"/><Relationship Id="rId3251" Type="http://schemas.openxmlformats.org/officeDocument/2006/relationships/image" Target="media/image3244.png"/><Relationship Id="rId3252" Type="http://schemas.openxmlformats.org/officeDocument/2006/relationships/image" Target="media/image3245.png"/><Relationship Id="rId3253" Type="http://schemas.openxmlformats.org/officeDocument/2006/relationships/image" Target="media/image3246.png"/><Relationship Id="rId3254" Type="http://schemas.openxmlformats.org/officeDocument/2006/relationships/image" Target="media/image3247.png"/><Relationship Id="rId3255" Type="http://schemas.openxmlformats.org/officeDocument/2006/relationships/image" Target="media/image3248.png"/><Relationship Id="rId3256" Type="http://schemas.openxmlformats.org/officeDocument/2006/relationships/image" Target="media/image3249.png"/><Relationship Id="rId3257" Type="http://schemas.openxmlformats.org/officeDocument/2006/relationships/image" Target="media/image3250.png"/><Relationship Id="rId3258" Type="http://schemas.openxmlformats.org/officeDocument/2006/relationships/image" Target="media/image3251.png"/><Relationship Id="rId3259" Type="http://schemas.openxmlformats.org/officeDocument/2006/relationships/image" Target="media/image3252.png"/><Relationship Id="rId3260" Type="http://schemas.openxmlformats.org/officeDocument/2006/relationships/image" Target="media/image3253.png"/><Relationship Id="rId3261" Type="http://schemas.openxmlformats.org/officeDocument/2006/relationships/image" Target="media/image3254.png"/><Relationship Id="rId3262" Type="http://schemas.openxmlformats.org/officeDocument/2006/relationships/image" Target="media/image3255.png"/><Relationship Id="rId3263" Type="http://schemas.openxmlformats.org/officeDocument/2006/relationships/image" Target="media/image3256.png"/><Relationship Id="rId3264" Type="http://schemas.openxmlformats.org/officeDocument/2006/relationships/image" Target="media/image3257.png"/><Relationship Id="rId3265" Type="http://schemas.openxmlformats.org/officeDocument/2006/relationships/image" Target="media/image3258.png"/><Relationship Id="rId3266" Type="http://schemas.openxmlformats.org/officeDocument/2006/relationships/image" Target="media/image3259.png"/><Relationship Id="rId3267" Type="http://schemas.openxmlformats.org/officeDocument/2006/relationships/image" Target="media/image3260.png"/><Relationship Id="rId3268" Type="http://schemas.openxmlformats.org/officeDocument/2006/relationships/image" Target="media/image3261.png"/><Relationship Id="rId3269" Type="http://schemas.openxmlformats.org/officeDocument/2006/relationships/image" Target="media/image3262.png"/><Relationship Id="rId3270" Type="http://schemas.openxmlformats.org/officeDocument/2006/relationships/image" Target="media/image3263.png"/><Relationship Id="rId3271" Type="http://schemas.openxmlformats.org/officeDocument/2006/relationships/image" Target="media/image3264.png"/><Relationship Id="rId3272" Type="http://schemas.openxmlformats.org/officeDocument/2006/relationships/image" Target="media/image3265.jpeg"/><Relationship Id="rId3273" Type="http://schemas.openxmlformats.org/officeDocument/2006/relationships/image" Target="media/image3266.png"/><Relationship Id="rId3274" Type="http://schemas.openxmlformats.org/officeDocument/2006/relationships/image" Target="media/image3267.png"/><Relationship Id="rId3275" Type="http://schemas.openxmlformats.org/officeDocument/2006/relationships/image" Target="media/image3268.png"/><Relationship Id="rId3276" Type="http://schemas.openxmlformats.org/officeDocument/2006/relationships/image" Target="media/image3269.png"/><Relationship Id="rId3277" Type="http://schemas.openxmlformats.org/officeDocument/2006/relationships/image" Target="media/image3270.jpeg"/><Relationship Id="rId3278" Type="http://schemas.openxmlformats.org/officeDocument/2006/relationships/image" Target="media/image3271.png"/><Relationship Id="rId3279" Type="http://schemas.openxmlformats.org/officeDocument/2006/relationships/image" Target="media/image3272.png"/><Relationship Id="rId3280" Type="http://schemas.openxmlformats.org/officeDocument/2006/relationships/image" Target="media/image3273.png"/><Relationship Id="rId3281" Type="http://schemas.openxmlformats.org/officeDocument/2006/relationships/image" Target="media/image3274.png"/><Relationship Id="rId3282" Type="http://schemas.openxmlformats.org/officeDocument/2006/relationships/image" Target="media/image3275.png"/><Relationship Id="rId3283" Type="http://schemas.openxmlformats.org/officeDocument/2006/relationships/image" Target="media/image3276.png"/><Relationship Id="rId3284" Type="http://schemas.openxmlformats.org/officeDocument/2006/relationships/image" Target="media/image3277.png"/><Relationship Id="rId3285" Type="http://schemas.openxmlformats.org/officeDocument/2006/relationships/image" Target="media/image3278.png"/><Relationship Id="rId3286" Type="http://schemas.openxmlformats.org/officeDocument/2006/relationships/image" Target="media/image3279.png"/><Relationship Id="rId3287" Type="http://schemas.openxmlformats.org/officeDocument/2006/relationships/image" Target="media/image3280.png"/><Relationship Id="rId3288" Type="http://schemas.openxmlformats.org/officeDocument/2006/relationships/image" Target="media/image3281.png"/><Relationship Id="rId3289" Type="http://schemas.openxmlformats.org/officeDocument/2006/relationships/image" Target="media/image3282.jpeg"/><Relationship Id="rId3290" Type="http://schemas.openxmlformats.org/officeDocument/2006/relationships/image" Target="media/image3283.jpeg"/><Relationship Id="rId3291" Type="http://schemas.openxmlformats.org/officeDocument/2006/relationships/image" Target="media/image3284.jpeg"/><Relationship Id="rId3292" Type="http://schemas.openxmlformats.org/officeDocument/2006/relationships/image" Target="media/image3285.png"/><Relationship Id="rId3293" Type="http://schemas.openxmlformats.org/officeDocument/2006/relationships/image" Target="media/image3286.png"/><Relationship Id="rId3294" Type="http://schemas.openxmlformats.org/officeDocument/2006/relationships/image" Target="media/image3287.png"/><Relationship Id="rId3295" Type="http://schemas.openxmlformats.org/officeDocument/2006/relationships/image" Target="media/image3288.png"/><Relationship Id="rId3296" Type="http://schemas.openxmlformats.org/officeDocument/2006/relationships/image" Target="media/image3289.jpeg"/><Relationship Id="rId3297" Type="http://schemas.openxmlformats.org/officeDocument/2006/relationships/image" Target="media/image3290.jpeg"/><Relationship Id="rId3298" Type="http://schemas.openxmlformats.org/officeDocument/2006/relationships/image" Target="media/image3291.png"/><Relationship Id="rId3299" Type="http://schemas.openxmlformats.org/officeDocument/2006/relationships/image" Target="media/image3292.jpeg"/><Relationship Id="rId3300" Type="http://schemas.openxmlformats.org/officeDocument/2006/relationships/image" Target="media/image3293.png"/><Relationship Id="rId3301" Type="http://schemas.openxmlformats.org/officeDocument/2006/relationships/image" Target="media/image3294.png"/><Relationship Id="rId3302" Type="http://schemas.openxmlformats.org/officeDocument/2006/relationships/image" Target="media/image3295.png"/><Relationship Id="rId3303" Type="http://schemas.openxmlformats.org/officeDocument/2006/relationships/image" Target="media/image3296.jpeg"/><Relationship Id="rId3304" Type="http://schemas.openxmlformats.org/officeDocument/2006/relationships/image" Target="media/image3297.png"/><Relationship Id="rId3305" Type="http://schemas.openxmlformats.org/officeDocument/2006/relationships/image" Target="media/image3298.png"/><Relationship Id="rId3306" Type="http://schemas.openxmlformats.org/officeDocument/2006/relationships/image" Target="media/image3299.jpeg"/><Relationship Id="rId3307" Type="http://schemas.openxmlformats.org/officeDocument/2006/relationships/image" Target="media/image3300.jpeg"/><Relationship Id="rId3308" Type="http://schemas.openxmlformats.org/officeDocument/2006/relationships/image" Target="media/image3301.jpeg"/><Relationship Id="rId3309" Type="http://schemas.openxmlformats.org/officeDocument/2006/relationships/image" Target="media/image3302.jpeg"/><Relationship Id="rId3310" Type="http://schemas.openxmlformats.org/officeDocument/2006/relationships/image" Target="media/image3303.jpeg"/><Relationship Id="rId3311" Type="http://schemas.openxmlformats.org/officeDocument/2006/relationships/image" Target="media/image3304.jpeg"/><Relationship Id="rId3312" Type="http://schemas.openxmlformats.org/officeDocument/2006/relationships/image" Target="media/image3305.png"/><Relationship Id="rId3313" Type="http://schemas.openxmlformats.org/officeDocument/2006/relationships/image" Target="media/image3306.png"/><Relationship Id="rId3314" Type="http://schemas.openxmlformats.org/officeDocument/2006/relationships/image" Target="media/image3307.jpeg"/><Relationship Id="rId3315" Type="http://schemas.openxmlformats.org/officeDocument/2006/relationships/image" Target="media/image3308.jpeg"/><Relationship Id="rId3316" Type="http://schemas.openxmlformats.org/officeDocument/2006/relationships/image" Target="media/image3309.jpeg"/><Relationship Id="rId3317" Type="http://schemas.openxmlformats.org/officeDocument/2006/relationships/image" Target="media/image3310.jpeg"/><Relationship Id="rId3318" Type="http://schemas.openxmlformats.org/officeDocument/2006/relationships/image" Target="media/image3311.jpeg"/><Relationship Id="rId3319" Type="http://schemas.openxmlformats.org/officeDocument/2006/relationships/image" Target="media/image3312.jpeg"/><Relationship Id="rId3320" Type="http://schemas.openxmlformats.org/officeDocument/2006/relationships/image" Target="media/image3313.png"/><Relationship Id="rId3321" Type="http://schemas.openxmlformats.org/officeDocument/2006/relationships/image" Target="media/image3314.png"/><Relationship Id="rId3322" Type="http://schemas.openxmlformats.org/officeDocument/2006/relationships/image" Target="media/image3315.png"/><Relationship Id="rId3323" Type="http://schemas.openxmlformats.org/officeDocument/2006/relationships/image" Target="media/image3316.png"/><Relationship Id="rId3324" Type="http://schemas.openxmlformats.org/officeDocument/2006/relationships/image" Target="media/image3317.png"/><Relationship Id="rId3325" Type="http://schemas.openxmlformats.org/officeDocument/2006/relationships/image" Target="media/image3318.png"/><Relationship Id="rId3326" Type="http://schemas.openxmlformats.org/officeDocument/2006/relationships/image" Target="media/image3319.png"/><Relationship Id="rId3327" Type="http://schemas.openxmlformats.org/officeDocument/2006/relationships/image" Target="media/image3320.png"/><Relationship Id="rId3328" Type="http://schemas.openxmlformats.org/officeDocument/2006/relationships/image" Target="media/image3321.png"/><Relationship Id="rId3329" Type="http://schemas.openxmlformats.org/officeDocument/2006/relationships/image" Target="media/image3322.png"/><Relationship Id="rId3330" Type="http://schemas.openxmlformats.org/officeDocument/2006/relationships/image" Target="media/image3323.png"/><Relationship Id="rId3331" Type="http://schemas.openxmlformats.org/officeDocument/2006/relationships/image" Target="media/image3324.png"/><Relationship Id="rId3332" Type="http://schemas.openxmlformats.org/officeDocument/2006/relationships/image" Target="media/image3325.png"/><Relationship Id="rId3333" Type="http://schemas.openxmlformats.org/officeDocument/2006/relationships/image" Target="media/image3326.png"/><Relationship Id="rId3334" Type="http://schemas.openxmlformats.org/officeDocument/2006/relationships/image" Target="media/image3327.png"/><Relationship Id="rId3335" Type="http://schemas.openxmlformats.org/officeDocument/2006/relationships/image" Target="media/image3328.png"/><Relationship Id="rId3336" Type="http://schemas.openxmlformats.org/officeDocument/2006/relationships/image" Target="media/image3329.png"/><Relationship Id="rId3337" Type="http://schemas.openxmlformats.org/officeDocument/2006/relationships/image" Target="media/image3330.png"/><Relationship Id="rId3338" Type="http://schemas.openxmlformats.org/officeDocument/2006/relationships/image" Target="media/image3331.png"/><Relationship Id="rId3339" Type="http://schemas.openxmlformats.org/officeDocument/2006/relationships/image" Target="media/image3332.png"/><Relationship Id="rId3340" Type="http://schemas.openxmlformats.org/officeDocument/2006/relationships/image" Target="media/image3333.png"/><Relationship Id="rId3341" Type="http://schemas.openxmlformats.org/officeDocument/2006/relationships/image" Target="media/image3334.png"/><Relationship Id="rId3342" Type="http://schemas.openxmlformats.org/officeDocument/2006/relationships/image" Target="media/image3335.png"/><Relationship Id="rId3343" Type="http://schemas.openxmlformats.org/officeDocument/2006/relationships/image" Target="media/image3336.png"/><Relationship Id="rId3344" Type="http://schemas.openxmlformats.org/officeDocument/2006/relationships/image" Target="media/image3337.png"/><Relationship Id="rId3345" Type="http://schemas.openxmlformats.org/officeDocument/2006/relationships/image" Target="media/image3338.png"/><Relationship Id="rId3346" Type="http://schemas.openxmlformats.org/officeDocument/2006/relationships/image" Target="media/image3339.png"/><Relationship Id="rId3347" Type="http://schemas.openxmlformats.org/officeDocument/2006/relationships/image" Target="media/image3340.png"/><Relationship Id="rId3348" Type="http://schemas.openxmlformats.org/officeDocument/2006/relationships/image" Target="media/image3341.png"/><Relationship Id="rId3349" Type="http://schemas.openxmlformats.org/officeDocument/2006/relationships/image" Target="media/image3342.jpeg"/><Relationship Id="rId3350" Type="http://schemas.openxmlformats.org/officeDocument/2006/relationships/image" Target="media/image3343.png"/><Relationship Id="rId3351" Type="http://schemas.openxmlformats.org/officeDocument/2006/relationships/image" Target="media/image3344.png"/><Relationship Id="rId3352" Type="http://schemas.openxmlformats.org/officeDocument/2006/relationships/image" Target="media/image3345.png"/><Relationship Id="rId3353" Type="http://schemas.openxmlformats.org/officeDocument/2006/relationships/image" Target="media/image3346.png"/><Relationship Id="rId3354" Type="http://schemas.openxmlformats.org/officeDocument/2006/relationships/image" Target="media/image3347.png"/><Relationship Id="rId3355" Type="http://schemas.openxmlformats.org/officeDocument/2006/relationships/image" Target="media/image3348.png"/><Relationship Id="rId3356" Type="http://schemas.openxmlformats.org/officeDocument/2006/relationships/image" Target="media/image3349.jpeg"/><Relationship Id="rId3357" Type="http://schemas.openxmlformats.org/officeDocument/2006/relationships/image" Target="media/image3350.png"/><Relationship Id="rId3358" Type="http://schemas.openxmlformats.org/officeDocument/2006/relationships/image" Target="media/image3351.png"/><Relationship Id="rId3359" Type="http://schemas.openxmlformats.org/officeDocument/2006/relationships/image" Target="media/image33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2024-02-22T10:16:45Z</dcterms:created>
  <dcterms:modified xsi:type="dcterms:W3CDTF">2024-02-22T10:16:45Z</dcterms:modified>
</cp:coreProperties>
</file>