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CURRIE PETER L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5599 SAN FELIPE, 17TH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3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00" w:type="dxa"/>
            <w:vAlign w:val="bottom"/>
            <w:gridSpan w:val="7"/>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9"/>
              </w:rPr>
              <w:t>/s/Saul Laureles, Attorney-in-</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04/15/2010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vMerge w:val="restart"/>
          </w:tcPr>
          <w:p>
            <w:pPr>
              <w:spacing w:after="0"/>
              <w:rPr>
                <w:sz w:val="7"/>
                <w:szCs w:val="7"/>
                <w:color w:val="auto"/>
              </w:rPr>
            </w:pPr>
          </w:p>
        </w:tc>
        <w:tc>
          <w:tcPr>
            <w:tcW w:w="96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w:t>
      </w:r>
    </w:p>
    <w:p>
      <w:pPr>
        <w:spacing w:after="0" w:line="233" w:lineRule="auto"/>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4"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April 14, 2010  /s/ Peter L.S. Currie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3339"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2019-12-18T11:34:42Z</dcterms:created>
  <dcterms:modified xsi:type="dcterms:W3CDTF">2019-12-18T11:34:42Z</dcterms:modified>
</cp:coreProperties>
</file>