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116205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127000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April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130810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SCHLUMBERGER N.V.</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(SCHLUMBERGER LIMITED)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116205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p>
      <w:pPr>
        <w:spacing w:after="0" w:line="303" w:lineRule="exact"/>
        <w:rPr>
          <w:sz w:val="24"/>
          <w:szCs w:val="24"/>
          <w:color w:val="auto"/>
        </w:rPr>
      </w:pPr>
    </w:p>
    <w:p>
      <w:pPr>
        <w:ind w:left="1700"/>
        <w:spacing w:after="0"/>
        <w:rPr>
          <w:sz w:val="20"/>
          <w:szCs w:val="20"/>
          <w:color w:val="auto"/>
        </w:rPr>
      </w:pPr>
      <w:r>
        <w:rPr>
          <w:rFonts w:ascii="Arial" w:cs="Arial" w:eastAsia="Arial" w:hAnsi="Arial"/>
          <w:sz w:val="12"/>
          <w:szCs w:val="12"/>
          <w:b w:val="1"/>
          <w:bCs w:val="1"/>
          <w:color w:val="auto"/>
        </w:rPr>
        <w:t>Curaçao</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jc w:val="center"/>
        <w:ind w:right="1300"/>
        <w:spacing w:after="0"/>
        <w:rPr>
          <w:sz w:val="20"/>
          <w:szCs w:val="20"/>
          <w:color w:val="auto"/>
        </w:rPr>
      </w:pPr>
      <w:r>
        <w:rPr>
          <w:rFonts w:ascii="Arial" w:cs="Arial" w:eastAsia="Arial" w:hAnsi="Arial"/>
          <w:sz w:val="12"/>
          <w:szCs w:val="12"/>
          <w:b w:val="1"/>
          <w:bCs w:val="1"/>
          <w:color w:val="auto"/>
        </w:rPr>
        <w:t>1-4601</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52-0684746</w:t>
      </w:r>
    </w:p>
    <w:p>
      <w:pPr>
        <w:spacing w:after="0" w:line="19" w:lineRule="exact"/>
        <w:rPr>
          <w:sz w:val="24"/>
          <w:szCs w:val="24"/>
          <w:color w:val="auto"/>
        </w:rPr>
      </w:pPr>
    </w:p>
    <w:p>
      <w:pPr>
        <w:sectPr>
          <w:pgSz w:w="11900" w:h="16838" w:orient="portrait"/>
          <w:cols w:equalWidth="0" w:num="3">
            <w:col w:w="3660" w:space="720"/>
            <w:col w:w="1700" w:space="720"/>
            <w:col w:w="2219"/>
          </w:cols>
          <w:pgMar w:left="1440" w:top="319" w:right="1440" w:bottom="1440" w:gutter="0" w:footer="0" w:header="0"/>
          <w:type w:val="continuous"/>
        </w:sectPr>
      </w:pPr>
    </w:p>
    <w:p>
      <w:pPr>
        <w:jc w:val="center"/>
        <w:ind w:left="360"/>
        <w:spacing w:after="0"/>
        <w:rPr>
          <w:sz w:val="20"/>
          <w:szCs w:val="20"/>
          <w:color w:val="auto"/>
        </w:rPr>
      </w:pPr>
      <w:r>
        <w:rPr>
          <w:rFonts w:ascii="Arial" w:cs="Arial" w:eastAsia="Arial" w:hAnsi="Arial"/>
          <w:sz w:val="10"/>
          <w:szCs w:val="10"/>
          <w:b w:val="1"/>
          <w:bCs w:val="1"/>
          <w:color w:val="auto"/>
        </w:rPr>
        <w:t>(State or other jurisdiction</w:t>
      </w:r>
    </w:p>
    <w:p>
      <w:pPr>
        <w:jc w:val="center"/>
        <w:ind w:left="3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w:t>
      </w:r>
    </w:p>
    <w:p>
      <w:pPr>
        <w:ind w:left="20"/>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59"/>
        <w:spacing w:after="0"/>
        <w:rPr>
          <w:sz w:val="20"/>
          <w:szCs w:val="20"/>
          <w:color w:val="auto"/>
        </w:rPr>
      </w:pPr>
      <w:r>
        <w:rPr>
          <w:rFonts w:ascii="Arial" w:cs="Arial" w:eastAsia="Arial" w:hAnsi="Arial"/>
          <w:sz w:val="10"/>
          <w:szCs w:val="10"/>
          <w:b w:val="1"/>
          <w:bCs w:val="1"/>
          <w:color w:val="auto"/>
        </w:rPr>
        <w:t>(IRS Employer</w:t>
      </w:r>
    </w:p>
    <w:p>
      <w:pPr>
        <w:jc w:val="center"/>
        <w:ind w:right="1459"/>
        <w:spacing w:after="0"/>
        <w:rPr>
          <w:sz w:val="20"/>
          <w:szCs w:val="20"/>
          <w:color w:val="auto"/>
        </w:rPr>
      </w:pPr>
      <w:r>
        <w:rPr>
          <w:rFonts w:ascii="Arial" w:cs="Arial" w:eastAsia="Arial" w:hAnsi="Arial"/>
          <w:sz w:val="10"/>
          <w:szCs w:val="10"/>
          <w:b w:val="1"/>
          <w:bCs w:val="1"/>
          <w:color w:val="auto"/>
        </w:rPr>
        <w:t>Identification No.)</w:t>
      </w:r>
    </w:p>
    <w:p>
      <w:pPr>
        <w:spacing w:after="0" w:line="97" w:lineRule="exact"/>
        <w:rPr>
          <w:sz w:val="24"/>
          <w:szCs w:val="24"/>
          <w:color w:val="auto"/>
        </w:rPr>
      </w:pPr>
    </w:p>
    <w:p>
      <w:pPr>
        <w:sectPr>
          <w:pgSz w:w="11900" w:h="16838" w:orient="portrait"/>
          <w:cols w:equalWidth="0" w:num="3">
            <w:col w:w="3540" w:space="720"/>
            <w:col w:w="1720" w:space="720"/>
            <w:col w:w="2319"/>
          </w:cols>
          <w:pgMar w:left="1440" w:top="31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42 rue Saint-Dominique, Paris, France 75007</w:t>
      </w:r>
    </w:p>
    <w:p>
      <w:pPr>
        <w:jc w:val="center"/>
        <w:ind w:right="19"/>
        <w:spacing w:after="0" w:line="235" w:lineRule="auto"/>
        <w:rPr>
          <w:sz w:val="20"/>
          <w:szCs w:val="20"/>
          <w:color w:val="auto"/>
        </w:rPr>
      </w:pPr>
      <w:r>
        <w:rPr>
          <w:rFonts w:ascii="Arial" w:cs="Arial" w:eastAsia="Arial" w:hAnsi="Arial"/>
          <w:sz w:val="13"/>
          <w:szCs w:val="13"/>
          <w:b w:val="1"/>
          <w:bCs w:val="1"/>
          <w:color w:val="auto"/>
        </w:rPr>
        <w:t>5599 San Felipe, Houston, Texas, U.S.A. 77056</w:t>
      </w:r>
    </w:p>
    <w:p>
      <w:pPr>
        <w:jc w:val="center"/>
        <w:ind w:right="19"/>
        <w:spacing w:after="0"/>
        <w:rPr>
          <w:sz w:val="20"/>
          <w:szCs w:val="20"/>
          <w:color w:val="auto"/>
        </w:rPr>
      </w:pPr>
      <w:r>
        <w:rPr>
          <w:rFonts w:ascii="Arial" w:cs="Arial" w:eastAsia="Arial" w:hAnsi="Arial"/>
          <w:sz w:val="12"/>
          <w:szCs w:val="12"/>
          <w:b w:val="1"/>
          <w:bCs w:val="1"/>
          <w:color w:val="auto"/>
        </w:rPr>
        <w:t>62 Buckingham Gate, London, United Kingdom SW1E 6AJ</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Parkstraat 83, The Hague, The Netherlands 2514 JG</w:t>
      </w:r>
    </w:p>
    <w:p>
      <w:pPr>
        <w:jc w:val="center"/>
        <w:ind w:right="19"/>
        <w:spacing w:after="0"/>
        <w:rPr>
          <w:sz w:val="20"/>
          <w:szCs w:val="20"/>
          <w:color w:val="auto"/>
        </w:rPr>
      </w:pPr>
      <w:r>
        <w:rPr>
          <w:rFonts w:ascii="Arial" w:cs="Arial" w:eastAsia="Arial" w:hAnsi="Arial"/>
          <w:sz w:val="10"/>
          <w:szCs w:val="10"/>
          <w:b w:val="1"/>
          <w:bCs w:val="1"/>
          <w:color w:val="auto"/>
        </w:rPr>
        <w:t>(Addresses of principal executive offices and zip or postal codes)</w:t>
      </w:r>
    </w:p>
    <w:p>
      <w:pPr>
        <w:sectPr>
          <w:pgSz w:w="11900" w:h="16838" w:orient="portrait"/>
          <w:cols w:equalWidth="0" w:num="1">
            <w:col w:w="9019"/>
          </w:cols>
          <w:pgMar w:left="1440" w:top="319" w:right="1440" w:bottom="1440" w:gutter="0" w:footer="0" w:header="0"/>
          <w:type w:val="continuous"/>
        </w:sectPr>
      </w:pPr>
    </w:p>
    <w:p>
      <w:pPr>
        <w:spacing w:after="0" w:line="8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117475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6" w:lineRule="exact"/>
        <w:rPr>
          <w:sz w:val="24"/>
          <w:szCs w:val="24"/>
          <w:color w:val="auto"/>
        </w:rPr>
      </w:pPr>
    </w:p>
    <w:p>
      <w:pPr>
        <w:ind w:left="640" w:right="719"/>
        <w:spacing w:after="0" w:line="255"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 below):</w:t>
      </w:r>
    </w:p>
    <w:p>
      <w:pPr>
        <w:spacing w:after="0" w:line="52"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1839" w:hanging="3"/>
        <w:spacing w:after="0" w:line="400" w:lineRule="auto"/>
        <w:tabs>
          <w:tab w:leader="none" w:pos="943"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14"/>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rPr>
              <w:t>Name of each exchange</w:t>
            </w:r>
          </w:p>
        </w:tc>
      </w:tr>
      <w:tr>
        <w:trPr>
          <w:trHeight w:val="130"/>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rPr>
              <w:t>on which registered</w:t>
            </w:r>
          </w:p>
        </w:tc>
      </w:tr>
      <w:tr>
        <w:trPr>
          <w:trHeight w:val="156"/>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common stock, par value $0.01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SLB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New York Stock Exchange</w:t>
            </w:r>
          </w:p>
        </w:tc>
      </w:tr>
    </w:tbl>
    <w:p>
      <w:pPr>
        <w:spacing w:after="0" w:line="67" w:lineRule="exact"/>
        <w:rPr>
          <w:sz w:val="24"/>
          <w:szCs w:val="24"/>
          <w:color w:val="auto"/>
        </w:rPr>
      </w:pPr>
    </w:p>
    <w:p>
      <w:pPr>
        <w:ind w:left="640" w:right="1099"/>
        <w:spacing w:after="0" w:line="255"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1239"/>
        <w:spacing w:after="0" w:line="16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68" w:lineRule="exact"/>
        <w:rPr>
          <w:sz w:val="20"/>
          <w:szCs w:val="20"/>
          <w:color w:val="auto"/>
        </w:rPr>
      </w:pPr>
    </w:p>
    <w:p>
      <w:pPr>
        <w:ind w:left="640" w:right="719" w:firstLine="309"/>
        <w:spacing w:after="0" w:line="234" w:lineRule="auto"/>
        <w:rPr>
          <w:sz w:val="20"/>
          <w:szCs w:val="20"/>
          <w:color w:val="auto"/>
        </w:rPr>
      </w:pPr>
      <w:r>
        <w:rPr>
          <w:rFonts w:ascii="Arial" w:cs="Arial" w:eastAsia="Arial" w:hAnsi="Arial"/>
          <w:sz w:val="13"/>
          <w:szCs w:val="13"/>
          <w:color w:val="auto"/>
        </w:rPr>
        <w:t>On April 2, 2024, Schlumberger Limited (“SLB”), a Curaçao corporation, and its indirect, wholly owned subsidiaries, Sodium Holdco, Inc., a Delaware corporation (“Holdco”), and Sodium Merger Sub, Inc., a Delaware corporation (“Merger Sub” and, together with SLB and Holdco, the “SLB Parties”), entered into an Agreement and Plan of Merger (the “Merger Agreement”) with ChampionX Corporation, a Delaware corporation (“ChampionX”), pursuant to which SLB will acquire ChampionX in an all-stock transaction. The Merger Agreement has been unanimously approved by the board of directors of ChampionX (“ChampionX Board”) and the boards of directors of each of Holdco and Merger Sub and has been approved by the board of directors of SLB.</w:t>
      </w:r>
    </w:p>
    <w:p>
      <w:pPr>
        <w:spacing w:after="0" w:line="130" w:lineRule="exact"/>
        <w:rPr>
          <w:sz w:val="20"/>
          <w:szCs w:val="20"/>
          <w:color w:val="auto"/>
        </w:rPr>
      </w:pPr>
    </w:p>
    <w:p>
      <w:pPr>
        <w:ind w:left="640" w:right="659" w:firstLine="309"/>
        <w:spacing w:after="0" w:line="233" w:lineRule="auto"/>
        <w:rPr>
          <w:sz w:val="20"/>
          <w:szCs w:val="20"/>
          <w:color w:val="auto"/>
        </w:rPr>
      </w:pPr>
      <w:r>
        <w:rPr>
          <w:rFonts w:ascii="Arial" w:cs="Arial" w:eastAsia="Arial" w:hAnsi="Arial"/>
          <w:sz w:val="13"/>
          <w:szCs w:val="13"/>
          <w:color w:val="auto"/>
        </w:rPr>
        <w:t>Under the terms of the Merger Agreement, Holdco will acquire all of the issued and outstanding capital stock of ChampionX in a transaction in which Merger Sub will merge with and into ChampionX, with ChampionX surviving the merger as a wholly owned subsidiary of Holdco and an indirect wholly owned subsidiary of SLB (the “Merger”). Upon the closing of the Merger (the “Closing”), each share of ChampionX common stock issued and outstanding immediately prior to the effective time of the Merger (other than any shares of ChampionX common stock held in the treasury of ChampionX or held by the SLB Parties or any direct or indirect subsidiary of SLB) will be exchanged for 0.735 shares of SLB common stock (the “Exchange Ratio,” and the shares to be issued in the Merger, the “Merger Shares”). Immediately following the Closing, ChampionX shareholders will own approximately 9% of SLB’s outstanding common stock on a pro forma basis.</w:t>
      </w:r>
    </w:p>
    <w:p>
      <w:pPr>
        <w:spacing w:after="0" w:line="128" w:lineRule="exact"/>
        <w:rPr>
          <w:sz w:val="20"/>
          <w:szCs w:val="20"/>
          <w:color w:val="auto"/>
        </w:rPr>
      </w:pPr>
    </w:p>
    <w:p>
      <w:pPr>
        <w:ind w:left="640" w:right="739" w:firstLine="309"/>
        <w:spacing w:after="0" w:line="255" w:lineRule="auto"/>
        <w:rPr>
          <w:sz w:val="20"/>
          <w:szCs w:val="20"/>
          <w:color w:val="auto"/>
        </w:rPr>
      </w:pPr>
      <w:r>
        <w:rPr>
          <w:rFonts w:ascii="Arial" w:cs="Arial" w:eastAsia="Arial" w:hAnsi="Arial"/>
          <w:sz w:val="13"/>
          <w:szCs w:val="13"/>
          <w:color w:val="auto"/>
        </w:rPr>
        <w:t>At the effective time of the Merger, each issued and outstanding ChampionX equity incentive award will be cancelled and converted as follows:</w:t>
      </w:r>
    </w:p>
    <w:p>
      <w:pPr>
        <w:spacing w:after="0" w:line="52" w:lineRule="exact"/>
        <w:rPr>
          <w:sz w:val="20"/>
          <w:szCs w:val="20"/>
          <w:color w:val="auto"/>
        </w:rPr>
      </w:pPr>
    </w:p>
    <w:p>
      <w:pPr>
        <w:ind w:left="1320" w:right="939" w:hanging="303"/>
        <w:spacing w:after="0" w:line="255"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stock option will convert into an option to acquire shares of SLB common stock based on the Exchange Ratio,</w:t>
      </w:r>
    </w:p>
    <w:p>
      <w:pPr>
        <w:spacing w:after="0" w:line="51" w:lineRule="exact"/>
        <w:rPr>
          <w:rFonts w:ascii="Arial" w:cs="Arial" w:eastAsia="Arial" w:hAnsi="Arial"/>
          <w:sz w:val="13"/>
          <w:szCs w:val="13"/>
          <w:color w:val="auto"/>
        </w:rPr>
      </w:pPr>
    </w:p>
    <w:p>
      <w:pPr>
        <w:jc w:val="both"/>
        <w:ind w:left="1320" w:right="819" w:hanging="303"/>
        <w:spacing w:after="0" w:line="24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stock appreciation right that is in-the-money (whether vested or unvested) will convert into cash based on the spread value of such ChampionX stock appreciation right multiplied by the Exchange Ratio and each out-of-the-money ChampionX stock appreciation right (whether vested or unvested) will be cancelled for no consideration,</w:t>
      </w:r>
    </w:p>
    <w:p>
      <w:pPr>
        <w:spacing w:after="0" w:line="61" w:lineRule="exact"/>
        <w:rPr>
          <w:rFonts w:ascii="Arial" w:cs="Arial" w:eastAsia="Arial" w:hAnsi="Arial"/>
          <w:sz w:val="13"/>
          <w:szCs w:val="13"/>
          <w:color w:val="auto"/>
        </w:rPr>
      </w:pPr>
    </w:p>
    <w:p>
      <w:pPr>
        <w:ind w:left="1320" w:right="659" w:hanging="303"/>
        <w:spacing w:after="0" w:line="237"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restricted stock unit award will convert into an SLB restricted stock unit award based on the Exchange Ratio, and each dividend equivalent right accrued under such ChampionX restricted stock units will be cancelled and converted into the right to receive an amount in cash equal to the amount accrued in a bookkeeping account as of immediately prior to the Closing with respect to such dividend equivalent right,</w:t>
      </w:r>
    </w:p>
    <w:p>
      <w:pPr>
        <w:spacing w:after="0" w:line="63" w:lineRule="exact"/>
        <w:rPr>
          <w:rFonts w:ascii="Arial" w:cs="Arial" w:eastAsia="Arial" w:hAnsi="Arial"/>
          <w:sz w:val="13"/>
          <w:szCs w:val="13"/>
          <w:color w:val="auto"/>
        </w:rPr>
      </w:pPr>
    </w:p>
    <w:p>
      <w:pPr>
        <w:ind w:left="1320" w:right="719" w:hanging="303"/>
        <w:spacing w:after="0" w:line="296" w:lineRule="auto"/>
        <w:tabs>
          <w:tab w:leader="none" w:pos="1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each ChampionX performance share award will convert into an SLB restricted stock unit award based on the Exchange Ratio and based on the attainment of performance goals pursuant to the methodology agreed between SLB and ChampionX, and</w:t>
      </w:r>
    </w:p>
    <w:p>
      <w:pPr>
        <w:spacing w:after="0" w:line="29" w:lineRule="exact"/>
        <w:rPr>
          <w:rFonts w:ascii="Arial" w:cs="Arial" w:eastAsia="Arial" w:hAnsi="Arial"/>
          <w:sz w:val="12"/>
          <w:szCs w:val="12"/>
          <w:color w:val="auto"/>
        </w:rPr>
      </w:pPr>
    </w:p>
    <w:p>
      <w:pPr>
        <w:ind w:left="1320" w:right="859" w:hanging="303"/>
        <w:spacing w:after="0" w:line="255"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each ChampionX deferred stock unit award will convert into the right to receive shares of SLB common stock based on the Exchange Ratio.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Completion of the Merger is subject to the satisfaction or waiver of certain customary conditions, including, among other things:</w:t>
      </w:r>
    </w:p>
    <w:p>
      <w:pPr>
        <w:spacing w:after="0" w:line="78" w:lineRule="exact"/>
        <w:rPr>
          <w:sz w:val="20"/>
          <w:szCs w:val="20"/>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approval by ChampionX’s stockholders,</w:t>
      </w:r>
    </w:p>
    <w:p>
      <w:pPr>
        <w:spacing w:after="0" w:line="77" w:lineRule="exact"/>
        <w:rPr>
          <w:rFonts w:ascii="Arial" w:cs="Arial" w:eastAsia="Arial" w:hAnsi="Arial"/>
          <w:sz w:val="13"/>
          <w:szCs w:val="13"/>
          <w:color w:val="auto"/>
        </w:rPr>
      </w:pPr>
    </w:p>
    <w:p>
      <w:pPr>
        <w:ind w:left="1320" w:right="779" w:hanging="303"/>
        <w:spacing w:after="0" w:line="241"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receipt of certain regulatory approvals, including the expiration or early termination of the applicable waiting period under the Hart-Scott-Rodino Antitrust Improvements Act of 1976, as amended, and the receipt of CFIUS approval, if required or warranted,</w:t>
      </w:r>
    </w:p>
    <w:p>
      <w:pPr>
        <w:spacing w:after="0" w:line="61" w:lineRule="exact"/>
        <w:rPr>
          <w:rFonts w:ascii="Arial" w:cs="Arial" w:eastAsia="Arial" w:hAnsi="Arial"/>
          <w:sz w:val="13"/>
          <w:szCs w:val="13"/>
          <w:color w:val="auto"/>
        </w:rPr>
      </w:pPr>
    </w:p>
    <w:p>
      <w:pPr>
        <w:ind w:left="1320" w:right="117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effectiveness of a registration statement on Form S-4 that will be filed by SLB, which will include a proxy statement of ChampionX (the “Form S-4”), to register the Merger Shares,</w:t>
      </w:r>
    </w:p>
    <w:p>
      <w:pPr>
        <w:spacing w:after="0" w:line="51" w:lineRule="exact"/>
        <w:rPr>
          <w:rFonts w:ascii="Arial" w:cs="Arial" w:eastAsia="Arial" w:hAnsi="Arial"/>
          <w:sz w:val="13"/>
          <w:szCs w:val="13"/>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approval of the listing of the Merger Shares on the New York Stock Exchange, subject to an official notice of issuance,</w:t>
      </w:r>
    </w:p>
    <w:p>
      <w:pPr>
        <w:spacing w:after="0" w:line="77" w:lineRule="exact"/>
        <w:rPr>
          <w:rFonts w:ascii="Arial" w:cs="Arial" w:eastAsia="Arial" w:hAnsi="Arial"/>
          <w:sz w:val="13"/>
          <w:szCs w:val="13"/>
          <w:color w:val="auto"/>
        </w:rPr>
      </w:pPr>
    </w:p>
    <w:p>
      <w:pPr>
        <w:ind w:left="1320" w:right="101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absence of certain legal restraints that enjoin, prohibit, prevent or make illegal the consummation of the transactions contemplated by the Merger Agreement (“Mutual Legal Restraint”),</w:t>
      </w:r>
    </w:p>
    <w:p>
      <w:pPr>
        <w:spacing w:after="0" w:line="51" w:lineRule="exact"/>
        <w:rPr>
          <w:rFonts w:ascii="Arial" w:cs="Arial" w:eastAsia="Arial" w:hAnsi="Arial"/>
          <w:sz w:val="13"/>
          <w:szCs w:val="13"/>
          <w:color w:val="auto"/>
        </w:rPr>
      </w:pPr>
    </w:p>
    <w:p>
      <w:pPr>
        <w:ind w:left="1320" w:right="919" w:hanging="303"/>
        <w:spacing w:after="0" w:line="234"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with respect to SLB, (i) the absence of certain specified legal restraints that enjoin, prohibit, prevent or make illegal the consummation of the Transactions (“Specified Legal Restraint”), (ii) the absence of investigations of the transaction under specified regulatory laws, (iii) the expiration of all waiting periods applicable under specified regulatory filings following Sodium’s determination to submit such filings (“Specified Regulatory Filings”), (iv) receipt of all clearances, consents and approvals under the Specified Regulatory Filings and (v) the absence of certain other regulatory laws as set forth in the Merger Agreement (collectively, the “Specified SLB Conditions”), and</w:t>
      </w:r>
    </w:p>
    <w:p>
      <w:pPr>
        <w:spacing w:after="0" w:line="63" w:lineRule="exact"/>
        <w:rPr>
          <w:rFonts w:ascii="Arial" w:cs="Arial" w:eastAsia="Arial" w:hAnsi="Arial"/>
          <w:sz w:val="13"/>
          <w:szCs w:val="13"/>
          <w:color w:val="auto"/>
        </w:rPr>
      </w:pPr>
    </w:p>
    <w:p>
      <w:pPr>
        <w:ind w:left="1320" w:right="81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subject to certain materiality qualifications and exceptions, the accuracy of each party’s representations and warranties and each party’s compliance with, or waiver of its obligations under, its covenants in the Merger Agreement.</w:t>
      </w:r>
    </w:p>
    <w:p>
      <w:pPr>
        <w:sectPr>
          <w:pgSz w:w="11900" w:h="16838" w:orient="portrait"/>
          <w:cols w:equalWidth="0" w:num="1">
            <w:col w:w="9019"/>
          </w:cols>
          <w:pgMar w:left="1440" w:top="231" w:right="1440" w:bottom="1440" w:gutter="0" w:footer="0" w:header="0"/>
        </w:sectPr>
      </w:pPr>
    </w:p>
    <w:bookmarkStart w:id="2" w:name="page3"/>
    <w:bookmarkEnd w:id="2"/>
    <w:p>
      <w:pPr>
        <w:ind w:left="640" w:right="959" w:firstLine="309"/>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Merger Agreement contains customary representations and warranties of the parties. The Merger Agreement also contains customary covenants and agreements, including, among others, covenants relating to:</w:t>
      </w:r>
    </w:p>
    <w:p>
      <w:pPr>
        <w:spacing w:after="0" w:line="52" w:lineRule="exact"/>
        <w:rPr>
          <w:sz w:val="20"/>
          <w:szCs w:val="20"/>
          <w:color w:val="auto"/>
        </w:rPr>
      </w:pPr>
    </w:p>
    <w:p>
      <w:pPr>
        <w:ind w:left="1320" w:right="699" w:hanging="303"/>
        <w:spacing w:after="0" w:line="255"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conduct of business of each of the parties between the date of the signing of the Merger Agreement and the effective time of the Merger,</w:t>
      </w:r>
    </w:p>
    <w:p>
      <w:pPr>
        <w:spacing w:after="0" w:line="51" w:lineRule="exact"/>
        <w:rPr>
          <w:rFonts w:ascii="Arial" w:cs="Arial" w:eastAsia="Arial" w:hAnsi="Arial"/>
          <w:sz w:val="13"/>
          <w:szCs w:val="13"/>
          <w:color w:val="auto"/>
        </w:rPr>
      </w:pPr>
    </w:p>
    <w:p>
      <w:pPr>
        <w:ind w:left="1320" w:right="1079" w:hanging="303"/>
        <w:spacing w:after="0" w:line="255"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regulatory matters, including the parties’ efforts to consummate the Closing and to obtain approvals from governmental agencies,</w:t>
      </w:r>
    </w:p>
    <w:p>
      <w:pPr>
        <w:spacing w:after="0" w:line="51"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joint preparation of the Form S-4,</w:t>
      </w:r>
    </w:p>
    <w:p>
      <w:pPr>
        <w:spacing w:after="0" w:line="77" w:lineRule="exact"/>
        <w:rPr>
          <w:rFonts w:ascii="Arial" w:cs="Arial" w:eastAsia="Arial" w:hAnsi="Arial"/>
          <w:sz w:val="13"/>
          <w:szCs w:val="13"/>
          <w:color w:val="auto"/>
        </w:rPr>
      </w:pPr>
    </w:p>
    <w:p>
      <w:pPr>
        <w:ind w:left="1320" w:right="1039" w:hanging="303"/>
        <w:spacing w:after="0" w:line="241"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ChampionX’s obligation to hold a stockholder meeting for purposes of adopting the Merger Agreement and to use commercially reasonable efforts to solicit proxies from ChampionX’s stockholders with respect thereto (the “ChampionX Stockholder Approval”),</w:t>
      </w:r>
    </w:p>
    <w:p>
      <w:pPr>
        <w:spacing w:after="0" w:line="61"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employee benefits to be provided to continuing employees of ChampionX after the Closing, and</w:t>
      </w:r>
    </w:p>
    <w:p>
      <w:pPr>
        <w:spacing w:after="0" w:line="77"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non-solicitation by ChampionX of third-party acquisition proposals.</w:t>
      </w:r>
    </w:p>
    <w:p>
      <w:pPr>
        <w:spacing w:after="0" w:line="144" w:lineRule="exact"/>
        <w:rPr>
          <w:sz w:val="20"/>
          <w:szCs w:val="20"/>
          <w:color w:val="auto"/>
        </w:rPr>
      </w:pPr>
    </w:p>
    <w:p>
      <w:pPr>
        <w:ind w:left="640" w:right="759" w:firstLine="309"/>
        <w:spacing w:after="0" w:line="255" w:lineRule="auto"/>
        <w:rPr>
          <w:sz w:val="20"/>
          <w:szCs w:val="20"/>
          <w:color w:val="auto"/>
        </w:rPr>
      </w:pPr>
      <w:r>
        <w:rPr>
          <w:rFonts w:ascii="Arial" w:cs="Arial" w:eastAsia="Arial" w:hAnsi="Arial"/>
          <w:sz w:val="13"/>
          <w:szCs w:val="13"/>
          <w:color w:val="auto"/>
        </w:rPr>
        <w:t>The Merger Agreement contains provisions granting SLB or ChampionX, or both of them, rights to terminate the Merger Agreement under specified conditions, including:</w:t>
      </w:r>
    </w:p>
    <w:p>
      <w:pPr>
        <w:spacing w:after="0" w:line="52" w:lineRule="exact"/>
        <w:rPr>
          <w:sz w:val="20"/>
          <w:szCs w:val="20"/>
          <w:color w:val="auto"/>
        </w:rPr>
      </w:pPr>
    </w:p>
    <w:p>
      <w:pPr>
        <w:ind w:left="1320" w:hanging="303"/>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the mutual written consent of SLB and ChampionX,</w:t>
      </w:r>
    </w:p>
    <w:p>
      <w:pPr>
        <w:spacing w:after="0" w:line="77" w:lineRule="exact"/>
        <w:rPr>
          <w:rFonts w:ascii="Arial" w:cs="Arial" w:eastAsia="Arial" w:hAnsi="Arial"/>
          <w:sz w:val="13"/>
          <w:szCs w:val="13"/>
          <w:color w:val="auto"/>
        </w:rPr>
      </w:pPr>
    </w:p>
    <w:p>
      <w:pPr>
        <w:ind w:left="1320" w:right="679" w:hanging="303"/>
        <w:spacing w:after="0" w:line="233"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either SLB or ChampionX if the consummation of the Merger does not occur on or prior to April 2, 2025 (the “End Date”) (subject to an automatic extension to October 2, 2025 if all Closing conditions, other than those related to (i) the absence of a Mutual Legal Restraint in relation to certain specified regulatory laws, (ii) the expiration or termination of all waiting periods (or any extension thereof) under the HSR Act or any commitment to, or agreement with, any governmental entity to delay the consummation of, or not to consummate before a certain date, the transaction and the receipt of all clearances, consents and approvals under the certain specified regulatory laws, have not been satisfied) or (iii) at the election of SLB, the Specified SLB Conditions (an “Extension Election”).</w:t>
      </w:r>
    </w:p>
    <w:p>
      <w:pPr>
        <w:spacing w:after="0" w:line="64" w:lineRule="exact"/>
        <w:rPr>
          <w:rFonts w:ascii="Arial" w:cs="Arial" w:eastAsia="Arial" w:hAnsi="Arial"/>
          <w:sz w:val="13"/>
          <w:szCs w:val="13"/>
          <w:color w:val="auto"/>
        </w:rPr>
      </w:pPr>
    </w:p>
    <w:p>
      <w:pPr>
        <w:ind w:left="1320" w:right="659" w:hanging="303"/>
        <w:spacing w:after="0" w:line="255"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either SLB or ChampionX, if the ChampionX Stockholder Approval is not obtained at a meeting of ChampionX stockholders with respect thereto,</w:t>
      </w:r>
    </w:p>
    <w:p>
      <w:pPr>
        <w:spacing w:after="0" w:line="51" w:lineRule="exact"/>
        <w:rPr>
          <w:rFonts w:ascii="Arial" w:cs="Arial" w:eastAsia="Arial" w:hAnsi="Arial"/>
          <w:sz w:val="13"/>
          <w:szCs w:val="13"/>
          <w:color w:val="auto"/>
        </w:rPr>
      </w:pPr>
    </w:p>
    <w:p>
      <w:pPr>
        <w:ind w:left="1320" w:right="719" w:hanging="303"/>
        <w:spacing w:after="0" w:line="255"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either SLB or ChampionX, if the Closing would violate any final and non-appealable Mutual Legal Restraint with respect to the Merger,</w:t>
      </w:r>
    </w:p>
    <w:p>
      <w:pPr>
        <w:spacing w:after="0" w:line="51" w:lineRule="exact"/>
        <w:rPr>
          <w:rFonts w:ascii="Arial" w:cs="Arial" w:eastAsia="Arial" w:hAnsi="Arial"/>
          <w:sz w:val="13"/>
          <w:szCs w:val="13"/>
          <w:color w:val="auto"/>
        </w:rPr>
      </w:pPr>
    </w:p>
    <w:p>
      <w:pPr>
        <w:ind w:left="1320" w:right="839" w:hanging="303"/>
        <w:spacing w:after="0" w:line="24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ChampionX, if any SLB Party has materially breached a representation, warranty or covenant, and such breach would result in a failure of a condition to Closing and is not cured or is not curable within a specified time period, subject to certain other restrictions,</w:t>
      </w:r>
    </w:p>
    <w:p>
      <w:pPr>
        <w:spacing w:after="0" w:line="61" w:lineRule="exact"/>
        <w:rPr>
          <w:rFonts w:ascii="Arial" w:cs="Arial" w:eastAsia="Arial" w:hAnsi="Arial"/>
          <w:sz w:val="13"/>
          <w:szCs w:val="13"/>
          <w:color w:val="auto"/>
        </w:rPr>
      </w:pPr>
    </w:p>
    <w:p>
      <w:pPr>
        <w:ind w:left="1320" w:right="939" w:hanging="303"/>
        <w:spacing w:after="0" w:line="24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SLB, if ChampionX has materially breached a representation, warranty or covenant, and such breach would result in a failure of a condition to Closing and is not cured or is not curable within a specified time period, subject to certain other restrictions,</w:t>
      </w:r>
    </w:p>
    <w:p>
      <w:pPr>
        <w:spacing w:after="0" w:line="61" w:lineRule="exact"/>
        <w:rPr>
          <w:rFonts w:ascii="Arial" w:cs="Arial" w:eastAsia="Arial" w:hAnsi="Arial"/>
          <w:sz w:val="13"/>
          <w:szCs w:val="13"/>
          <w:color w:val="auto"/>
        </w:rPr>
      </w:pPr>
    </w:p>
    <w:p>
      <w:pPr>
        <w:ind w:left="1320" w:right="859" w:hanging="303"/>
        <w:spacing w:after="0" w:line="24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SLB, if the ChampionX Board changes its recommendation to ChampionX stockholders to adopt the Merger Agreement and approve the transactions contemplated by the Merger Agreement, subject to certain exceptions under the Merger Agreement, and</w:t>
      </w:r>
    </w:p>
    <w:p>
      <w:pPr>
        <w:spacing w:after="0" w:line="61" w:lineRule="exact"/>
        <w:rPr>
          <w:rFonts w:ascii="Arial" w:cs="Arial" w:eastAsia="Arial" w:hAnsi="Arial"/>
          <w:sz w:val="13"/>
          <w:szCs w:val="13"/>
          <w:color w:val="auto"/>
        </w:rPr>
      </w:pPr>
    </w:p>
    <w:p>
      <w:pPr>
        <w:ind w:left="1320" w:hanging="303"/>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SLB, if the Closing would violate any final and non-appealable Specified Legal Restraint.</w:t>
      </w:r>
    </w:p>
    <w:p>
      <w:pPr>
        <w:spacing w:after="0" w:line="144" w:lineRule="exact"/>
        <w:rPr>
          <w:sz w:val="20"/>
          <w:szCs w:val="20"/>
          <w:color w:val="auto"/>
        </w:rPr>
      </w:pPr>
    </w:p>
    <w:p>
      <w:pPr>
        <w:ind w:left="640" w:right="679" w:firstLine="309"/>
        <w:spacing w:after="0" w:line="237" w:lineRule="auto"/>
        <w:rPr>
          <w:sz w:val="20"/>
          <w:szCs w:val="20"/>
          <w:color w:val="auto"/>
        </w:rPr>
      </w:pPr>
      <w:r>
        <w:rPr>
          <w:rFonts w:ascii="Arial" w:cs="Arial" w:eastAsia="Arial" w:hAnsi="Arial"/>
          <w:sz w:val="13"/>
          <w:szCs w:val="13"/>
          <w:color w:val="auto"/>
        </w:rPr>
        <w:t>Upon termination of the Merger Agreement under specified circumstances, including the termination by SLB in the event of a change of recommendation by the ChampionX board of directors or the consummation of a competing acquisition proposal following the termination of the Merger Agreement for certain specified reasons, ChampionX would be required to pay SLB a termination fee of $265.4 million.</w:t>
      </w:r>
    </w:p>
    <w:p>
      <w:pPr>
        <w:spacing w:after="0" w:line="130" w:lineRule="exact"/>
        <w:rPr>
          <w:sz w:val="20"/>
          <w:szCs w:val="20"/>
          <w:color w:val="auto"/>
        </w:rPr>
      </w:pPr>
    </w:p>
    <w:p>
      <w:pPr>
        <w:ind w:left="640" w:right="659" w:firstLine="309"/>
        <w:spacing w:after="0" w:line="235" w:lineRule="auto"/>
        <w:rPr>
          <w:sz w:val="20"/>
          <w:szCs w:val="20"/>
          <w:color w:val="auto"/>
        </w:rPr>
      </w:pPr>
      <w:r>
        <w:rPr>
          <w:rFonts w:ascii="Arial" w:cs="Arial" w:eastAsia="Arial" w:hAnsi="Arial"/>
          <w:sz w:val="13"/>
          <w:szCs w:val="13"/>
          <w:color w:val="auto"/>
        </w:rPr>
        <w:t>Upon termination of the Merger Agreement under specified circumstances, including the termination by either party if certain Mutual Legal Restraints exist, specified regulatory approvals have not been obtained or if the consummation of the Merger does not occur on or prior to the End Date or by SLB if it does not exercise its right to an Extension Election or if Specified Legal Restraints exist and the Closing conditions relating to the absence of Mutual Legal Restraints or the receipt of certain specified regulatory approvals have not been satisfied, SLB would be required to pay ChampionX a termination fee of $326.6 million.</w:t>
      </w:r>
    </w:p>
    <w:p>
      <w:pPr>
        <w:spacing w:after="0" w:line="132"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2"/>
          <w:szCs w:val="12"/>
          <w:i w:val="1"/>
          <w:iCs w:val="1"/>
          <w:color w:val="auto"/>
        </w:rPr>
        <w:t>The Merger Agreement will be filed to provide security holders with information regarding its terms. It is not intended to provide any other factual information about the SLB Parties or ChampionX. The representations, warranties and covenants contained in the Merger Agreement were made solely for purposes of the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are not third-party beneficiaries under the Merger Agreement and should not rely on the representations, warranties and covenants or any descriptions thereof as characterizations of the actual state of facts or condition of the SLB Parties or ChampionX. Moreover, information concerning the subject matter of the representations and warranties may change after the date of the Merger Agreement, which subsequent information may or may not be fully reflected in SLB’s or ChampionX’s public disclosures.</w:t>
      </w:r>
    </w:p>
    <w:p>
      <w:pPr>
        <w:sectPr>
          <w:pgSz w:w="11900" w:h="16838" w:orient="portrait"/>
          <w:cols w:equalWidth="0" w:num="1">
            <w:col w:w="9019"/>
          </w:cols>
          <w:pgMar w:left="1440" w:top="231" w:right="1440" w:bottom="1440" w:gutter="0" w:footer="0" w:header="0"/>
        </w:sectPr>
      </w:pPr>
    </w:p>
    <w:bookmarkStart w:id="3" w:name="page4"/>
    <w:bookmarkEnd w:id="3"/>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8.01</w:t>
      </w:r>
      <w:r>
        <w:rPr>
          <w:sz w:val="20"/>
          <w:szCs w:val="20"/>
          <w:color w:val="auto"/>
        </w:rPr>
        <w:tab/>
      </w:r>
      <w:r>
        <w:rPr>
          <w:rFonts w:ascii="Arial" w:cs="Arial" w:eastAsia="Arial" w:hAnsi="Arial"/>
          <w:sz w:val="13"/>
          <w:szCs w:val="13"/>
          <w:b w:val="1"/>
          <w:bCs w:val="1"/>
          <w:color w:val="auto"/>
        </w:rPr>
        <w:t>Other Events.</w:t>
      </w:r>
    </w:p>
    <w:p>
      <w:pPr>
        <w:spacing w:after="0" w:line="68" w:lineRule="exact"/>
        <w:rPr>
          <w:sz w:val="20"/>
          <w:szCs w:val="20"/>
          <w:color w:val="auto"/>
        </w:rPr>
      </w:pPr>
    </w:p>
    <w:p>
      <w:pPr>
        <w:ind w:left="640" w:right="919" w:firstLine="309"/>
        <w:spacing w:after="0" w:line="255" w:lineRule="auto"/>
        <w:rPr>
          <w:sz w:val="20"/>
          <w:szCs w:val="20"/>
          <w:color w:val="auto"/>
        </w:rPr>
      </w:pPr>
      <w:r>
        <w:rPr>
          <w:rFonts w:ascii="Arial" w:cs="Arial" w:eastAsia="Arial" w:hAnsi="Arial"/>
          <w:sz w:val="13"/>
          <w:szCs w:val="13"/>
          <w:color w:val="auto"/>
        </w:rPr>
        <w:t>On April 2, 2024, SLB issued a press release announcing the execution of the Merger Agreement. A copy of the press release is filed with this Form 8-K as Exhibit 99.1 and is incorporated into this Item 8.01 by reference.</w:t>
      </w:r>
    </w:p>
    <w:p>
      <w:pPr>
        <w:spacing w:after="0" w:line="118" w:lineRule="exact"/>
        <w:rPr>
          <w:sz w:val="20"/>
          <w:szCs w:val="20"/>
          <w:color w:val="auto"/>
        </w:rPr>
      </w:pPr>
    </w:p>
    <w:p>
      <w:pPr>
        <w:ind w:left="640" w:right="1499" w:firstLine="309"/>
        <w:spacing w:after="0" w:line="255" w:lineRule="auto"/>
        <w:rPr>
          <w:sz w:val="20"/>
          <w:szCs w:val="20"/>
          <w:color w:val="auto"/>
        </w:rPr>
      </w:pPr>
      <w:r>
        <w:rPr>
          <w:rFonts w:ascii="Arial" w:cs="Arial" w:eastAsia="Arial" w:hAnsi="Arial"/>
          <w:sz w:val="13"/>
          <w:szCs w:val="13"/>
          <w:color w:val="auto"/>
        </w:rPr>
        <w:t>Additionally, on April 2, 2024, SLB issued an investor presentation regarding the matters described in Item 1.01 of this Form 8-K, a copy of which is filed as Exhibit 99.2 and is incorporated into this Item 8.01 by reference.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Additional Information about the Transaction and Where to Find It</w:t>
      </w:r>
    </w:p>
    <w:p>
      <w:pPr>
        <w:spacing w:after="0" w:line="68" w:lineRule="exact"/>
        <w:rPr>
          <w:sz w:val="20"/>
          <w:szCs w:val="20"/>
          <w:color w:val="auto"/>
        </w:rPr>
      </w:pPr>
    </w:p>
    <w:p>
      <w:pPr>
        <w:ind w:left="640" w:right="699" w:firstLine="309"/>
        <w:spacing w:after="0" w:line="250" w:lineRule="auto"/>
        <w:rPr>
          <w:sz w:val="20"/>
          <w:szCs w:val="20"/>
          <w:color w:val="auto"/>
        </w:rPr>
      </w:pPr>
      <w:r>
        <w:rPr>
          <w:rFonts w:ascii="Arial" w:cs="Arial" w:eastAsia="Arial" w:hAnsi="Arial"/>
          <w:sz w:val="12"/>
          <w:szCs w:val="12"/>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68"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2"/>
          <w:szCs w:val="12"/>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 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 doc=/Archives/edgar/data/1723089/000172308924000011/championx-20231231.htm), which was filed with the SEC on February 6, 2024, including under the sections entitled “Item 10. Directors, Executive</w:t>
      </w:r>
    </w:p>
    <w:p>
      <w:pPr>
        <w:sectPr>
          <w:pgSz w:w="11900" w:h="16838" w:orient="portrait"/>
          <w:cols w:equalWidth="0" w:num="1">
            <w:col w:w="9019"/>
          </w:cols>
          <w:pgMar w:left="1440" w:top="231" w:right="1440" w:bottom="1440" w:gutter="0" w:footer="0" w:header="0"/>
        </w:sectPr>
      </w:pPr>
    </w:p>
    <w:bookmarkStart w:id="4" w:name="page5"/>
    <w:bookmarkEnd w:id="4"/>
    <w:p>
      <w:pPr>
        <w:ind w:left="640" w:right="679"/>
        <w:spacing w:after="0" w:line="23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68" w:lineRule="exact"/>
        <w:rPr>
          <w:sz w:val="20"/>
          <w:szCs w:val="20"/>
          <w:color w:val="auto"/>
        </w:rPr>
      </w:pPr>
    </w:p>
    <w:p>
      <w:pPr>
        <w:ind w:left="640" w:right="739" w:firstLine="309"/>
        <w:spacing w:after="0" w:line="255" w:lineRule="auto"/>
        <w:rPr>
          <w:sz w:val="20"/>
          <w:szCs w:val="20"/>
          <w:color w:val="auto"/>
        </w:rPr>
      </w:pPr>
      <w:r>
        <w:rPr>
          <w:rFonts w:ascii="Arial" w:cs="Arial" w:eastAsia="Arial" w:hAnsi="Arial"/>
          <w:sz w:val="13"/>
          <w:szCs w:val="13"/>
          <w:color w:val="auto"/>
        </w:rPr>
        <w:t>This communication contains forward-looking statements within the meaning of the Private Securities Litigation Reform Act of 1995, Section 27A of the Securities Act and Section 21E of the Exchange Act.</w:t>
      </w:r>
    </w:p>
    <w:p>
      <w:pPr>
        <w:spacing w:after="0" w:line="118" w:lineRule="exact"/>
        <w:rPr>
          <w:sz w:val="20"/>
          <w:szCs w:val="20"/>
          <w:color w:val="auto"/>
        </w:rPr>
      </w:pPr>
    </w:p>
    <w:p>
      <w:pPr>
        <w:ind w:left="640" w:right="659" w:firstLine="309"/>
        <w:spacing w:after="0" w:line="230" w:lineRule="auto"/>
        <w:rPr>
          <w:sz w:val="20"/>
          <w:szCs w:val="20"/>
          <w:color w:val="auto"/>
        </w:rPr>
      </w:pPr>
      <w:r>
        <w:rPr>
          <w:rFonts w:ascii="Arial" w:cs="Arial" w:eastAsia="Arial" w:hAnsi="Arial"/>
          <w:sz w:val="13"/>
          <w:szCs w:val="13"/>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30" w:lineRule="exact"/>
        <w:rPr>
          <w:sz w:val="20"/>
          <w:szCs w:val="20"/>
          <w:color w:val="auto"/>
        </w:rPr>
      </w:pPr>
    </w:p>
    <w:p>
      <w:pPr>
        <w:ind w:left="640" w:right="659" w:firstLine="309"/>
        <w:spacing w:after="0" w:line="230" w:lineRule="auto"/>
        <w:rPr>
          <w:sz w:val="20"/>
          <w:szCs w:val="20"/>
          <w:color w:val="auto"/>
        </w:rPr>
      </w:pPr>
      <w:r>
        <w:rPr>
          <w:rFonts w:ascii="Arial" w:cs="Arial" w:eastAsia="Arial" w:hAnsi="Arial"/>
          <w:sz w:val="13"/>
          <w:szCs w:val="13"/>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w:t>
      </w:r>
    </w:p>
    <w:p>
      <w:pPr>
        <w:sectPr>
          <w:pgSz w:w="11900" w:h="16838" w:orient="portrait"/>
          <w:cols w:equalWidth="0" w:num="1">
            <w:col w:w="9019"/>
          </w:cols>
          <w:pgMar w:left="1440" w:top="231" w:right="1440" w:bottom="1440" w:gutter="0" w:footer="0" w:header="0"/>
        </w:sectPr>
      </w:pPr>
    </w:p>
    <w:bookmarkStart w:id="5" w:name="page6"/>
    <w:bookmarkEnd w:id="5"/>
    <w:p>
      <w:pPr>
        <w:ind w:left="640" w:right="739"/>
        <w:spacing w:after="0" w:line="23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30" w:lineRule="exact"/>
        <w:rPr>
          <w:sz w:val="20"/>
          <w:szCs w:val="20"/>
          <w:color w:val="auto"/>
        </w:rPr>
      </w:pPr>
    </w:p>
    <w:p>
      <w:pPr>
        <w:ind w:left="640" w:right="659" w:firstLine="309"/>
        <w:spacing w:after="0" w:line="232" w:lineRule="auto"/>
        <w:rPr>
          <w:sz w:val="20"/>
          <w:szCs w:val="20"/>
          <w:color w:val="auto"/>
        </w:rPr>
      </w:pPr>
      <w:r>
        <w:rPr>
          <w:rFonts w:ascii="Arial" w:cs="Arial" w:eastAsia="Arial" w:hAnsi="Arial"/>
          <w:sz w:val="13"/>
          <w:szCs w:val="13"/>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35"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78" w:lineRule="exact"/>
        <w:rPr>
          <w:sz w:val="20"/>
          <w:szCs w:val="20"/>
          <w:color w:val="auto"/>
        </w:rPr>
      </w:pPr>
    </w:p>
    <w:p>
      <w:pPr>
        <w:ind w:left="940" w:hanging="303"/>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Exhibits</w:t>
      </w:r>
    </w:p>
    <w:p>
      <w:pPr>
        <w:spacing w:after="0" w:line="144"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The exhibits listed below are furnished pursuant to Item 9.01 of this Form 8-K.</w:t>
      </w:r>
    </w:p>
    <w:p>
      <w:pPr>
        <w:spacing w:after="0" w:line="16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2"/>
          <w:szCs w:val="12"/>
          <w:color w:val="auto"/>
        </w:rPr>
        <w:t>Press Release dated April 2, 2024.</w:t>
      </w:r>
    </w:p>
    <w:p>
      <w:pPr>
        <w:spacing w:after="0" w:line="6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2"/>
          <w:szCs w:val="12"/>
          <w:color w:val="auto"/>
        </w:rPr>
        <w:t>Investor Presentation dated April 2, 2024.</w:t>
      </w:r>
    </w:p>
    <w:p>
      <w:pPr>
        <w:spacing w:after="0" w:line="6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31"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44" w:lineRule="exact"/>
        <w:rPr>
          <w:sz w:val="20"/>
          <w:szCs w:val="20"/>
          <w:color w:val="auto"/>
        </w:rPr>
      </w:pPr>
    </w:p>
    <w:p>
      <w:pPr>
        <w:ind w:left="640" w:right="719" w:firstLine="696"/>
        <w:spacing w:after="0" w:line="255"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SCHLUMBERGER LIMITED</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3175</wp:posOffset>
            </wp:positionV>
            <wp:extent cx="196151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3"/>
          <w:szCs w:val="13"/>
          <w:color w:val="auto"/>
        </w:rPr>
        <w:t>Dianne B. Ralston</w:t>
      </w:r>
    </w:p>
    <w:p>
      <w:pPr>
        <w:ind w:left="5280"/>
        <w:spacing w:after="0"/>
        <w:rPr>
          <w:sz w:val="20"/>
          <w:szCs w:val="20"/>
          <w:color w:val="auto"/>
        </w:rPr>
      </w:pPr>
      <w:r>
        <w:rPr>
          <w:rFonts w:ascii="Arial" w:cs="Arial" w:eastAsia="Arial" w:hAnsi="Arial"/>
          <w:sz w:val="13"/>
          <w:szCs w:val="13"/>
          <w:color w:val="auto"/>
        </w:rPr>
        <w:t>Chief Legal Officer and Secretary</w:t>
      </w:r>
    </w:p>
    <w:p>
      <w:pPr>
        <w:spacing w:after="0" w:line="132"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Date: April 2, 2024</w:t>
      </w:r>
    </w:p>
    <w:p>
      <w:pPr>
        <w:sectPr>
          <w:pgSz w:w="11900" w:h="16838" w:orient="portrait"/>
          <w:cols w:equalWidth="0" w:num="1">
            <w:col w:w="9019"/>
          </w:cols>
          <w:pgMar w:left="1440" w:top="231" w:right="1440" w:bottom="1440" w:gutter="0" w:footer="0" w:header="0"/>
        </w:sectPr>
      </w:pPr>
    </w:p>
    <w:bookmarkStart w:id="7" w:name="page8"/>
    <w:bookmarkEnd w:id="7"/>
    <w:p>
      <w:pPr>
        <w:jc w:val="right"/>
        <w:ind w:right="639"/>
        <w:spacing w:after="0"/>
        <w:rPr>
          <w:sz w:val="20"/>
          <w:szCs w:val="20"/>
          <w:color w:val="auto"/>
        </w:rPr>
      </w:pPr>
      <w:r>
        <w:rPr>
          <w:rFonts w:ascii="Arial" w:cs="Arial" w:eastAsia="Arial" w:hAnsi="Arial"/>
          <w:sz w:val="13"/>
          <w:szCs w:val="13"/>
          <w:b w:val="1"/>
          <w:bCs w:val="1"/>
          <w:color w:val="0000FF"/>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30"/>
          <w:szCs w:val="30"/>
          <w:color w:val="0000FF"/>
        </w:rPr>
        <w:t>News Release</w:t>
      </w:r>
    </w:p>
    <w:p>
      <w:pPr>
        <w:spacing w:after="0" w:line="233" w:lineRule="exact"/>
        <w:rPr>
          <w:sz w:val="20"/>
          <w:szCs w:val="20"/>
          <w:color w:val="auto"/>
        </w:rPr>
      </w:pPr>
    </w:p>
    <w:p>
      <w:pPr>
        <w:ind w:left="640" w:right="799"/>
        <w:spacing w:after="0" w:line="283" w:lineRule="auto"/>
        <w:rPr>
          <w:sz w:val="20"/>
          <w:szCs w:val="20"/>
          <w:color w:val="auto"/>
        </w:rPr>
      </w:pPr>
      <w:r>
        <w:rPr>
          <w:rFonts w:ascii="Arial" w:cs="Arial" w:eastAsia="Arial" w:hAnsi="Arial"/>
          <w:sz w:val="30"/>
          <w:szCs w:val="30"/>
          <w:color w:val="0000FF"/>
        </w:rPr>
        <w:t>SLB Announces Agreement to Acquire ChampionX in an All-Stock Transaction</w:t>
      </w:r>
    </w:p>
    <w:p>
      <w:pPr>
        <w:spacing w:after="0" w:line="255" w:lineRule="exact"/>
        <w:rPr>
          <w:sz w:val="20"/>
          <w:szCs w:val="20"/>
          <w:color w:val="auto"/>
        </w:rPr>
      </w:pPr>
    </w:p>
    <w:p>
      <w:pPr>
        <w:ind w:left="1320" w:right="1279" w:hanging="303"/>
        <w:spacing w:after="0" w:line="255"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Acquisition strengthens SLB as a leader in production space, with world-class production chemicals and artificial lift technologies</w:t>
      </w:r>
    </w:p>
    <w:p>
      <w:pPr>
        <w:spacing w:after="0" w:line="51" w:lineRule="exact"/>
        <w:rPr>
          <w:rFonts w:ascii="Arial" w:cs="Arial" w:eastAsia="Arial" w:hAnsi="Arial"/>
          <w:sz w:val="13"/>
          <w:szCs w:val="13"/>
          <w:color w:val="auto"/>
        </w:rPr>
      </w:pPr>
    </w:p>
    <w:p>
      <w:pPr>
        <w:ind w:left="1320" w:right="919" w:hanging="303"/>
        <w:spacing w:after="0" w:line="255"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Combined portfolios will drive customer value through deep industry expertise and digital integration, as well as enhanced equipment life and production optimization</w:t>
      </w:r>
    </w:p>
    <w:p>
      <w:pPr>
        <w:spacing w:after="0" w:line="51"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ChampionX shareholders to receive 0.735 SLB shares for each share of ChampionX</w:t>
      </w:r>
    </w:p>
    <w:p>
      <w:pPr>
        <w:spacing w:after="0" w:line="7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Annual pre-tax synergies to reach approximately $400 million within three years</w:t>
      </w:r>
    </w:p>
    <w:p>
      <w:pPr>
        <w:spacing w:after="0" w:line="77" w:lineRule="exact"/>
        <w:rPr>
          <w:rFonts w:ascii="Arial" w:cs="Arial" w:eastAsia="Arial" w:hAnsi="Arial"/>
          <w:sz w:val="13"/>
          <w:szCs w:val="13"/>
          <w:color w:val="auto"/>
        </w:rPr>
      </w:pPr>
    </w:p>
    <w:p>
      <w:pPr>
        <w:ind w:left="1320" w:right="919" w:hanging="303"/>
        <w:spacing w:after="0" w:line="255"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SLB will increase its total returns to shareholders to a target of $3 billion in 2024; sets target for returns to shareholders of $4 billion in 2025</w:t>
      </w:r>
    </w:p>
    <w:p>
      <w:pPr>
        <w:spacing w:after="0" w:line="194" w:lineRule="exact"/>
        <w:rPr>
          <w:sz w:val="20"/>
          <w:szCs w:val="20"/>
          <w:color w:val="auto"/>
        </w:rPr>
      </w:pPr>
    </w:p>
    <w:p>
      <w:pPr>
        <w:jc w:val="both"/>
        <w:ind w:left="640" w:right="679"/>
        <w:spacing w:after="0" w:line="296" w:lineRule="auto"/>
        <w:rPr>
          <w:sz w:val="20"/>
          <w:szCs w:val="20"/>
          <w:color w:val="auto"/>
        </w:rPr>
      </w:pPr>
      <w:r>
        <w:rPr>
          <w:rFonts w:ascii="Arial" w:cs="Arial" w:eastAsia="Arial" w:hAnsi="Arial"/>
          <w:sz w:val="12"/>
          <w:szCs w:val="12"/>
          <w:b w:val="1"/>
          <w:bCs w:val="1"/>
          <w:color w:val="auto"/>
        </w:rPr>
        <w:t>HOUSTON, April 2, 2024</w:t>
      </w:r>
      <w:r>
        <w:rPr>
          <w:rFonts w:ascii="Arial" w:cs="Arial" w:eastAsia="Arial" w:hAnsi="Arial"/>
          <w:sz w:val="12"/>
          <w:szCs w:val="12"/>
          <w:color w:val="auto"/>
        </w:rPr>
        <w:t>— SLB (NYSE: SLB) and ChampionX Corporation (NASDAQ: CHX) today announced a definitive agreement for</w:t>
      </w:r>
      <w:r>
        <w:rPr>
          <w:rFonts w:ascii="Arial" w:cs="Arial" w:eastAsia="Arial" w:hAnsi="Arial"/>
          <w:sz w:val="12"/>
          <w:szCs w:val="12"/>
          <w:b w:val="1"/>
          <w:bCs w:val="1"/>
          <w:color w:val="auto"/>
        </w:rPr>
        <w:t xml:space="preserve"> </w:t>
      </w:r>
      <w:r>
        <w:rPr>
          <w:rFonts w:ascii="Arial" w:cs="Arial" w:eastAsia="Arial" w:hAnsi="Arial"/>
          <w:sz w:val="12"/>
          <w:szCs w:val="12"/>
          <w:color w:val="auto"/>
        </w:rPr>
        <w:t>SLB to purchase ChampionX in an all-stock transaction. The agreement was unanimously approved by the ChampionX board of directors.</w:t>
      </w:r>
    </w:p>
    <w:p>
      <w:pPr>
        <w:spacing w:after="0" w:line="171" w:lineRule="exact"/>
        <w:rPr>
          <w:sz w:val="20"/>
          <w:szCs w:val="20"/>
          <w:color w:val="auto"/>
        </w:rPr>
      </w:pPr>
    </w:p>
    <w:p>
      <w:pPr>
        <w:ind w:left="640" w:right="819"/>
        <w:spacing w:after="0" w:line="241" w:lineRule="auto"/>
        <w:rPr>
          <w:sz w:val="20"/>
          <w:szCs w:val="20"/>
          <w:color w:val="auto"/>
        </w:rPr>
      </w:pPr>
      <w:r>
        <w:rPr>
          <w:rFonts w:ascii="Arial" w:cs="Arial" w:eastAsia="Arial" w:hAnsi="Arial"/>
          <w:sz w:val="13"/>
          <w:szCs w:val="13"/>
          <w:color w:val="auto"/>
        </w:rPr>
        <w:t>Under the terms of the agreement, ChampionX shareholders will receive 0.735 shares of SLB common stock in exchange for each ChampionX share. At the closing of the transaction ChampionX shareholders will own approximately 9% of SLB’s outstanding shares of common stock.</w:t>
      </w:r>
    </w:p>
    <w:p>
      <w:pPr>
        <w:spacing w:after="0" w:line="204" w:lineRule="exact"/>
        <w:rPr>
          <w:sz w:val="20"/>
          <w:szCs w:val="20"/>
          <w:color w:val="auto"/>
        </w:rPr>
      </w:pPr>
    </w:p>
    <w:p>
      <w:pPr>
        <w:ind w:left="640" w:right="739"/>
        <w:spacing w:after="0" w:line="237" w:lineRule="auto"/>
        <w:rPr>
          <w:sz w:val="20"/>
          <w:szCs w:val="20"/>
          <w:color w:val="auto"/>
        </w:rPr>
      </w:pPr>
      <w:r>
        <w:rPr>
          <w:rFonts w:ascii="Arial" w:cs="Arial" w:eastAsia="Arial" w:hAnsi="Arial"/>
          <w:sz w:val="13"/>
          <w:szCs w:val="13"/>
          <w:color w:val="auto"/>
        </w:rPr>
        <w:t>SLB’s acquisition of ChampionX comes at an important time in the industry. The production phase of oil and gas operations typically comprises the majority of an asset’s life cycle from completion through decommissioning. This places a premium on service providers’ ability to help customers address challenges across the entirety of their production system. At the same time, there is growing demand to scale emerging technologies such as AI and autonomous operations across global operations.</w:t>
      </w:r>
    </w:p>
    <w:p>
      <w:pPr>
        <w:spacing w:after="0" w:line="206" w:lineRule="exact"/>
        <w:rPr>
          <w:sz w:val="20"/>
          <w:szCs w:val="20"/>
          <w:color w:val="auto"/>
        </w:rPr>
      </w:pPr>
    </w:p>
    <w:p>
      <w:pPr>
        <w:ind w:left="640" w:right="899"/>
        <w:spacing w:after="0" w:line="259" w:lineRule="auto"/>
        <w:rPr>
          <w:sz w:val="20"/>
          <w:szCs w:val="20"/>
          <w:color w:val="auto"/>
        </w:rPr>
      </w:pPr>
      <w:r>
        <w:rPr>
          <w:rFonts w:ascii="Arial" w:cs="Arial" w:eastAsia="Arial" w:hAnsi="Arial"/>
          <w:sz w:val="12"/>
          <w:szCs w:val="12"/>
          <w:color w:val="auto"/>
        </w:rPr>
        <w:t>“Our customers are seeking to maximize their assets while improving efficiency in the production and reservoir recovery phase of their operations,” Olivier Le Peuch, SLB’s chief executive officer, said. “This presents a significant opportunity for service providers who can partner with customers throughout the entire production lifecycle, offering integrated solutions and delivering differentiated value. The combination of ChampionX’s strong production-focused leadership throughout North America and beyond with our own international presence, unmatched technology portfolio, and history of innovation will drive tremendous value for our customers and stakeholders.</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1</w:t>
      </w:r>
    </w:p>
    <w:p>
      <w:pPr>
        <w:sectPr>
          <w:pgSz w:w="11900" w:h="16838" w:orient="portrait"/>
          <w:cols w:equalWidth="0" w:num="1">
            <w:col w:w="9019"/>
          </w:cols>
          <w:pgMar w:left="1440" w:top="231" w:right="1440" w:bottom="1440" w:gutter="0" w:footer="0" w:header="0"/>
        </w:sectPr>
      </w:pPr>
    </w:p>
    <w:bookmarkStart w:id="8" w:name="page9"/>
    <w:bookmarkEnd w:id="8"/>
    <w:p>
      <w:pPr>
        <w:ind w:left="640" w:right="73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“Our core strategy remains centered on meeting growing energy demand while accelerating decarbonization and emissions reduction through innovation, scale and digitalization in our core oil and gas business. This acquisition will expand SLB’s presence in the less cyclical and growing production and recovery space that is closely aligned with our returns-focused, capital-light strategy,“ Le Peuch said.</w:t>
      </w:r>
    </w:p>
    <w:p>
      <w:pPr>
        <w:spacing w:after="0" w:line="186" w:lineRule="exact"/>
        <w:rPr>
          <w:sz w:val="20"/>
          <w:szCs w:val="20"/>
          <w:color w:val="auto"/>
        </w:rPr>
      </w:pPr>
    </w:p>
    <w:p>
      <w:pPr>
        <w:ind w:left="640" w:right="659"/>
        <w:spacing w:after="0" w:line="234" w:lineRule="auto"/>
        <w:rPr>
          <w:sz w:val="20"/>
          <w:szCs w:val="20"/>
          <w:color w:val="auto"/>
        </w:rPr>
      </w:pPr>
      <w:r>
        <w:rPr>
          <w:rFonts w:ascii="Arial" w:cs="Arial" w:eastAsia="Arial" w:hAnsi="Arial"/>
          <w:sz w:val="13"/>
          <w:szCs w:val="13"/>
          <w:color w:val="auto"/>
        </w:rPr>
        <w:t>“Today’s announcement marks the start of an exciting next chapter for ChampionX,” Soma Somasundaram, president and CEO of ChampionX, said. “We have been on a journey to build the best production-focused company in our sector, with a goal of unlocking energy through our differentiated products and technology as well as our strong financial engine. Becoming part of SLB will give us a much broader portfolio and the resources and reach to continue to lead the industry in providing energy to the world in an economically and environmentally sustainable way. Our companies share a vision for the future of energy that leverages technology and innovation to solve our customers’ most complex problems and better serve the communities in which we operate.</w:t>
      </w:r>
    </w:p>
    <w:p>
      <w:pPr>
        <w:spacing w:after="0" w:line="206" w:lineRule="exact"/>
        <w:rPr>
          <w:sz w:val="20"/>
          <w:szCs w:val="20"/>
          <w:color w:val="auto"/>
        </w:rPr>
      </w:pPr>
    </w:p>
    <w:p>
      <w:pPr>
        <w:ind w:left="640" w:right="679"/>
        <w:spacing w:after="0" w:line="234" w:lineRule="auto"/>
        <w:rPr>
          <w:sz w:val="20"/>
          <w:szCs w:val="20"/>
          <w:color w:val="auto"/>
        </w:rPr>
      </w:pPr>
      <w:r>
        <w:rPr>
          <w:rFonts w:ascii="Arial" w:cs="Arial" w:eastAsia="Arial" w:hAnsi="Arial"/>
          <w:sz w:val="13"/>
          <w:szCs w:val="13"/>
          <w:color w:val="auto"/>
        </w:rPr>
        <w:t>“As I look ahead, I am confident that our talented employees will benefit from greater opportunities as part of a larger organization. For our shareholders, the combination provides compelling value creation and the opportunity to share in significant upside from the realization of synergies, including accelerated growth opportunities given the complementary nature of the respective portfolios. I have long admired SLB’s focus on technology and innovation, as well as its global reach, and throughout our engagement with them, I have also been impressed with their commitment to preserving and capitalizing on all that has made ChampionX successful. Finally, I want to thank our employees for their continued commitment to our purpose of improving lives,” Somasundaram said.</w:t>
      </w:r>
    </w:p>
    <w:p>
      <w:pPr>
        <w:spacing w:after="0" w:line="206" w:lineRule="exact"/>
        <w:rPr>
          <w:sz w:val="20"/>
          <w:szCs w:val="20"/>
          <w:color w:val="auto"/>
        </w:rPr>
      </w:pPr>
    </w:p>
    <w:p>
      <w:pPr>
        <w:jc w:val="both"/>
        <w:ind w:left="640" w:right="939"/>
        <w:spacing w:after="0" w:line="241" w:lineRule="auto"/>
        <w:rPr>
          <w:sz w:val="20"/>
          <w:szCs w:val="20"/>
          <w:color w:val="auto"/>
        </w:rPr>
      </w:pPr>
      <w:r>
        <w:rPr>
          <w:rFonts w:ascii="Arial" w:cs="Arial" w:eastAsia="Arial" w:hAnsi="Arial"/>
          <w:sz w:val="13"/>
          <w:szCs w:val="13"/>
          <w:color w:val="auto"/>
        </w:rPr>
        <w:t>SLB expects to realize annual pretax synergies of approximately $ 400 million within the first three years post-closing through revenue growth and cost savings. The transaction is subject to ChampionX shareholders’ approval, regulatory approvals and other customary closing conditions. It is anticipated that the closing of the transaction will occur before the end of 2024.</w:t>
      </w:r>
    </w:p>
    <w:p>
      <w:pPr>
        <w:spacing w:after="0" w:line="204" w:lineRule="exact"/>
        <w:rPr>
          <w:sz w:val="20"/>
          <w:szCs w:val="20"/>
          <w:color w:val="auto"/>
        </w:rPr>
      </w:pPr>
    </w:p>
    <w:p>
      <w:pPr>
        <w:ind w:left="640" w:right="759"/>
        <w:spacing w:after="0" w:line="237" w:lineRule="auto"/>
        <w:rPr>
          <w:sz w:val="20"/>
          <w:szCs w:val="20"/>
          <w:color w:val="auto"/>
        </w:rPr>
      </w:pPr>
      <w:r>
        <w:rPr>
          <w:rFonts w:ascii="Arial" w:cs="Arial" w:eastAsia="Arial" w:hAnsi="Arial"/>
          <w:sz w:val="13"/>
          <w:szCs w:val="13"/>
          <w:color w:val="auto"/>
        </w:rPr>
        <w:t>SLB also announced today that it will return $7 billion to shareholders over the next two years. SLB will increase its 2024 shareholder returns to a target of $3 billion as well as set a target for 2025 shareholder returns of $4 billion. “This commitment to our shareholders for 2024 and 2025 highlights our confidence in the value this transaction will create and in our ability to continue generating strong cash flow from our broader portfolio this year and next,” Le Peuch said.</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color w:val="0000FF"/>
        </w:rPr>
        <w:t>Conference Call Information</w:t>
      </w:r>
    </w:p>
    <w:p>
      <w:pPr>
        <w:spacing w:after="0" w:line="68" w:lineRule="exact"/>
        <w:rPr>
          <w:sz w:val="20"/>
          <w:szCs w:val="20"/>
          <w:color w:val="auto"/>
        </w:rPr>
      </w:pPr>
    </w:p>
    <w:p>
      <w:pPr>
        <w:ind w:left="640" w:right="779"/>
        <w:spacing w:after="0" w:line="234" w:lineRule="auto"/>
        <w:rPr>
          <w:sz w:val="20"/>
          <w:szCs w:val="20"/>
          <w:color w:val="auto"/>
        </w:rPr>
      </w:pPr>
      <w:r>
        <w:rPr>
          <w:rFonts w:ascii="Arial" w:cs="Arial" w:eastAsia="Arial" w:hAnsi="Arial"/>
          <w:sz w:val="13"/>
          <w:szCs w:val="13"/>
          <w:color w:val="auto"/>
        </w:rPr>
        <w:t>SLB will hold a conference call at 8:00AM CDT/9:00AM EDT today, April 2, 2024.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by dialing +1 (866) 207-1041 within North America, or +1 (402) 970-0847 outside North America, and providing the access code 2487174. The conference call will be webcast simultaneously at www.slb.com/newscast on a listen-only basis. A replay of the webcast also will be available at the same website.</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2</w:t>
      </w:r>
    </w:p>
    <w:p>
      <w:pPr>
        <w:sectPr>
          <w:pgSz w:w="11900" w:h="16838" w:orient="portrait"/>
          <w:cols w:equalWidth="0" w:num="1">
            <w:col w:w="9019"/>
          </w:cols>
          <w:pgMar w:left="1440" w:top="231"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3"/>
          <w:szCs w:val="13"/>
          <w:b w:val="1"/>
          <w:bCs w:val="1"/>
          <w:color w:val="0000FF"/>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SLB</w:t>
      </w:r>
    </w:p>
    <w:p>
      <w:pPr>
        <w:spacing w:after="0" w:line="68" w:lineRule="exact"/>
        <w:rPr>
          <w:sz w:val="20"/>
          <w:szCs w:val="20"/>
          <w:color w:val="auto"/>
        </w:rPr>
      </w:pPr>
    </w:p>
    <w:p>
      <w:pPr>
        <w:ind w:left="640" w:right="679"/>
        <w:spacing w:after="0" w:line="237" w:lineRule="auto"/>
        <w:rPr>
          <w:sz w:val="20"/>
          <w:szCs w:val="20"/>
          <w:color w:val="auto"/>
        </w:rPr>
      </w:pPr>
      <w:r>
        <w:rPr>
          <w:rFonts w:ascii="Arial" w:cs="Arial" w:eastAsia="Arial" w:hAnsi="Arial"/>
          <w:sz w:val="13"/>
          <w:szCs w:val="13"/>
          <w:color w:val="auto"/>
        </w:rPr>
        <w:t>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00FF"/>
        </w:rPr>
        <w:t>About ChampionX</w:t>
      </w:r>
    </w:p>
    <w:p>
      <w:pPr>
        <w:spacing w:after="0" w:line="68" w:lineRule="exact"/>
        <w:rPr>
          <w:sz w:val="20"/>
          <w:szCs w:val="20"/>
          <w:color w:val="auto"/>
        </w:rPr>
      </w:pPr>
    </w:p>
    <w:p>
      <w:pPr>
        <w:ind w:left="640" w:right="699"/>
        <w:spacing w:after="0" w:line="237" w:lineRule="auto"/>
        <w:rPr>
          <w:sz w:val="20"/>
          <w:szCs w:val="20"/>
          <w:color w:val="auto"/>
        </w:rPr>
      </w:pPr>
      <w:r>
        <w:rPr>
          <w:rFonts w:ascii="Arial" w:cs="Arial" w:eastAsia="Arial" w:hAnsi="Arial"/>
          <w:sz w:val="13"/>
          <w:szCs w:val="13"/>
          <w:color w:val="auto"/>
        </w:rPr>
        <w:t xml:space="preserve">ChampionX Corporation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provide enhanced oil and gas production, transportation, and real-time emissions monitoring throughout the lifecycle of a well. To learn more about ChampionX, visit our website at </w:t>
      </w:r>
      <w:r>
        <w:rPr>
          <w:rFonts w:ascii="Arial" w:cs="Arial" w:eastAsia="Arial" w:hAnsi="Arial"/>
          <w:sz w:val="13"/>
          <w:szCs w:val="13"/>
          <w:color w:val="0000FF"/>
        </w:rPr>
        <w:t>www.championX.com</w:t>
      </w:r>
      <w:r>
        <w:rPr>
          <w:rFonts w:ascii="Arial" w:cs="Arial" w:eastAsia="Arial" w:hAnsi="Arial"/>
          <w:sz w:val="13"/>
          <w:szCs w:val="13"/>
          <w:color w:val="auto"/>
        </w:rPr>
        <w:t>.</w:t>
      </w:r>
    </w:p>
    <w:p>
      <w:pPr>
        <w:sectPr>
          <w:pgSz w:w="11900" w:h="16838" w:orient="portrait"/>
          <w:cols w:equalWidth="0" w:num="1">
            <w:col w:w="9019"/>
          </w:cols>
          <w:pgMar w:left="1440" w:top="231" w:right="1440" w:bottom="1440" w:gutter="0" w:footer="0" w:header="0"/>
        </w:sectPr>
      </w:pPr>
    </w:p>
    <w:p>
      <w:pPr>
        <w:spacing w:after="0" w:line="329"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0000FF"/>
        </w:rPr>
        <w:t>Media</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799"/>
        <w:spacing w:after="0"/>
        <w:rPr>
          <w:sz w:val="20"/>
          <w:szCs w:val="20"/>
          <w:color w:val="auto"/>
        </w:rPr>
      </w:pPr>
      <w:r>
        <w:rPr>
          <w:rFonts w:ascii="Arial" w:cs="Arial" w:eastAsia="Arial" w:hAnsi="Arial"/>
          <w:sz w:val="12"/>
          <w:szCs w:val="12"/>
          <w:b w:val="1"/>
          <w:bCs w:val="1"/>
          <w:color w:val="0000FF"/>
        </w:rPr>
        <w:t>Investors</w:t>
      </w:r>
    </w:p>
    <w:p>
      <w:pPr>
        <w:spacing w:after="0" w:line="86"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640"/>
        <w:spacing w:after="0"/>
        <w:rPr>
          <w:sz w:val="20"/>
          <w:szCs w:val="20"/>
          <w:color w:val="auto"/>
        </w:rPr>
      </w:pPr>
      <w:r>
        <w:rPr>
          <w:rFonts w:ascii="Arial" w:cs="Arial" w:eastAsia="Arial" w:hAnsi="Arial"/>
          <w:sz w:val="10"/>
          <w:szCs w:val="10"/>
          <w:color w:val="auto"/>
        </w:rPr>
        <w:t>Josh Byerly – Vice President of Communications, SLB</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Moira Duff – Director of External Communication, SLB</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Tel: +1 (713) 375-3407</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 xml:space="preserve">Email: </w:t>
      </w:r>
      <w:r>
        <w:rPr>
          <w:rFonts w:ascii="Arial" w:cs="Arial" w:eastAsia="Arial" w:hAnsi="Arial"/>
          <w:sz w:val="10"/>
          <w:szCs w:val="10"/>
          <w:color w:val="0000FF"/>
        </w:rPr>
        <w:t>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James McDonald – Senior Vice President of Investor Relations, SLB</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Joy V. Domingo – Director of Investor Relations, SLB</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Tel:+1 (713) 375-3535</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Email: </w:t>
      </w:r>
      <w:r>
        <w:rPr>
          <w:rFonts w:ascii="Arial" w:cs="Arial" w:eastAsia="Arial" w:hAnsi="Arial"/>
          <w:sz w:val="10"/>
          <w:szCs w:val="10"/>
          <w:color w:val="0000FF"/>
        </w:rPr>
        <w:t>investor-relations@slb.com</w:t>
      </w:r>
    </w:p>
    <w:p>
      <w:pPr>
        <w:spacing w:after="0" w:line="200"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spacing w:after="0" w:line="6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John Breed – Manager of External and Community Affairs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ChampionX</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Tel: +1 (281) 403-5751</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0"/>
          <w:szCs w:val="10"/>
          <w:color w:val="auto"/>
        </w:rPr>
        <w:t xml:space="preserve">Email : </w:t>
      </w:r>
      <w:r>
        <w:rPr>
          <w:rFonts w:ascii="Arial" w:cs="Arial" w:eastAsia="Arial" w:hAnsi="Arial"/>
          <w:sz w:val="10"/>
          <w:szCs w:val="10"/>
          <w:color w:val="0000FF"/>
        </w:rPr>
        <w:t>john.breed@championx.com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Byron Pope, Vice President of ESG and Investor Relations</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ChampionX</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Tel: +1 (281) 602-0094</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Email: </w:t>
      </w:r>
      <w:r>
        <w:rPr>
          <w:rFonts w:ascii="Arial" w:cs="Arial" w:eastAsia="Arial" w:hAnsi="Arial"/>
          <w:sz w:val="10"/>
          <w:szCs w:val="10"/>
          <w:color w:val="0000FF"/>
        </w:rPr>
        <w:t>byron.pope@championx.com</w:t>
      </w:r>
    </w:p>
    <w:p>
      <w:pPr>
        <w:spacing w:after="0" w:line="112"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640"/>
        <w:spacing w:after="0"/>
        <w:rPr>
          <w:sz w:val="20"/>
          <w:szCs w:val="20"/>
          <w:color w:val="auto"/>
        </w:rPr>
      </w:pPr>
      <w:r>
        <w:rPr>
          <w:rFonts w:ascii="Arial" w:cs="Arial" w:eastAsia="Arial" w:hAnsi="Arial"/>
          <w:sz w:val="9"/>
          <w:szCs w:val="9"/>
          <w:b w:val="1"/>
          <w:bCs w:val="1"/>
          <w:color w:val="auto"/>
        </w:rPr>
        <w:t>Page 3</w:t>
      </w:r>
    </w:p>
    <w:p>
      <w:pPr>
        <w:sectPr>
          <w:pgSz w:w="11900" w:h="16838" w:orient="portrait"/>
          <w:cols w:equalWidth="0" w:num="1">
            <w:col w:w="9019"/>
          </w:cols>
          <w:pgMar w:left="1440" w:top="231" w:right="1440" w:bottom="1440" w:gutter="0" w:footer="0" w:header="0"/>
          <w:type w:val="continuous"/>
        </w:sectPr>
      </w:pPr>
    </w:p>
    <w:bookmarkStart w:id="10" w:name="page11"/>
    <w:bookmarkEnd w:id="10"/>
    <w:p>
      <w:pPr>
        <w:ind w:left="640"/>
        <w:spacing w:after="0"/>
        <w:rPr>
          <w:sz w:val="20"/>
          <w:szCs w:val="20"/>
          <w:color w:val="auto"/>
        </w:rPr>
      </w:pPr>
      <w:r>
        <w:rPr>
          <w:rFonts w:ascii="Arial" w:cs="Arial" w:eastAsia="Arial" w:hAnsi="Arial"/>
          <w:sz w:val="13"/>
          <w:szCs w:val="13"/>
          <w:b w:val="1"/>
          <w:bCs w:val="1"/>
          <w:color w:val="0000FF"/>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68" w:lineRule="exact"/>
        <w:rPr>
          <w:sz w:val="20"/>
          <w:szCs w:val="20"/>
          <w:color w:val="auto"/>
        </w:rPr>
      </w:pPr>
    </w:p>
    <w:p>
      <w:pPr>
        <w:ind w:left="640" w:right="659"/>
        <w:spacing w:after="0" w:line="241" w:lineRule="auto"/>
        <w:rPr>
          <w:sz w:val="20"/>
          <w:szCs w:val="20"/>
          <w:color w:val="auto"/>
        </w:rPr>
      </w:pPr>
      <w:r>
        <w:rPr>
          <w:rFonts w:ascii="Arial" w:cs="Arial" w:eastAsia="Arial" w:hAnsi="Arial"/>
          <w:sz w:val="13"/>
          <w:szCs w:val="13"/>
          <w:color w:val="auto"/>
        </w:rPr>
        <w:t>This communication contains forward-looking statements within the meaning of the Private Securities Litigation Reform Act of 1995, Section 27A of the Securities Act of 1933, as amended (the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and Section 21E of the Securities Exchange Act of 1934, as amended.</w:t>
      </w:r>
    </w:p>
    <w:p>
      <w:pPr>
        <w:spacing w:after="0" w:line="128" w:lineRule="exact"/>
        <w:rPr>
          <w:sz w:val="20"/>
          <w:szCs w:val="20"/>
          <w:color w:val="auto"/>
        </w:rPr>
      </w:pPr>
    </w:p>
    <w:p>
      <w:pPr>
        <w:ind w:left="640" w:right="659"/>
        <w:spacing w:after="0" w:line="250" w:lineRule="auto"/>
        <w:rPr>
          <w:sz w:val="20"/>
          <w:szCs w:val="20"/>
          <w:color w:val="auto"/>
        </w:rPr>
      </w:pPr>
      <w:r>
        <w:rPr>
          <w:rFonts w:ascii="Arial" w:cs="Arial" w:eastAsia="Arial" w:hAnsi="Arial"/>
          <w:sz w:val="12"/>
          <w:szCs w:val="12"/>
          <w:color w:val="auto"/>
        </w:rPr>
        <w:t>Such forward-looking statements include statements relating to the proposed transaction between Schlumberger N.V. (“</w:t>
      </w:r>
      <w:r>
        <w:rPr>
          <w:rFonts w:ascii="Arial" w:cs="Arial" w:eastAsia="Arial" w:hAnsi="Arial"/>
          <w:sz w:val="12"/>
          <w:szCs w:val="12"/>
          <w:b w:val="1"/>
          <w:bCs w:val="1"/>
          <w:i w:val="1"/>
          <w:iCs w:val="1"/>
          <w:color w:val="auto"/>
        </w:rPr>
        <w:t>SLB</w:t>
      </w:r>
      <w:r>
        <w:rPr>
          <w:rFonts w:ascii="Arial" w:cs="Arial" w:eastAsia="Arial" w:hAnsi="Arial"/>
          <w:sz w:val="12"/>
          <w:szCs w:val="12"/>
          <w:color w:val="auto"/>
        </w:rPr>
        <w:t>”) and ChampionX Corporation (“</w:t>
      </w:r>
      <w:r>
        <w:rPr>
          <w:rFonts w:ascii="Arial" w:cs="Arial" w:eastAsia="Arial" w:hAnsi="Arial"/>
          <w:sz w:val="12"/>
          <w:szCs w:val="12"/>
          <w:b w:val="1"/>
          <w:bCs w:val="1"/>
          <w:i w:val="1"/>
          <w:iCs w:val="1"/>
          <w:color w:val="auto"/>
        </w:rPr>
        <w:t>ChampionX</w:t>
      </w:r>
      <w:r>
        <w:rPr>
          <w:rFonts w:ascii="Arial" w:cs="Arial" w:eastAsia="Arial" w:hAnsi="Arial"/>
          <w:sz w:val="12"/>
          <w:szCs w:val="12"/>
          <w:color w:val="auto"/>
        </w:rPr>
        <w:t>”),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Arial" w:cs="Arial" w:eastAsia="Arial" w:hAnsi="Arial"/>
          <w:sz w:val="12"/>
          <w:szCs w:val="12"/>
          <w:b w:val="1"/>
          <w:bCs w:val="1"/>
          <w:i w:val="1"/>
          <w:iCs w:val="1"/>
          <w:color w:val="auto"/>
        </w:rPr>
        <w:t>SEC</w:t>
      </w:r>
      <w:r>
        <w:rPr>
          <w:rFonts w:ascii="Arial" w:cs="Arial" w:eastAsia="Arial" w:hAnsi="Arial"/>
          <w:sz w:val="12"/>
          <w:szCs w:val="12"/>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265" w:lineRule="exact"/>
        <w:rPr>
          <w:sz w:val="20"/>
          <w:szCs w:val="20"/>
          <w:color w:val="auto"/>
        </w:rPr>
      </w:pPr>
    </w:p>
    <w:p>
      <w:pPr>
        <w:ind w:left="640" w:right="659"/>
        <w:spacing w:after="0" w:line="252" w:lineRule="auto"/>
        <w:rPr>
          <w:sz w:val="20"/>
          <w:szCs w:val="20"/>
          <w:color w:val="auto"/>
        </w:rPr>
      </w:pPr>
      <w:r>
        <w:rPr>
          <w:rFonts w:ascii="Arial" w:cs="Arial" w:eastAsia="Arial" w:hAnsi="Arial"/>
          <w:sz w:val="12"/>
          <w:szCs w:val="12"/>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4</w:t>
      </w:r>
    </w:p>
    <w:p>
      <w:pPr>
        <w:sectPr>
          <w:pgSz w:w="11900" w:h="16838" w:orient="portrait"/>
          <w:cols w:equalWidth="0" w:num="1">
            <w:col w:w="9019"/>
          </w:cols>
          <w:pgMar w:left="1440" w:top="231" w:right="1440" w:bottom="1440" w:gutter="0" w:footer="0" w:header="0"/>
        </w:sectPr>
      </w:pPr>
    </w:p>
    <w:bookmarkStart w:id="11" w:name="page12"/>
    <w:bookmarkEnd w:id="11"/>
    <w:p>
      <w:pPr>
        <w:ind w:left="640" w:right="699"/>
        <w:spacing w:after="0" w:line="25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272" w:lineRule="exact"/>
        <w:rPr>
          <w:sz w:val="20"/>
          <w:szCs w:val="20"/>
          <w:color w:val="auto"/>
        </w:rPr>
      </w:pPr>
    </w:p>
    <w:p>
      <w:pPr>
        <w:ind w:left="640" w:right="659"/>
        <w:spacing w:after="0" w:line="253" w:lineRule="auto"/>
        <w:rPr>
          <w:sz w:val="20"/>
          <w:szCs w:val="20"/>
          <w:color w:val="auto"/>
        </w:rPr>
      </w:pPr>
      <w:r>
        <w:rPr>
          <w:rFonts w:ascii="Arial" w:cs="Arial" w:eastAsia="Arial" w:hAnsi="Arial"/>
          <w:sz w:val="12"/>
          <w:szCs w:val="12"/>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00FF"/>
        </w:rPr>
        <w:t>Additional Information about the Transaction and Where to Find It</w:t>
      </w:r>
    </w:p>
    <w:p>
      <w:pPr>
        <w:spacing w:after="0" w:line="68" w:lineRule="exact"/>
        <w:rPr>
          <w:sz w:val="20"/>
          <w:szCs w:val="20"/>
          <w:color w:val="auto"/>
        </w:rPr>
      </w:pPr>
    </w:p>
    <w:p>
      <w:pPr>
        <w:ind w:left="640" w:right="659"/>
        <w:spacing w:after="0" w:line="234" w:lineRule="auto"/>
        <w:rPr>
          <w:sz w:val="20"/>
          <w:szCs w:val="20"/>
          <w:color w:val="auto"/>
        </w:rPr>
      </w:pPr>
      <w:r>
        <w:rPr>
          <w:rFonts w:ascii="Arial" w:cs="Arial" w:eastAsia="Arial" w:hAnsi="Arial"/>
          <w:sz w:val="13"/>
          <w:szCs w:val="13"/>
          <w:color w:val="auto"/>
        </w:rPr>
        <w:t>In connection with the proposed transaction, SLB intends to file with the SEC a registration statement on Form S-4 (the “</w:t>
      </w:r>
      <w:r>
        <w:rPr>
          <w:rFonts w:ascii="Arial" w:cs="Arial" w:eastAsia="Arial" w:hAnsi="Arial"/>
          <w:sz w:val="13"/>
          <w:szCs w:val="13"/>
          <w:b w:val="1"/>
          <w:bCs w:val="1"/>
          <w:i w:val="1"/>
          <w:iCs w:val="1"/>
          <w:color w:val="auto"/>
        </w:rPr>
        <w:t>Form S-4</w:t>
      </w:r>
      <w:r>
        <w:rPr>
          <w:rFonts w:ascii="Arial" w:cs="Arial" w:eastAsia="Arial" w:hAnsi="Arial"/>
          <w:sz w:val="13"/>
          <w:szCs w:val="13"/>
          <w:color w:val="auto"/>
        </w:rPr>
        <w:t>”) that will include a proxy statement of ChampionX and that also constitutes a prospectus of SLB with respect to the shares of SLB to be issued in the proposed transaction (the “</w:t>
      </w:r>
      <w:r>
        <w:rPr>
          <w:rFonts w:ascii="Arial" w:cs="Arial" w:eastAsia="Arial" w:hAnsi="Arial"/>
          <w:sz w:val="13"/>
          <w:szCs w:val="13"/>
          <w:b w:val="1"/>
          <w:bCs w:val="1"/>
          <w:i w:val="1"/>
          <w:iCs w:val="1"/>
          <w:color w:val="auto"/>
        </w:rPr>
        <w:t>proxy statement/prospectus</w:t>
      </w:r>
      <w:r>
        <w:rPr>
          <w:rFonts w:ascii="Arial" w:cs="Arial" w:eastAsia="Arial" w:hAnsi="Arial"/>
          <w:sz w:val="13"/>
          <w:szCs w:val="13"/>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5</w:t>
      </w:r>
    </w:p>
    <w:p>
      <w:pPr>
        <w:sectPr>
          <w:pgSz w:w="11900" w:h="16838" w:orient="portrait"/>
          <w:cols w:equalWidth="0" w:num="1">
            <w:col w:w="9019"/>
          </w:cols>
          <w:pgMar w:left="1440" w:top="231" w:right="1440" w:bottom="1440" w:gutter="0" w:footer="0" w:header="0"/>
        </w:sectPr>
      </w:pPr>
    </w:p>
    <w:bookmarkStart w:id="12" w:name="page13"/>
    <w:bookmarkEnd w:id="12"/>
    <w:p>
      <w:pPr>
        <w:ind w:left="640" w:right="699"/>
        <w:spacing w:after="0" w:line="25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00FF"/>
        </w:rPr>
        <w:t>Participants in the Solicitation</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SLB, ChampionX and certain of their respective directors and executive officers may be deemed to be participants in the solicitation of</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proxies in respect of the proposed transaction. Information about the directors and executive officers of SLB, including a description of</w:t>
      </w:r>
    </w:p>
    <w:p>
      <w:pPr>
        <w:ind w:left="640"/>
        <w:spacing w:after="0" w:line="228" w:lineRule="auto"/>
        <w:rPr>
          <w:sz w:val="20"/>
          <w:szCs w:val="20"/>
          <w:color w:val="auto"/>
        </w:rPr>
      </w:pPr>
      <w:r>
        <w:rPr>
          <w:rFonts w:ascii="Arial" w:cs="Arial" w:eastAsia="Arial" w:hAnsi="Arial"/>
          <w:sz w:val="13"/>
          <w:szCs w:val="13"/>
          <w:color w:val="auto"/>
        </w:rPr>
        <w:t>their direct or indirect interests, by security holdings or otherwise, is set forth in SLB’s proxy statement for its 2024 Annual Meeting of</w:t>
      </w:r>
    </w:p>
    <w:p>
      <w:pPr>
        <w:ind w:left="640"/>
        <w:spacing w:after="0"/>
        <w:rPr>
          <w:rFonts w:ascii="Arial" w:cs="Arial" w:eastAsia="Arial" w:hAnsi="Arial"/>
          <w:sz w:val="12"/>
          <w:szCs w:val="12"/>
          <w:color w:val="auto"/>
        </w:rPr>
      </w:pPr>
      <w:r>
        <w:rPr>
          <w:rFonts w:ascii="Arial" w:cs="Arial" w:eastAsia="Arial" w:hAnsi="Arial"/>
          <w:sz w:val="12"/>
          <w:szCs w:val="12"/>
          <w:color w:val="auto"/>
        </w:rPr>
        <w:t>Stockholders (</w:t>
      </w:r>
      <w:hyperlink r:id="rId30">
        <w:r>
          <w:rPr>
            <w:rFonts w:ascii="Arial" w:cs="Arial" w:eastAsia="Arial" w:hAnsi="Arial"/>
            <w:sz w:val="12"/>
            <w:szCs w:val="12"/>
            <w:u w:val="single" w:color="auto"/>
            <w:color w:val="0000EE"/>
          </w:rPr>
          <w:t>https://www.sec.gov/Archives/edgar/data/87347/000130817924000034/lslb2024_defa14a.htm</w:t>
        </w:r>
      </w:hyperlink>
      <w:r>
        <w:rPr>
          <w:rFonts w:ascii="Arial" w:cs="Arial" w:eastAsia="Arial" w:hAnsi="Arial"/>
          <w:sz w:val="12"/>
          <w:szCs w:val="12"/>
          <w:color w:val="auto"/>
        </w:rPr>
        <w:t>), which was filed with the</w:t>
      </w:r>
    </w:p>
    <w:p>
      <w:pPr>
        <w:spacing w:after="0" w:line="4" w:lineRule="exact"/>
        <w:rPr>
          <w:sz w:val="20"/>
          <w:szCs w:val="20"/>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 xml:space="preserve">SEC on February 22, 2024, </w:t>
      </w:r>
      <w:hyperlink r:id="rId31">
        <w:r>
          <w:rPr>
            <w:rFonts w:ascii="Arial" w:cs="Arial" w:eastAsia="Arial" w:hAnsi="Arial"/>
            <w:sz w:val="12"/>
            <w:szCs w:val="12"/>
            <w:u w:val="single" w:color="auto"/>
            <w:color w:val="0000EE"/>
          </w:rPr>
          <w:t>including under the sections entitled</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“Director Compensation”, “Security Ownership by Management and Our</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Board”, “Compensation Discussion and Analysis”, “2023 Compensation Decisions and Results”, “Elements of 2023 Total Compensation”,</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“Long-Term Equity Incentive Awards”, “Executive Compensation Tables”, “Grants of Plan-Based Awards in 2023”, “Outstanding Equity</w:t>
      </w:r>
    </w:p>
    <w:p>
      <w:pPr>
        <w:ind w:left="640"/>
        <w:spacing w:after="0" w:line="234" w:lineRule="auto"/>
        <w:rPr>
          <w:sz w:val="20"/>
          <w:szCs w:val="20"/>
          <w:color w:val="auto"/>
        </w:rPr>
      </w:pPr>
      <w:r>
        <w:rPr>
          <w:rFonts w:ascii="Arial" w:cs="Arial" w:eastAsia="Arial" w:hAnsi="Arial"/>
          <w:sz w:val="13"/>
          <w:szCs w:val="13"/>
          <w:color w:val="auto"/>
        </w:rPr>
        <w:t>Awards at Year-End 2023”, “Potential Payments Upon Termination or Change in Control” and “Pay vs. Performance Comparison” and</w:t>
      </w:r>
    </w:p>
    <w:p>
      <w:pPr>
        <w:ind w:left="640"/>
        <w:spacing w:after="0" w:line="229" w:lineRule="auto"/>
        <w:rPr>
          <w:sz w:val="20"/>
          <w:szCs w:val="20"/>
          <w:color w:val="auto"/>
        </w:rPr>
      </w:pPr>
      <w:r>
        <w:rPr>
          <w:rFonts w:ascii="Arial" w:cs="Arial" w:eastAsia="Arial" w:hAnsi="Arial"/>
          <w:sz w:val="13"/>
          <w:szCs w:val="13"/>
          <w:color w:val="auto"/>
        </w:rPr>
        <w:t>SLB’s Annual Report on Form 10-K for the fiscal year ended December 31, 2023</w:t>
      </w:r>
    </w:p>
    <w:p>
      <w:pPr>
        <w:ind w:left="640"/>
        <w:spacing w:after="0"/>
        <w:rPr>
          <w:rFonts w:ascii="Arial" w:cs="Arial" w:eastAsia="Arial" w:hAnsi="Arial"/>
          <w:sz w:val="12"/>
          <w:szCs w:val="12"/>
          <w:color w:val="auto"/>
        </w:rPr>
      </w:pPr>
      <w:r>
        <w:rPr>
          <w:rFonts w:ascii="Arial" w:cs="Arial" w:eastAsia="Arial" w:hAnsi="Arial"/>
          <w:sz w:val="12"/>
          <w:szCs w:val="12"/>
          <w:color w:val="auto"/>
        </w:rPr>
        <w:t>(</w:t>
      </w:r>
      <w:hyperlink r:id="rId32">
        <w:r>
          <w:rPr>
            <w:rFonts w:ascii="Arial" w:cs="Arial" w:eastAsia="Arial" w:hAnsi="Arial"/>
            <w:sz w:val="12"/>
            <w:szCs w:val="12"/>
            <w:u w:val="single" w:color="auto"/>
            <w:color w:val="0000EE"/>
          </w:rPr>
          <w:t>https://www.sec.gov/ix?doc=/Archives/edgar/data/0000087347/000095017024006884/slb-20231231.htm</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which was filed with the SEC</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on January 24, 2024, including under the sections entitled “Item. 10 Directors, Executive Officers and Corporate Governance”, “Item 11.</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Executive Compensation”, “Item 12. Security Ownership of Certain Beneficial Owners and Management and Related Stockholder Matters”</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and “Item 13. Certain Relationships and Related Transactions, and Director Independence”. Information about the directors and executive</w:t>
      </w:r>
    </w:p>
    <w:p>
      <w:pPr>
        <w:ind w:left="640"/>
        <w:spacing w:after="0" w:line="234" w:lineRule="auto"/>
        <w:rPr>
          <w:sz w:val="20"/>
          <w:szCs w:val="20"/>
          <w:color w:val="auto"/>
        </w:rPr>
      </w:pPr>
      <w:r>
        <w:rPr>
          <w:rFonts w:ascii="Arial" w:cs="Arial" w:eastAsia="Arial" w:hAnsi="Arial"/>
          <w:sz w:val="13"/>
          <w:szCs w:val="13"/>
          <w:color w:val="auto"/>
        </w:rPr>
        <w:t>officers of ChampionX, including a description of their direct or indirect interests, by security holdings or otherwise, is set forth in</w:t>
      </w:r>
    </w:p>
    <w:p>
      <w:pPr>
        <w:ind w:left="640"/>
        <w:spacing w:after="0" w:line="229" w:lineRule="auto"/>
        <w:rPr>
          <w:rFonts w:ascii="Arial" w:cs="Arial" w:eastAsia="Arial" w:hAnsi="Arial"/>
          <w:sz w:val="13"/>
          <w:szCs w:val="13"/>
          <w:color w:val="auto"/>
        </w:rPr>
      </w:pPr>
      <w:hyperlink r:id="rId33">
        <w:r>
          <w:rPr>
            <w:rFonts w:ascii="Arial" w:cs="Arial" w:eastAsia="Arial" w:hAnsi="Arial"/>
            <w:sz w:val="13"/>
            <w:szCs w:val="13"/>
            <w:color w:val="auto"/>
          </w:rPr>
          <w:t>ChampionX’s proxy statement for its 2023 Annual Meeting of Stockholders (</w:t>
        </w:r>
        <w:r>
          <w:rPr>
            <w:rFonts w:ascii="Arial" w:cs="Arial" w:eastAsia="Arial" w:hAnsi="Arial"/>
            <w:sz w:val="13"/>
            <w:szCs w:val="13"/>
            <w:u w:val="single" w:color="auto"/>
            <w:color w:val="0000EE"/>
          </w:rPr>
          <w:t>https://www.sec.gov/ix?</w:t>
        </w:r>
      </w:hyperlink>
    </w:p>
    <w:p>
      <w:pPr>
        <w:ind w:left="640"/>
        <w:spacing w:after="0"/>
        <w:rPr>
          <w:rFonts w:ascii="Arial" w:cs="Arial" w:eastAsia="Arial" w:hAnsi="Arial"/>
          <w:sz w:val="12"/>
          <w:szCs w:val="12"/>
          <w:color w:val="0000EE"/>
        </w:rPr>
      </w:pPr>
      <w:hyperlink r:id="rId33">
        <w:r>
          <w:rPr>
            <w:rFonts w:ascii="Arial" w:cs="Arial" w:eastAsia="Arial" w:hAnsi="Arial"/>
            <w:sz w:val="12"/>
            <w:szCs w:val="12"/>
            <w:u w:val="single" w:color="auto"/>
            <w:color w:val="0000EE"/>
          </w:rPr>
          <w:t>doc=/Archives/edgar/data/1723089/000172308923000073/championx-20230327.htm</w:t>
        </w:r>
        <w:r>
          <w:rPr>
            <w:rFonts w:ascii="Arial" w:cs="Arial" w:eastAsia="Arial" w:hAnsi="Arial"/>
            <w:sz w:val="12"/>
            <w:szCs w:val="12"/>
            <w:color w:val="0000EE"/>
          </w:rPr>
          <w:t xml:space="preserve"> </w:t>
        </w:r>
        <w:r>
          <w:rPr>
            <w:rFonts w:ascii="Arial" w:cs="Arial" w:eastAsia="Arial" w:hAnsi="Arial"/>
            <w:sz w:val="12"/>
            <w:szCs w:val="12"/>
            <w:color w:val="000000"/>
          </w:rPr>
          <w:t xml:space="preserve">), which was </w:t>
        </w:r>
      </w:hyperlink>
      <w:r>
        <w:rPr>
          <w:rFonts w:ascii="Arial" w:cs="Arial" w:eastAsia="Arial" w:hAnsi="Arial"/>
          <w:sz w:val="12"/>
          <w:szCs w:val="12"/>
          <w:color w:val="0000EE"/>
        </w:rPr>
        <w:t xml:space="preserve">filed </w:t>
      </w:r>
      <w:r>
        <w:rPr>
          <w:rFonts w:ascii="Arial" w:cs="Arial" w:eastAsia="Arial" w:hAnsi="Arial"/>
          <w:sz w:val="12"/>
          <w:szCs w:val="12"/>
          <w:color w:val="000000"/>
        </w:rPr>
        <w:t>with the SEC on March 29, 2023,</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including under the sections entitled “Executive Compensation Highlights”, “Director Compensation”, “2022 Director Compensation Table”,</w:t>
      </w:r>
    </w:p>
    <w:p>
      <w:pPr>
        <w:ind w:left="640"/>
        <w:spacing w:after="0" w:line="234" w:lineRule="auto"/>
        <w:rPr>
          <w:sz w:val="20"/>
          <w:szCs w:val="20"/>
          <w:color w:val="auto"/>
        </w:rPr>
      </w:pPr>
      <w:r>
        <w:rPr>
          <w:rFonts w:ascii="Arial" w:cs="Arial" w:eastAsia="Arial" w:hAnsi="Arial"/>
          <w:sz w:val="13"/>
          <w:szCs w:val="13"/>
          <w:color w:val="auto"/>
        </w:rPr>
        <w:t>“Security Ownership of Certain Beneficial Owners and Management”, “Compensation Discussion and Analysis”, “Key Compensation</w:t>
      </w:r>
    </w:p>
    <w:p>
      <w:pPr>
        <w:ind w:left="640"/>
        <w:spacing w:after="0" w:line="229" w:lineRule="auto"/>
        <w:rPr>
          <w:sz w:val="20"/>
          <w:szCs w:val="20"/>
          <w:color w:val="auto"/>
        </w:rPr>
      </w:pPr>
      <w:r>
        <w:rPr>
          <w:rFonts w:ascii="Arial" w:cs="Arial" w:eastAsia="Arial" w:hAnsi="Arial"/>
          <w:sz w:val="13"/>
          <w:szCs w:val="13"/>
          <w:color w:val="auto"/>
        </w:rPr>
        <w:t>Overview for 2022”, “Summary of 2022 Compensation for Named Executive Officers”, “Elements of Our Executive Compensation</w:t>
      </w:r>
    </w:p>
    <w:p>
      <w:pPr>
        <w:ind w:left="640"/>
        <w:spacing w:after="0"/>
        <w:rPr>
          <w:sz w:val="20"/>
          <w:szCs w:val="20"/>
          <w:color w:val="auto"/>
        </w:rPr>
      </w:pPr>
      <w:r>
        <w:rPr>
          <w:rFonts w:ascii="Arial" w:cs="Arial" w:eastAsia="Arial" w:hAnsi="Arial"/>
          <w:sz w:val="13"/>
          <w:szCs w:val="13"/>
          <w:color w:val="auto"/>
        </w:rPr>
        <w:t>Program”, “Long-Term Equity Incentive Compensation”, “Additional Executive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6</w:t>
      </w:r>
    </w:p>
    <w:p>
      <w:pPr>
        <w:sectPr>
          <w:pgSz w:w="11900" w:h="16838" w:orient="portrait"/>
          <w:cols w:equalWidth="0" w:num="1">
            <w:col w:w="9019"/>
          </w:cols>
          <w:pgMar w:left="1440" w:top="231" w:right="1440" w:bottom="1440" w:gutter="0" w:footer="0" w:header="0"/>
        </w:sectPr>
      </w:pPr>
    </w:p>
    <w:bookmarkStart w:id="13" w:name="page14"/>
    <w:bookmarkEnd w:id="13"/>
    <w:p>
      <w:pPr>
        <w:ind w:left="640" w:right="739"/>
        <w:spacing w:after="0" w:line="231" w:lineRule="auto"/>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Compensation Governance Considerations”, “Executive Compensation Tables”, “Potential Payments upon Termination or Change-in-Control”, “Pay-versus-Performance” and ChampionX’s Annual Report on Form 10-K for the fiscal year ended December 31, 2023 (</w:t>
      </w:r>
      <w:hyperlink r:id="rId35">
        <w:r>
          <w:rPr>
            <w:rFonts w:ascii="Arial" w:cs="Arial" w:eastAsia="Arial" w:hAnsi="Arial"/>
            <w:sz w:val="13"/>
            <w:szCs w:val="13"/>
            <w:u w:val="single" w:color="auto"/>
            <w:color w:val="0000EE"/>
          </w:rPr>
          <w:t>https://www.sec.gov/ix?doc=/Archives/edgar/data/1723089/000172308924000011/championx-20231231.htm</w:t>
        </w:r>
      </w:hyperlink>
      <w:r>
        <w:rPr>
          <w:rFonts w:ascii="Arial" w:cs="Arial" w:eastAsia="Arial" w:hAnsi="Arial"/>
          <w:sz w:val="13"/>
          <w:szCs w:val="13"/>
          <w:color w:val="auto"/>
        </w:rPr>
        <w:t>),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Page 7</w:t>
      </w:r>
    </w:p>
    <w:p>
      <w:pPr>
        <w:sectPr>
          <w:pgSz w:w="11900" w:h="16838" w:orient="portrait"/>
          <w:cols w:equalWidth="0" w:num="1">
            <w:col w:w="9019"/>
          </w:cols>
          <w:pgMar w:left="1440" w:top="231" w:right="1440"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30" Type="http://schemas.openxmlformats.org/officeDocument/2006/relationships/hyperlink" Target="http://www.sec.gov/ix?doc=/Archives/edgar/data/0000087347/000130817924000033/lslb2024_def14a.htm" TargetMode="External"/><Relationship Id="rId31" Type="http://schemas.openxmlformats.org/officeDocument/2006/relationships/hyperlink" Target="http://www.sec.gov/Archives/edgar/data/87347/000130817924000034/lslb2024_defa14a.htm" TargetMode="External"/><Relationship Id="rId32" Type="http://schemas.openxmlformats.org/officeDocument/2006/relationships/hyperlink" Target="http://www.sec.gov/ix?doc=/Archives/edgar/data/0000087347/000095017024006884/slb-20231231.htm" TargetMode="External"/><Relationship Id="rId33" Type="http://schemas.openxmlformats.org/officeDocument/2006/relationships/hyperlink" Target="http://www.sec.gov/ix?doc=/Archives/edgar/data/1723089/000172308923000073/championx-20230327.htm" TargetMode="External"/><Relationship Id="rId35"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2024-04-02T08:35:34Z</dcterms:created>
  <dcterms:modified xsi:type="dcterms:W3CDTF">2024-04-02T08:35:34Z</dcterms:modified>
</cp:coreProperties>
</file>