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4600"/>
        <w:spacing w:after="0"/>
        <w:rPr>
          <w:sz w:val="20"/>
          <w:szCs w:val="20"/>
          <w:color w:val="auto"/>
        </w:rPr>
      </w:pPr>
      <w:r>
        <w:rPr>
          <w:rFonts w:ascii="Arial" w:cs="Arial" w:eastAsia="Arial" w:hAnsi="Arial"/>
          <w:sz w:val="25"/>
          <w:szCs w:val="25"/>
          <w:b w:val="1"/>
          <w:bCs w:val="1"/>
          <w:color w:val="auto"/>
        </w:rPr>
        <w:t>Amendment No. 1 to</w:t>
      </w:r>
    </w:p>
    <w:p>
      <w:pPr>
        <w:spacing w:after="0" w:line="226"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900"/>
        <w:spacing w:after="0"/>
        <w:rPr>
          <w:sz w:val="20"/>
          <w:szCs w:val="20"/>
          <w:color w:val="auto"/>
        </w:rPr>
      </w:pPr>
      <w:r>
        <w:rPr>
          <w:rFonts w:ascii="Arial" w:cs="Arial" w:eastAsia="Arial" w:hAnsi="Arial"/>
          <w:sz w:val="21"/>
          <w:szCs w:val="21"/>
          <w:b w:val="1"/>
          <w:bCs w:val="1"/>
          <w:color w:val="auto"/>
        </w:rPr>
        <w:t>Date of Report (Date of earliest event reported):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172720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49"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449"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449"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449"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49" w:right="63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June 2, 2016, Schlumberger Limited (the “Company”) filed a Current Report on Form 8-K (the “Initial 8-K”) disclosing that the Board of Directors of the Company (“the Board”) had appointed Helge Lund as a new director in accordance with the Company’s Articles of Incorporation. Committee appointments for Mr. Lund had not been determined as of the filing of the Initial 8-K.</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subsequently appointed Mr. Lund to the Audit Committee and the Finance Committee of the Board, having determined that he satisfies all applicable requirements to serve on such Committees, including the applicable requirements of the New York Stock Exchange and the Securities Exchange Act of 1934, as amended. The Board also determined that neither Mr. Lund nor any member of his immediate family has a material interest in any transaction that would require disclosure pursuant to Item 404(a) of Regulation S-K.</w:t>
      </w:r>
    </w:p>
    <w:p>
      <w:pPr>
        <w:sectPr>
          <w:pgSz w:w="11900" w:h="16838" w:orient="portrait"/>
          <w:cols w:equalWidth="0" w:num="1">
            <w:col w:w="11360"/>
          </w:cols>
          <w:pgMar w:left="240" w:top="270" w:right="2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2019-12-05T10:06:50Z</dcterms:created>
  <dcterms:modified xsi:type="dcterms:W3CDTF">2019-12-05T10:06:50Z</dcterms:modified>
</cp:coreProperties>
</file>