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273925" cy="5977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3925" cy="5977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Poupeau Jean-Francois</w:t>
              </w:r>
            </w:hyperlink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60" w:type="dxa"/>
            <w:vAlign w:val="bottom"/>
            <w:gridSpan w:val="4"/>
          </w:tcPr>
          <w:p>
            <w:pPr>
              <w:ind w:left="60"/>
              <w:spacing w:after="0" w:line="18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80" w:type="dxa"/>
            <w:vAlign w:val="bottom"/>
            <w:gridSpan w:val="4"/>
            <w:vMerge w:val="restart"/>
          </w:tcPr>
          <w:p>
            <w:pPr>
              <w:ind w:left="160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01/17/2019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3" w:lineRule="exact"/>
        <w:rPr>
          <w:sz w:val="20"/>
          <w:szCs w:val="20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6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 Corporate Engagement</w:t>
      </w:r>
    </w:p>
    <w:p>
      <w:pPr>
        <w:spacing w:after="0" w:line="32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60" w:space="74"/>
            <w:col w:w="348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01/17/2019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29,714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37.845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91,632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01/17/2019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28,353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41.25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63,279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Sl Profit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91.5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Sharing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3A. Deemed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1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01/22/2010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$0.01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29,714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 w/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37.845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58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01/17/2019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29,714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01/22/2019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1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8"/>
              </w:rPr>
              <w:t>Par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1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Value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1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8"/>
              </w:rPr>
              <w:t>Per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8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2"/>
              </w:rPr>
              <w:t>1. Includes 189 shares acquired under the Schlumberger discounted stock purchase plan for the period ending December 31, 2018.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6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8"/>
              </w:rPr>
              <w:t>2. This option became exercisable in five equal annual installments beginning January 22, 2010.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Saul R. Laureles, Attorney-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01/22/2019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in-Fact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6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-3543300</wp:posOffset>
            </wp:positionV>
            <wp:extent cx="24765" cy="24726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472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58232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2019-12-23T21:17:50Z</dcterms:created>
  <dcterms:modified xsi:type="dcterms:W3CDTF">2019-12-23T21:17:50Z</dcterms:modified>
</cp:coreProperties>
</file>