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Schlumberger N.V.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ChampionX Corp</w:t>
      </w:r>
    </w:p>
    <w:p>
      <w:pPr>
        <w:jc w:val="right"/>
        <w:spacing w:after="0" w:line="235" w:lineRule="auto"/>
        <w:rPr>
          <w:sz w:val="20"/>
          <w:szCs w:val="20"/>
          <w:color w:val="auto"/>
        </w:rPr>
      </w:pPr>
      <w:r>
        <w:rPr>
          <w:rFonts w:ascii="Arial" w:cs="Arial" w:eastAsia="Arial" w:hAnsi="Arial"/>
          <w:sz w:val="18"/>
          <w:szCs w:val="18"/>
          <w:color w:val="auto"/>
        </w:rPr>
        <w:t>Filer’s SEC File No.: 001-38441</w:t>
      </w:r>
    </w:p>
    <w:p>
      <w:pPr>
        <w:jc w:val="right"/>
        <w:spacing w:after="0"/>
        <w:rPr>
          <w:sz w:val="20"/>
          <w:szCs w:val="20"/>
          <w:color w:val="auto"/>
        </w:rPr>
      </w:pPr>
      <w:r>
        <w:rPr>
          <w:rFonts w:ascii="Arial" w:cs="Arial" w:eastAsia="Arial" w:hAnsi="Arial"/>
          <w:sz w:val="18"/>
          <w:szCs w:val="18"/>
          <w:color w:val="auto"/>
        </w:rPr>
        <w:t>Date: April 2, 2024</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0014DC"/>
        </w:rPr>
        <w:t>Employee Announcement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 am pleased to announce that SLB has reached an </w:t>
      </w:r>
      <w:r>
        <w:rPr>
          <w:rFonts w:ascii="Arial" w:cs="Arial" w:eastAsia="Arial" w:hAnsi="Arial"/>
          <w:sz w:val="18"/>
          <w:szCs w:val="18"/>
          <w:u w:val="single" w:color="auto"/>
          <w:color w:val="0014DC"/>
        </w:rPr>
        <w:t>agreement</w:t>
      </w:r>
      <w:r>
        <w:rPr>
          <w:rFonts w:ascii="Arial" w:cs="Arial" w:eastAsia="Arial" w:hAnsi="Arial"/>
          <w:sz w:val="18"/>
          <w:szCs w:val="18"/>
          <w:color w:val="auto"/>
        </w:rPr>
        <w:t xml:space="preserve"> to purchase ChampionX Corporation.</w:t>
      </w:r>
    </w:p>
    <w:p>
      <w:pPr>
        <w:spacing w:after="0" w:line="104" w:lineRule="exact"/>
        <w:rPr>
          <w:sz w:val="24"/>
          <w:szCs w:val="24"/>
          <w:color w:val="auto"/>
        </w:rPr>
      </w:pPr>
    </w:p>
    <w:p>
      <w:pPr>
        <w:ind w:right="100"/>
        <w:spacing w:after="0" w:line="244" w:lineRule="auto"/>
        <w:rPr>
          <w:sz w:val="20"/>
          <w:szCs w:val="20"/>
          <w:color w:val="auto"/>
        </w:rPr>
      </w:pPr>
      <w:r>
        <w:rPr>
          <w:rFonts w:ascii="Arial" w:cs="Arial" w:eastAsia="Arial" w:hAnsi="Arial"/>
          <w:sz w:val="18"/>
          <w:szCs w:val="18"/>
          <w:color w:val="auto"/>
        </w:rPr>
        <w:t>The combination of the two companies will strengthen SLB as a leader in the production space with world-class production chemicals and artificial lift technologies. ChampionX has a strong position in North America, which—combined with our own global presence—will allow us to expand our chemical and artificial lift portfolios and increase our go-to-market integration for our customers. Our existing production chemicals and artificial lift teams have built a leading, fit-for-basin offering, and the combination of ChampionX with our own expertise will accelerate and enhance our growth in this area.</w:t>
      </w:r>
    </w:p>
    <w:p>
      <w:pPr>
        <w:spacing w:after="0" w:line="176" w:lineRule="exact"/>
        <w:rPr>
          <w:sz w:val="24"/>
          <w:szCs w:val="24"/>
          <w:color w:val="auto"/>
        </w:rPr>
      </w:pPr>
    </w:p>
    <w:p>
      <w:pPr>
        <w:ind w:right="220"/>
        <w:spacing w:after="0" w:line="247" w:lineRule="auto"/>
        <w:rPr>
          <w:sz w:val="20"/>
          <w:szCs w:val="20"/>
          <w:color w:val="auto"/>
        </w:rPr>
      </w:pPr>
      <w:r>
        <w:rPr>
          <w:rFonts w:ascii="Arial" w:cs="Arial" w:eastAsia="Arial" w:hAnsi="Arial"/>
          <w:sz w:val="18"/>
          <w:szCs w:val="18"/>
          <w:color w:val="auto"/>
        </w:rPr>
        <w:t>This acquisition comes at an important time in the industry when our customers are placing a premium on the ability to optimize productivity and look holistically at the entire production system—from reservoir to surface facility, from completion through decommissioning. There is an incredible opportunity in the production operations space to improve recovery, to lower costs and to lower emissions.</w:t>
      </w:r>
    </w:p>
    <w:p>
      <w:pPr>
        <w:spacing w:after="0" w:line="174"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I’m excited about how ChampionX’s technologies and solutions will help us to deliver on our production and recovery strategy and expand the value we provide to our customers and the industry. More details will follow in terms of how we will structure ourselves post-close and how we will begin to integrate and align ChampionX’s portfolio.</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Olivier</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0014DC"/>
        </w:rPr>
        <w:t>Forward-Looking Statements</w:t>
      </w:r>
    </w:p>
    <w:p>
      <w:pPr>
        <w:spacing w:after="0" w:line="104" w:lineRule="exact"/>
        <w:rPr>
          <w:sz w:val="24"/>
          <w:szCs w:val="24"/>
          <w:color w:val="auto"/>
        </w:rPr>
      </w:pPr>
    </w:p>
    <w:p>
      <w:pPr>
        <w:ind w:right="140" w:firstLine="44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and Section 21E of the Exchange Act of 1934, as amended.</w:t>
      </w:r>
    </w:p>
    <w:p>
      <w:pPr>
        <w:spacing w:after="0" w:line="154" w:lineRule="exact"/>
        <w:rPr>
          <w:sz w:val="24"/>
          <w:szCs w:val="24"/>
          <w:color w:val="auto"/>
        </w:rPr>
      </w:pPr>
    </w:p>
    <w:p>
      <w:pPr>
        <w:ind w:right="120" w:firstLine="440"/>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80" w:lineRule="exact"/>
        <w:rPr>
          <w:sz w:val="24"/>
          <w:szCs w:val="24"/>
          <w:color w:val="auto"/>
        </w:rPr>
      </w:pPr>
    </w:p>
    <w:p>
      <w:pPr>
        <w:ind w:right="340" w:firstLine="440"/>
        <w:spacing w:after="0" w:line="253"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w:t>
      </w:r>
    </w:p>
    <w:p>
      <w:pPr>
        <w:sectPr>
          <w:pgSz w:w="11900" w:h="16838" w:orient="portrait"/>
          <w:cols w:equalWidth="0" w:num="1">
            <w:col w:w="11020"/>
          </w:cols>
          <w:pgMar w:left="440" w:top="229" w:right="439" w:bottom="1440" w:gutter="0" w:footer="0" w:header="0"/>
        </w:sectPr>
      </w:pPr>
    </w:p>
    <w:bookmarkStart w:id="1" w:name="page2"/>
    <w:bookmarkEnd w:id="1"/>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93"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0014DC"/>
        </w:rPr>
        <w:t>Additional Information about the Transaction and Where to Find It</w:t>
      </w:r>
    </w:p>
    <w:p>
      <w:pPr>
        <w:spacing w:after="0" w:line="104"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0014DC"/>
        </w:rPr>
        <w:t>Participants in the Solicitation</w:t>
      </w:r>
    </w:p>
    <w:p>
      <w:pPr>
        <w:spacing w:after="0" w:line="10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w:t>
      </w:r>
    </w:p>
    <w:p>
      <w:pPr>
        <w:sectPr>
          <w:pgSz w:w="11900" w:h="16838" w:orient="portrait"/>
          <w:cols w:equalWidth="0" w:num="1">
            <w:col w:w="11000"/>
          </w:cols>
          <w:pgMar w:left="440" w:top="269" w:right="459" w:bottom="1440" w:gutter="0" w:footer="0" w:header="0"/>
        </w:sectPr>
      </w:pPr>
    </w:p>
    <w:bookmarkStart w:id="2" w:name="page3"/>
    <w:bookmarkEnd w:id="2"/>
    <w:p>
      <w:pPr>
        <w:ind w:left="4"/>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 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 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1" w:lineRule="exact"/>
        <w:rPr>
          <w:sz w:val="20"/>
          <w:szCs w:val="20"/>
          <w:color w:val="auto"/>
        </w:rPr>
      </w:pPr>
    </w:p>
    <w:p>
      <w:pPr>
        <w:ind w:left="4" w:right="20" w:hanging="4"/>
        <w:spacing w:after="0" w:line="238" w:lineRule="auto"/>
        <w:tabs>
          <w:tab w:leader="none" w:pos="304"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04"/>
      </w:cols>
      <w:pgMar w:left="436"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2024-04-02T16:25:47Z</dcterms:created>
  <dcterms:modified xsi:type="dcterms:W3CDTF">2024-04-02T16:25:47Z</dcterms:modified>
</cp:coreProperties>
</file>