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September 9, 2020</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Form S-3</w:t>
      </w:r>
    </w:p>
    <w:p>
      <w:pPr>
        <w:spacing w:after="0" w:line="42"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5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4"/>
          <w:szCs w:val="24"/>
          <w:color w:val="auto"/>
        </w:rPr>
      </w:pPr>
    </w:p>
    <w:p>
      <w:pPr>
        <w:jc w:val="center"/>
        <w:ind w:left="920" w:right="1700"/>
        <w:spacing w:after="0" w:line="248" w:lineRule="auto"/>
        <w:rPr>
          <w:sz w:val="20"/>
          <w:szCs w:val="20"/>
          <w:color w:val="auto"/>
        </w:rPr>
      </w:pPr>
      <w:r>
        <w:rPr>
          <w:rFonts w:ascii="Times New Roman" w:cs="Times New Roman" w:eastAsia="Times New Roman" w:hAnsi="Times New Roman"/>
          <w:sz w:val="32"/>
          <w:szCs w:val="32"/>
          <w:b w:val="1"/>
          <w:bCs w:val="1"/>
          <w:color w:val="auto"/>
        </w:rPr>
        <w:t>SCHLUMBERGER N.V. (SCHLUMBERGER LIMITED) SCHLUMBERGER FINANCE CANADA LTD.</w:t>
      </w:r>
    </w:p>
    <w:p>
      <w:pPr>
        <w:spacing w:after="0" w:line="4" w:lineRule="exact"/>
        <w:rPr>
          <w:sz w:val="24"/>
          <w:szCs w:val="24"/>
          <w:color w:val="auto"/>
        </w:rPr>
      </w:pPr>
    </w:p>
    <w:tbl>
      <w:tblPr>
        <w:tblLayout w:type="fixed"/>
        <w:tblInd w:w="2120" w:type="dxa"/>
        <w:tblCellMar>
          <w:top w:w="0" w:type="dxa"/>
          <w:left w:w="0" w:type="dxa"/>
          <w:bottom w:w="0" w:type="dxa"/>
          <w:right w:w="0" w:type="dxa"/>
        </w:tblCellMar>
      </w:tblPr>
      <w:tr>
        <w:trPr>
          <w:trHeight w:val="212"/>
        </w:trPr>
        <w:tc>
          <w:tcPr>
            <w:tcW w:w="1640" w:type="dxa"/>
            <w:vAlign w:val="bottom"/>
          </w:tcPr>
          <w:p>
            <w:pPr>
              <w:spacing w:after="0"/>
              <w:rPr>
                <w:sz w:val="18"/>
                <w:szCs w:val="18"/>
                <w:color w:val="auto"/>
              </w:rPr>
            </w:pPr>
          </w:p>
        </w:tc>
        <w:tc>
          <w:tcPr>
            <w:tcW w:w="594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0" w:type="dxa"/>
            <w:vAlign w:val="bottom"/>
          </w:tcPr>
          <w:p>
            <w:pPr>
              <w:spacing w:after="0"/>
              <w:rPr>
                <w:sz w:val="1"/>
                <w:szCs w:val="1"/>
                <w:color w:val="auto"/>
              </w:rPr>
            </w:pPr>
          </w:p>
        </w:tc>
      </w:tr>
      <w:tr>
        <w:trPr>
          <w:trHeight w:val="215"/>
        </w:trPr>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Schlumberger Limited</w:t>
            </w:r>
          </w:p>
        </w:tc>
        <w:tc>
          <w:tcPr>
            <w:tcW w:w="70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2920" w:type="dxa"/>
            <w:vAlign w:val="bottom"/>
            <w:vMerge w:val="restart"/>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rPr>
              <w:t>Schlumberger Finance Canada Ltd.</w:t>
            </w:r>
          </w:p>
        </w:tc>
        <w:tc>
          <w:tcPr>
            <w:tcW w:w="0" w:type="dxa"/>
            <w:vAlign w:val="bottom"/>
          </w:tcPr>
          <w:p>
            <w:pPr>
              <w:spacing w:after="0"/>
              <w:rPr>
                <w:sz w:val="1"/>
                <w:szCs w:val="1"/>
                <w:color w:val="auto"/>
              </w:rPr>
            </w:pPr>
          </w:p>
        </w:tc>
      </w:tr>
      <w:tr>
        <w:trPr>
          <w:trHeight w:val="342"/>
        </w:trPr>
        <w:tc>
          <w:tcPr>
            <w:tcW w:w="16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Curaçao</w:t>
            </w: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920" w:type="dxa"/>
            <w:vAlign w:val="bottom"/>
          </w:tcPr>
          <w:p>
            <w:pPr>
              <w:jc w:val="center"/>
              <w:ind w:left="359"/>
              <w:spacing w:after="0"/>
              <w:rPr>
                <w:sz w:val="20"/>
                <w:szCs w:val="20"/>
                <w:color w:val="auto"/>
              </w:rPr>
            </w:pPr>
            <w:r>
              <w:rPr>
                <w:rFonts w:ascii="Times New Roman" w:cs="Times New Roman" w:eastAsia="Times New Roman" w:hAnsi="Times New Roman"/>
                <w:sz w:val="16"/>
                <w:szCs w:val="16"/>
                <w:b w:val="1"/>
                <w:bCs w:val="1"/>
                <w:color w:val="auto"/>
                <w:w w:val="99"/>
              </w:rPr>
              <w:t>Alberta</w:t>
            </w: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0640"/>
          </w:cols>
          <w:pgMar w:left="320" w:top="226" w:right="939" w:bottom="1440" w:gutter="0" w:footer="0" w:header="0"/>
        </w:sectPr>
      </w:pPr>
    </w:p>
    <w:p>
      <w:pPr>
        <w:ind w:left="20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86" w:lineRule="exact"/>
        <w:rPr>
          <w:sz w:val="24"/>
          <w:szCs w:val="24"/>
          <w:color w:val="auto"/>
        </w:rPr>
      </w:pPr>
    </w:p>
    <w:p>
      <w:pPr>
        <w:sectPr>
          <w:pgSz w:w="11900" w:h="16838" w:orient="portrait"/>
          <w:cols w:equalWidth="0" w:num="2">
            <w:col w:w="6800" w:space="720"/>
            <w:col w:w="3120"/>
          </w:cols>
          <w:pgMar w:left="320" w:top="226" w:right="939" w:bottom="1440" w:gutter="0" w:footer="0" w:header="0"/>
          <w:type w:val="continuous"/>
        </w:sectPr>
      </w:pPr>
    </w:p>
    <w:tbl>
      <w:tblPr>
        <w:tblLayout w:type="fixed"/>
        <w:tblInd w:w="1980" w:type="dxa"/>
        <w:tblCellMar>
          <w:top w:w="0" w:type="dxa"/>
          <w:left w:w="0" w:type="dxa"/>
          <w:bottom w:w="0" w:type="dxa"/>
          <w:right w:w="0" w:type="dxa"/>
        </w:tblCellMar>
      </w:tblPr>
      <w:tr>
        <w:trPr>
          <w:trHeight w:val="194"/>
        </w:trPr>
        <w:tc>
          <w:tcPr>
            <w:tcW w:w="3700" w:type="dxa"/>
            <w:vAlign w:val="bottom"/>
          </w:tcPr>
          <w:p>
            <w:pPr>
              <w:jc w:val="right"/>
              <w:ind w:right="2545"/>
              <w:spacing w:after="0"/>
              <w:rPr>
                <w:sz w:val="20"/>
                <w:szCs w:val="20"/>
                <w:color w:val="auto"/>
              </w:rPr>
            </w:pPr>
            <w:r>
              <w:rPr>
                <w:rFonts w:ascii="Times New Roman" w:cs="Times New Roman" w:eastAsia="Times New Roman" w:hAnsi="Times New Roman"/>
                <w:sz w:val="16"/>
                <w:szCs w:val="16"/>
                <w:b w:val="1"/>
                <w:bCs w:val="1"/>
                <w:color w:val="auto"/>
              </w:rPr>
              <w:t>1389</w:t>
            </w:r>
          </w:p>
        </w:tc>
        <w:tc>
          <w:tcPr>
            <w:tcW w:w="3700" w:type="dxa"/>
            <w:vAlign w:val="bottom"/>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1389</w:t>
            </w:r>
          </w:p>
        </w:tc>
      </w:tr>
      <w:tr>
        <w:trPr>
          <w:trHeight w:val="148"/>
        </w:trPr>
        <w:tc>
          <w:tcPr>
            <w:tcW w:w="3700" w:type="dxa"/>
            <w:vAlign w:val="bottom"/>
          </w:tcPr>
          <w:p>
            <w:pPr>
              <w:jc w:val="center"/>
              <w:ind w:right="178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3700" w:type="dxa"/>
            <w:vAlign w:val="bottom"/>
          </w:tcPr>
          <w:p>
            <w:pPr>
              <w:jc w:val="center"/>
              <w:ind w:left="178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r>
      <w:tr>
        <w:trPr>
          <w:trHeight w:val="190"/>
        </w:trPr>
        <w:tc>
          <w:tcPr>
            <w:tcW w:w="3700" w:type="dxa"/>
            <w:vAlign w:val="bottom"/>
          </w:tcPr>
          <w:p>
            <w:pPr>
              <w:jc w:val="center"/>
              <w:ind w:right="180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3700" w:type="dxa"/>
            <w:vAlign w:val="bottom"/>
          </w:tcPr>
          <w:p>
            <w:pPr>
              <w:jc w:val="center"/>
              <w:ind w:left="178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r>
      <w:tr>
        <w:trPr>
          <w:trHeight w:val="269"/>
        </w:trPr>
        <w:tc>
          <w:tcPr>
            <w:tcW w:w="3700" w:type="dxa"/>
            <w:vAlign w:val="bottom"/>
          </w:tcPr>
          <w:p>
            <w:pPr>
              <w:jc w:val="right"/>
              <w:ind w:right="2325"/>
              <w:spacing w:after="0"/>
              <w:rPr>
                <w:sz w:val="20"/>
                <w:szCs w:val="20"/>
                <w:color w:val="auto"/>
              </w:rPr>
            </w:pPr>
            <w:r>
              <w:rPr>
                <w:rFonts w:ascii="Times New Roman" w:cs="Times New Roman" w:eastAsia="Times New Roman" w:hAnsi="Times New Roman"/>
                <w:sz w:val="16"/>
                <w:szCs w:val="16"/>
                <w:b w:val="1"/>
                <w:bCs w:val="1"/>
                <w:color w:val="auto"/>
              </w:rPr>
              <w:t>52-0684746</w:t>
            </w:r>
          </w:p>
        </w:tc>
        <w:tc>
          <w:tcPr>
            <w:tcW w:w="3700" w:type="dxa"/>
            <w:vAlign w:val="bottom"/>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00-0000000</w:t>
            </w:r>
          </w:p>
        </w:tc>
      </w:tr>
      <w:tr>
        <w:trPr>
          <w:trHeight w:val="149"/>
        </w:trPr>
        <w:tc>
          <w:tcPr>
            <w:tcW w:w="3700" w:type="dxa"/>
            <w:vAlign w:val="bottom"/>
          </w:tcPr>
          <w:p>
            <w:pPr>
              <w:jc w:val="center"/>
              <w:ind w:right="17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3700" w:type="dxa"/>
            <w:vAlign w:val="bottom"/>
          </w:tcPr>
          <w:p>
            <w:pPr>
              <w:jc w:val="center"/>
              <w:ind w:left="17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3700" w:type="dxa"/>
            <w:vAlign w:val="bottom"/>
          </w:tcPr>
          <w:p>
            <w:pPr>
              <w:jc w:val="center"/>
              <w:ind w:left="178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75" w:lineRule="exact"/>
        <w:rPr>
          <w:sz w:val="24"/>
          <w:szCs w:val="24"/>
          <w:color w:val="auto"/>
        </w:rPr>
      </w:pPr>
    </w:p>
    <w:p>
      <w:pPr>
        <w:sectPr>
          <w:pgSz w:w="11900" w:h="16838" w:orient="portrait"/>
          <w:cols w:equalWidth="0" w:num="1">
            <w:col w:w="10640"/>
          </w:cols>
          <w:pgMar w:left="320" w:top="226" w:right="939" w:bottom="1440" w:gutter="0" w:footer="0" w:header="0"/>
          <w:type w:val="continuous"/>
        </w:sect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Schlumberger Limited</w:t>
      </w:r>
    </w:p>
    <w:p>
      <w:pPr>
        <w:spacing w:after="0" w:line="2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42 rue Saint-Dominique</w:t>
      </w:r>
    </w:p>
    <w:p>
      <w:pPr>
        <w:spacing w:after="0" w:line="1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Paris, France 75007</w:t>
      </w:r>
    </w:p>
    <w:p>
      <w:pPr>
        <w:spacing w:after="0" w:line="1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+33 1-4062-1000</w:t>
      </w:r>
    </w:p>
    <w:p>
      <w:pPr>
        <w:spacing w:after="0" w:line="200" w:lineRule="exact"/>
        <w:rPr>
          <w:sz w:val="24"/>
          <w:szCs w:val="24"/>
          <w:color w:val="auto"/>
        </w:rPr>
      </w:pPr>
    </w:p>
    <w:p>
      <w:pPr>
        <w:spacing w:after="0" w:line="214"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5599 San Felipe, 17th Floor</w:t>
      </w:r>
    </w:p>
    <w:p>
      <w:pPr>
        <w:spacing w:after="0" w:line="2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Houston, Texas, U.S.A. 77056</w:t>
      </w:r>
    </w:p>
    <w:p>
      <w:pPr>
        <w:spacing w:after="0" w:line="1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(713) 513-2000</w:t>
      </w:r>
    </w:p>
    <w:p>
      <w:pPr>
        <w:spacing w:after="0" w:line="117"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62 Buckingham Gate</w:t>
      </w:r>
    </w:p>
    <w:p>
      <w:pPr>
        <w:spacing w:after="0" w:line="2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London, United Kingdom SW1E 6AJ</w:t>
      </w:r>
    </w:p>
    <w:p>
      <w:pPr>
        <w:spacing w:after="0" w:line="1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+44 20-3708-3000</w:t>
      </w:r>
    </w:p>
    <w:p>
      <w:pPr>
        <w:spacing w:after="0" w:line="117"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Parkstraat 83</w:t>
      </w:r>
    </w:p>
    <w:p>
      <w:pPr>
        <w:spacing w:after="0" w:line="28"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The Hague, The Netherlands 2514 JG</w:t>
      </w:r>
    </w:p>
    <w:p>
      <w:pPr>
        <w:spacing w:after="0" w:line="19"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6"/>
          <w:szCs w:val="16"/>
          <w:b w:val="1"/>
          <w:bCs w:val="1"/>
          <w:color w:val="auto"/>
        </w:rPr>
        <w:t>+31 70-310-5400</w:t>
      </w:r>
    </w:p>
    <w:p>
      <w:pPr>
        <w:spacing w:after="0" w:line="5"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(Address, including zip code, and</w:t>
      </w:r>
    </w:p>
    <w:p>
      <w:pPr>
        <w:jc w:val="center"/>
        <w:ind w:right="680"/>
        <w:spacing w:after="0" w:line="221" w:lineRule="auto"/>
        <w:rPr>
          <w:sz w:val="20"/>
          <w:szCs w:val="20"/>
          <w:color w:val="auto"/>
        </w:rPr>
      </w:pPr>
      <w:r>
        <w:rPr>
          <w:rFonts w:ascii="Times New Roman" w:cs="Times New Roman" w:eastAsia="Times New Roman" w:hAnsi="Times New Roman"/>
          <w:sz w:val="14"/>
          <w:szCs w:val="14"/>
          <w:b w:val="1"/>
          <w:bCs w:val="1"/>
          <w:color w:val="auto"/>
        </w:rPr>
        <w:t>telephone number, including area code,</w:t>
      </w:r>
    </w:p>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Schlumberger Finance Canada Ltd.</w:t>
      </w:r>
    </w:p>
    <w:p>
      <w:pPr>
        <w:spacing w:after="0" w:line="28"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200, 125 – 9th Avenue S.E.</w:t>
      </w:r>
    </w:p>
    <w:p>
      <w:pPr>
        <w:spacing w:after="0" w:line="1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Calgary, Alberta</w:t>
      </w:r>
    </w:p>
    <w:p>
      <w:pPr>
        <w:spacing w:after="0" w:line="1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T2G OP6</w:t>
      </w:r>
    </w:p>
    <w:p>
      <w:pPr>
        <w:spacing w:after="0" w:line="1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Canada</w:t>
      </w:r>
    </w:p>
    <w:p>
      <w:pPr>
        <w:spacing w:after="0" w:line="19" w:lineRule="exact"/>
        <w:rPr>
          <w:sz w:val="24"/>
          <w:szCs w:val="24"/>
          <w:color w:val="auto"/>
        </w:rPr>
      </w:pPr>
    </w:p>
    <w:p>
      <w:pPr>
        <w:ind w:left="1140" w:hanging="387"/>
        <w:spacing w:after="0"/>
        <w:tabs>
          <w:tab w:leader="none" w:pos="114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513-2000</w:t>
      </w:r>
    </w:p>
    <w:p>
      <w:pPr>
        <w:spacing w:after="0" w:line="17" w:lineRule="exact"/>
        <w:rPr>
          <w:rFonts w:ascii="Times New Roman" w:cs="Times New Roman" w:eastAsia="Times New Roman" w:hAnsi="Times New Roman"/>
          <w:sz w:val="16"/>
          <w:szCs w:val="16"/>
          <w:b w:val="1"/>
          <w:bCs w:val="1"/>
          <w:color w:val="auto"/>
        </w:rPr>
      </w:pPr>
    </w:p>
    <w:p>
      <w:pPr>
        <w:ind w:left="240"/>
        <w:spacing w:after="0" w:line="22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4"/>
          <w:szCs w:val="14"/>
          <w:b w:val="1"/>
          <w:bCs w:val="1"/>
          <w:color w:val="auto"/>
        </w:rPr>
        <w:t>(Address, including zip code, and</w:t>
      </w:r>
    </w:p>
    <w:p>
      <w:pPr>
        <w:jc w:val="center"/>
        <w:ind w:right="920"/>
        <w:spacing w:after="0" w:line="221" w:lineRule="auto"/>
        <w:rPr>
          <w:sz w:val="20"/>
          <w:szCs w:val="20"/>
          <w:color w:val="auto"/>
        </w:rPr>
      </w:pPr>
      <w:r>
        <w:rPr>
          <w:rFonts w:ascii="Times New Roman" w:cs="Times New Roman" w:eastAsia="Times New Roman" w:hAnsi="Times New Roman"/>
          <w:sz w:val="14"/>
          <w:szCs w:val="14"/>
          <w:b w:val="1"/>
          <w:bCs w:val="1"/>
          <w:color w:val="auto"/>
        </w:rPr>
        <w:t>telephone number, including area code,</w:t>
      </w:r>
    </w:p>
    <w:p>
      <w:pPr>
        <w:spacing w:after="0" w:line="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of registrant’s principal executive offices)</w:t>
      </w:r>
    </w:p>
    <w:p>
      <w:pPr>
        <w:spacing w:after="0" w:line="2238" w:lineRule="exact"/>
        <w:rPr>
          <w:sz w:val="24"/>
          <w:szCs w:val="24"/>
          <w:color w:val="auto"/>
        </w:rPr>
      </w:pPr>
    </w:p>
    <w:p>
      <w:pPr>
        <w:sectPr>
          <w:pgSz w:w="11900" w:h="16838" w:orient="portrait"/>
          <w:cols w:equalWidth="0" w:num="2">
            <w:col w:w="6480" w:space="720"/>
            <w:col w:w="3440"/>
          </w:cols>
          <w:pgMar w:left="320" w:top="226" w:right="939" w:bottom="1440" w:gutter="0" w:footer="0" w:header="0"/>
          <w:type w:val="continuous"/>
        </w:sectPr>
      </w:pPr>
    </w:p>
    <w:p>
      <w:pPr>
        <w:spacing w:after="0" w:line="181" w:lineRule="exact"/>
        <w:rPr>
          <w:sz w:val="24"/>
          <w:szCs w:val="24"/>
          <w:color w:val="auto"/>
        </w:rPr>
      </w:pPr>
    </w:p>
    <w:tbl>
      <w:tblPr>
        <w:tblLayout w:type="fixed"/>
        <w:tblInd w:w="1740" w:type="dxa"/>
        <w:tblCellMar>
          <w:top w:w="0" w:type="dxa"/>
          <w:left w:w="0" w:type="dxa"/>
          <w:bottom w:w="0" w:type="dxa"/>
          <w:right w:w="0" w:type="dxa"/>
        </w:tblCellMar>
      </w:tblPr>
      <w:tr>
        <w:trPr>
          <w:trHeight w:val="205"/>
        </w:trPr>
        <w:tc>
          <w:tcPr>
            <w:tcW w:w="394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Saul R. Laureles</w:t>
            </w:r>
          </w:p>
        </w:tc>
        <w:tc>
          <w:tcPr>
            <w:tcW w:w="392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tc>
      </w:tr>
      <w:tr>
        <w:trPr>
          <w:trHeight w:val="203"/>
        </w:trPr>
        <w:tc>
          <w:tcPr>
            <w:tcW w:w="394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Director, Corporate Legal Affairs</w:t>
            </w:r>
          </w:p>
        </w:tc>
        <w:tc>
          <w:tcPr>
            <w:tcW w:w="392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rPr>
              <w:t>Andrew L. Fabens</w:t>
            </w:r>
          </w:p>
        </w:tc>
      </w:tr>
      <w:tr>
        <w:trPr>
          <w:trHeight w:val="203"/>
        </w:trPr>
        <w:tc>
          <w:tcPr>
            <w:tcW w:w="394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Schlumberger Limited</w:t>
            </w:r>
          </w:p>
        </w:tc>
        <w:tc>
          <w:tcPr>
            <w:tcW w:w="392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rPr>
              <w:t>Gibson, Dunn &amp; Crutcher LLP</w:t>
            </w:r>
          </w:p>
        </w:tc>
      </w:tr>
      <w:tr>
        <w:trPr>
          <w:trHeight w:val="203"/>
        </w:trPr>
        <w:tc>
          <w:tcPr>
            <w:tcW w:w="3940" w:type="dxa"/>
            <w:vAlign w:val="bottom"/>
          </w:tcPr>
          <w:p>
            <w:pPr>
              <w:jc w:val="center"/>
              <w:ind w:right="1559"/>
              <w:spacing w:after="0"/>
              <w:rPr>
                <w:sz w:val="20"/>
                <w:szCs w:val="20"/>
                <w:color w:val="auto"/>
              </w:rPr>
            </w:pPr>
            <w:r>
              <w:rPr>
                <w:rFonts w:ascii="Times New Roman" w:cs="Times New Roman" w:eastAsia="Times New Roman" w:hAnsi="Times New Roman"/>
                <w:sz w:val="16"/>
                <w:szCs w:val="16"/>
                <w:b w:val="1"/>
                <w:bCs w:val="1"/>
                <w:color w:val="auto"/>
              </w:rPr>
              <w:t>5599 San Felipe, 17th Floor</w:t>
            </w:r>
          </w:p>
        </w:tc>
        <w:tc>
          <w:tcPr>
            <w:tcW w:w="392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w w:val="98"/>
              </w:rPr>
              <w:t>200 Park Avenue</w:t>
            </w:r>
          </w:p>
        </w:tc>
      </w:tr>
      <w:tr>
        <w:trPr>
          <w:trHeight w:val="203"/>
        </w:trPr>
        <w:tc>
          <w:tcPr>
            <w:tcW w:w="394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rPr>
              <w:t>Houston, Texas, U.S.A. 77056</w:t>
            </w:r>
          </w:p>
        </w:tc>
        <w:tc>
          <w:tcPr>
            <w:tcW w:w="392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w w:val="99"/>
              </w:rPr>
              <w:t>New York, New York 10166-0193</w:t>
            </w:r>
          </w:p>
        </w:tc>
      </w:tr>
      <w:tr>
        <w:trPr>
          <w:trHeight w:val="212"/>
        </w:trPr>
        <w:tc>
          <w:tcPr>
            <w:tcW w:w="3940" w:type="dxa"/>
            <w:vAlign w:val="bottom"/>
          </w:tcPr>
          <w:p>
            <w:pPr>
              <w:jc w:val="center"/>
              <w:ind w:right="1539"/>
              <w:spacing w:after="0"/>
              <w:rPr>
                <w:sz w:val="20"/>
                <w:szCs w:val="20"/>
                <w:color w:val="auto"/>
              </w:rPr>
            </w:pPr>
            <w:r>
              <w:rPr>
                <w:rFonts w:ascii="Times New Roman" w:cs="Times New Roman" w:eastAsia="Times New Roman" w:hAnsi="Times New Roman"/>
                <w:sz w:val="16"/>
                <w:szCs w:val="16"/>
                <w:b w:val="1"/>
                <w:bCs w:val="1"/>
                <w:color w:val="auto"/>
                <w:w w:val="99"/>
              </w:rPr>
              <w:t>(713) 513-2000</w:t>
            </w:r>
          </w:p>
        </w:tc>
        <w:tc>
          <w:tcPr>
            <w:tcW w:w="3920" w:type="dxa"/>
            <w:vAlign w:val="bottom"/>
          </w:tcPr>
          <w:p>
            <w:pPr>
              <w:jc w:val="center"/>
              <w:ind w:left="1559"/>
              <w:spacing w:after="0"/>
              <w:rPr>
                <w:sz w:val="20"/>
                <w:szCs w:val="20"/>
                <w:color w:val="auto"/>
              </w:rPr>
            </w:pPr>
            <w:r>
              <w:rPr>
                <w:rFonts w:ascii="Times New Roman" w:cs="Times New Roman" w:eastAsia="Times New Roman" w:hAnsi="Times New Roman"/>
                <w:sz w:val="16"/>
                <w:szCs w:val="16"/>
                <w:b w:val="1"/>
                <w:bCs w:val="1"/>
                <w:color w:val="auto"/>
                <w:w w:val="99"/>
              </w:rPr>
              <w:t>(212) 351-4000</w:t>
            </w:r>
          </w:p>
        </w:tc>
      </w:tr>
    </w:tbl>
    <w:p>
      <w:pPr>
        <w:ind w:left="1360"/>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w:t>
      </w:r>
    </w:p>
    <w:p>
      <w:pPr>
        <w:ind w:left="1380"/>
        <w:spacing w:after="0"/>
        <w:rPr>
          <w:sz w:val="20"/>
          <w:szCs w:val="20"/>
          <w:color w:val="auto"/>
        </w:rPr>
      </w:pPr>
      <w:r>
        <w:rPr>
          <w:rFonts w:ascii="Times New Roman" w:cs="Times New Roman" w:eastAsia="Times New Roman" w:hAnsi="Times New Roman"/>
          <w:sz w:val="14"/>
          <w:szCs w:val="14"/>
          <w:b w:val="1"/>
          <w:bCs w:val="1"/>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640"/>
          </w:cols>
          <w:pgMar w:left="320" w:top="226" w:right="9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120" w:right="6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 as determined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128270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4" w:lineRule="exact"/>
        <w:rPr>
          <w:sz w:val="20"/>
          <w:szCs w:val="20"/>
          <w:color w:val="auto"/>
        </w:rPr>
      </w:pPr>
    </w:p>
    <w:p>
      <w:pPr>
        <w:ind w:left="560"/>
        <w:spacing w:after="0" w:line="184"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53" w:lineRule="exact"/>
        <w:rPr>
          <w:sz w:val="20"/>
          <w:szCs w:val="20"/>
          <w:color w:val="auto"/>
        </w:rPr>
      </w:pPr>
    </w:p>
    <w:p>
      <w:pPr>
        <w:ind w:left="120" w:right="3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82" w:lineRule="exact"/>
        <w:rPr>
          <w:sz w:val="20"/>
          <w:szCs w:val="20"/>
          <w:color w:val="auto"/>
        </w:rPr>
      </w:pPr>
    </w:p>
    <w:p>
      <w:pPr>
        <w:ind w:left="120" w:right="2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0"/>
          <w:szCs w:val="20"/>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2" w:lineRule="exact"/>
        <w:rPr>
          <w:sz w:val="20"/>
          <w:szCs w:val="20"/>
          <w:color w:val="auto"/>
        </w:rPr>
      </w:pPr>
    </w:p>
    <w:p>
      <w:pPr>
        <w:ind w:left="120" w:right="16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pacing w:after="0" w:line="82" w:lineRule="exact"/>
        <w:rPr>
          <w:sz w:val="20"/>
          <w:szCs w:val="20"/>
          <w:color w:val="auto"/>
        </w:rPr>
      </w:pPr>
    </w:p>
    <w:p>
      <w:pPr>
        <w:ind w:left="120" w:right="180" w:firstLine="4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82" w:lineRule="exact"/>
        <w:rPr>
          <w:sz w:val="20"/>
          <w:szCs w:val="20"/>
          <w:color w:val="auto"/>
        </w:rPr>
      </w:pPr>
    </w:p>
    <w:p>
      <w:pPr>
        <w:jc w:val="both"/>
        <w:ind w:left="120" w:right="12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4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522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2" w:lineRule="exact"/>
        <w:rPr>
          <w:sz w:val="20"/>
          <w:szCs w:val="20"/>
          <w:color w:val="auto"/>
        </w:rPr>
      </w:pPr>
    </w:p>
    <w:p>
      <w:pPr>
        <w:ind w:left="120" w:right="3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CALCULATION OF REGISTRATION FEE</w:t>
      </w:r>
    </w:p>
    <w:p>
      <w:pPr>
        <w:spacing w:after="0" w:line="95" w:lineRule="exact"/>
        <w:rPr>
          <w:sz w:val="20"/>
          <w:szCs w:val="20"/>
          <w:color w:val="auto"/>
        </w:rPr>
      </w:pPr>
    </w:p>
    <w:tbl>
      <w:tblPr>
        <w:tblLayout w:type="fixed"/>
        <w:tblInd w:w="12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9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60" w:type="dxa"/>
            <w:vAlign w:val="bottom"/>
            <w:tcBorders>
              <w:right w:val="single" w:sz="8" w:color="auto"/>
            </w:tcBorders>
          </w:tcPr>
          <w:p>
            <w:pPr>
              <w:jc w:val="center"/>
              <w:ind w:left="6"/>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76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78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76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740" w:type="dxa"/>
            <w:vAlign w:val="bottom"/>
            <w:vMerge w:val="restart"/>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3980" w:type="dxa"/>
            <w:vAlign w:val="bottom"/>
            <w:tcBorders>
              <w:right w:val="single" w:sz="8" w:color="auto"/>
            </w:tcBorders>
            <w:vMerge w:val="continue"/>
          </w:tcPr>
          <w:p>
            <w:pPr>
              <w:spacing w:after="0"/>
              <w:rPr>
                <w:sz w:val="12"/>
                <w:szCs w:val="12"/>
                <w:color w:val="auto"/>
              </w:rPr>
            </w:pPr>
          </w:p>
        </w:tc>
        <w:tc>
          <w:tcPr>
            <w:tcW w:w="1780" w:type="dxa"/>
            <w:vAlign w:val="bottom"/>
            <w:tcBorders>
              <w:right w:val="single" w:sz="8" w:color="auto"/>
            </w:tcBorders>
          </w:tcPr>
          <w:p>
            <w:pPr>
              <w:jc w:val="center"/>
              <w:ind w:left="4"/>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760" w:type="dxa"/>
            <w:vAlign w:val="bottom"/>
            <w:tcBorders>
              <w:right w:val="single" w:sz="8" w:color="auto"/>
            </w:tcBorders>
          </w:tcPr>
          <w:p>
            <w:pPr>
              <w:jc w:val="center"/>
              <w:ind w:left="6"/>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78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176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76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74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Senior Debt Securities of Schlumberger Finance Canada Ltd.</w:t>
            </w:r>
          </w:p>
        </w:tc>
        <w:tc>
          <w:tcPr>
            <w:tcW w:w="178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6"/>
                <w:szCs w:val="16"/>
                <w:color w:val="auto"/>
              </w:rPr>
              <w:t>(1)</w:t>
            </w:r>
          </w:p>
        </w:tc>
        <w:tc>
          <w:tcPr>
            <w:tcW w:w="176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6"/>
                <w:szCs w:val="16"/>
                <w:color w:val="auto"/>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174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6"/>
                <w:szCs w:val="16"/>
                <w:color w:val="auto"/>
                <w:w w:val="96"/>
              </w:rPr>
              <w:t>(2)</w:t>
            </w:r>
          </w:p>
        </w:tc>
        <w:tc>
          <w:tcPr>
            <w:tcW w:w="0" w:type="dxa"/>
            <w:vAlign w:val="bottom"/>
          </w:tcPr>
          <w:p>
            <w:pPr>
              <w:spacing w:after="0"/>
              <w:rPr>
                <w:sz w:val="1"/>
                <w:szCs w:val="1"/>
                <w:color w:val="auto"/>
              </w:rPr>
            </w:pPr>
          </w:p>
        </w:tc>
      </w:tr>
      <w:tr>
        <w:trPr>
          <w:trHeight w:val="182"/>
        </w:trPr>
        <w:tc>
          <w:tcPr>
            <w:tcW w:w="398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6"/>
                <w:szCs w:val="16"/>
                <w:color w:val="auto"/>
              </w:rPr>
              <w:t>Guarantees of Senior Debt Securities of Schlumberger</w:t>
            </w:r>
          </w:p>
        </w:tc>
        <w:tc>
          <w:tcPr>
            <w:tcW w:w="178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760" w:type="dxa"/>
            <w:vAlign w:val="bottom"/>
            <w:tcBorders>
              <w:right w:val="single" w:sz="8" w:color="auto"/>
            </w:tcBorders>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Finance Canada Ltd. by Schlumberger Limited (3)</w:t>
            </w:r>
          </w:p>
        </w:tc>
        <w:tc>
          <w:tcPr>
            <w:tcW w:w="1780" w:type="dxa"/>
            <w:vAlign w:val="bottom"/>
            <w:tcBorders>
              <w:bottom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6"/>
                <w:szCs w:val="16"/>
                <w:color w:val="auto"/>
              </w:rPr>
              <w:t>(1)</w:t>
            </w:r>
          </w:p>
        </w:tc>
        <w:tc>
          <w:tcPr>
            <w:tcW w:w="1760" w:type="dxa"/>
            <w:vAlign w:val="bottom"/>
            <w:tcBorders>
              <w:bottom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16"/>
                <w:szCs w:val="16"/>
                <w:color w:val="auto"/>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1740" w:type="dxa"/>
            <w:vAlign w:val="bottom"/>
            <w:tcBorders>
              <w:bottom w:val="single" w:sz="8" w:color="auto"/>
            </w:tcBorders>
          </w:tcPr>
          <w:p>
            <w:pPr>
              <w:jc w:val="center"/>
              <w:ind w:left="4"/>
              <w:spacing w:after="0"/>
              <w:rPr>
                <w:sz w:val="20"/>
                <w:szCs w:val="20"/>
                <w:color w:val="auto"/>
              </w:rPr>
            </w:pPr>
            <w:r>
              <w:rPr>
                <w:rFonts w:ascii="Times New Roman" w:cs="Times New Roman" w:eastAsia="Times New Roman" w:hAnsi="Times New Roman"/>
                <w:sz w:val="16"/>
                <w:szCs w:val="16"/>
                <w:color w:val="auto"/>
                <w:w w:val="96"/>
              </w:rPr>
              <w:t>(2)</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140" w:hanging="424"/>
        <w:spacing w:after="0" w:line="269" w:lineRule="auto"/>
        <w:tabs>
          <w:tab w:leader="none" w:pos="5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Omitted pursuant to General Instructions II.E of Form S-3. An indeterminate amount of securities of each identified class is being registered as may from time to time be issued at indeterminate prices.</w:t>
      </w:r>
    </w:p>
    <w:p>
      <w:pPr>
        <w:ind w:left="540" w:hanging="424"/>
        <w:spacing w:after="0"/>
        <w:tabs>
          <w:tab w:leader="none" w:pos="5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Rules 456(b) and 457(r) of the Securities Act, the registrant is deferring payment of all of the registration fee.</w:t>
      </w:r>
    </w:p>
    <w:p>
      <w:pPr>
        <w:spacing w:after="0" w:line="18" w:lineRule="exact"/>
        <w:rPr>
          <w:rFonts w:ascii="Times New Roman" w:cs="Times New Roman" w:eastAsia="Times New Roman" w:hAnsi="Times New Roman"/>
          <w:sz w:val="16"/>
          <w:szCs w:val="16"/>
          <w:color w:val="auto"/>
        </w:rPr>
      </w:pPr>
    </w:p>
    <w:p>
      <w:pPr>
        <w:ind w:left="540" w:hanging="424"/>
        <w:spacing w:after="0"/>
        <w:tabs>
          <w:tab w:leader="none" w:pos="5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457(n) of the Securities Act, no separate fee is payable with respect to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161290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204470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97155</wp:posOffset>
            </wp:positionV>
            <wp:extent cx="1482725"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272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Schlumberger Finance Canada Ltd.</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Senior Debt Securities</w:t>
      </w:r>
    </w:p>
    <w:p>
      <w:pPr>
        <w:spacing w:after="0" w:line="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Fully and Unconditionally Guaranteed by</w:t>
      </w:r>
    </w:p>
    <w:p>
      <w:pPr>
        <w:spacing w:after="0" w:line="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120" w:right="360" w:firstLine="440"/>
        <w:spacing w:after="0" w:line="258" w:lineRule="auto"/>
        <w:rPr>
          <w:sz w:val="20"/>
          <w:szCs w:val="20"/>
          <w:color w:val="auto"/>
        </w:rPr>
      </w:pPr>
      <w:r>
        <w:rPr>
          <w:rFonts w:ascii="Times New Roman" w:cs="Times New Roman" w:eastAsia="Times New Roman" w:hAnsi="Times New Roman"/>
          <w:sz w:val="18"/>
          <w:szCs w:val="18"/>
          <w:color w:val="auto"/>
        </w:rPr>
        <w:t>Schlumberger Finance Canada Ltd. (the “Company”) may, from time to time, offer to sell senior debt securities. Schlumberger Limited (the “Guarantor”), the ultimate parent company of the Company, will fully and unconditionally guarantee such senior debt securities. Each time we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213995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firstLine="440"/>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securities involves risks. You should carefully consider the information in the “</w:t>
      </w:r>
      <w:hyperlink w:anchor="page8">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4 of this prospectus, including those risks incorporated by reference in this prospectus and in any prospectus supplement, before deciding whether to invest in the offered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212090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right="4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date of this prospectus is September 9, 2020</w:t>
      </w:r>
    </w:p>
    <w:p>
      <w:pPr>
        <w:sectPr>
          <w:pgSz w:w="11900" w:h="16838" w:orient="portrait"/>
          <w:cols w:equalWidth="0" w:num="1">
            <w:col w:w="11080"/>
          </w:cols>
          <w:pgMar w:left="320" w:top="455"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tc>
        <w:tc>
          <w:tcPr>
            <w:tcW w:w="6280" w:type="dxa"/>
            <w:vAlign w:val="bottom"/>
          </w:tcPr>
          <w:p>
            <w:pPr>
              <w:spacing w:after="0"/>
              <w:rPr>
                <w:sz w:val="20"/>
                <w:szCs w:val="20"/>
                <w:color w:val="auto"/>
              </w:rPr>
            </w:pPr>
          </w:p>
        </w:tc>
      </w:tr>
      <w:tr>
        <w:trPr>
          <w:trHeight w:val="513"/>
        </w:trPr>
        <w:tc>
          <w:tcPr>
            <w:tcW w:w="4800" w:type="dxa"/>
            <w:vAlign w:val="bottom"/>
          </w:tcPr>
          <w:p>
            <w:pPr>
              <w:spacing w:after="0"/>
              <w:rPr>
                <w:sz w:val="24"/>
                <w:szCs w:val="24"/>
                <w:color w:val="auto"/>
              </w:rPr>
            </w:pPr>
          </w:p>
        </w:tc>
        <w:tc>
          <w:tcPr>
            <w:tcW w:w="6280" w:type="dxa"/>
            <w:vAlign w:val="bottom"/>
          </w:tcPr>
          <w:p>
            <w:pPr>
              <w:jc w:val="right"/>
              <w:ind w:right="469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41"/>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this Prospectus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the Guarantor</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About the Company</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Cautionary Statement Regarding Forward-Looking Statements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Risk Factors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Where You Can Find More Information</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Incorporation of Documents by Reference</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Use of Proceeds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Description of Debt Securities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Plan of Distribution</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Validity of the Securities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4800" w:type="dxa"/>
            <w:vAlign w:val="bottom"/>
          </w:tcPr>
          <w:p>
            <w:pPr>
              <w:ind w:left="120"/>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Experts</w:t>
              </w:r>
            </w:hyperlink>
          </w:p>
        </w:tc>
        <w:tc>
          <w:tcPr>
            <w:tcW w:w="6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Neither the Company nor the Guarantor have authorized any other person to provide you with information other than that contained or incorporated by reference in this prospectus and in any accompanying prospectus supplement or in any related free writing prospectus. This document may only be used where it is legal to sell these securities. You should assume that the information appearing in this prospectus or in any prospectus supplement is accurate as of the date on the front cover of those documents only. The business, properties, assets, results of operations, financial position or prospects of the Company and the Guarantor may have changed since that date. Neither the delivery of this prospectus nor of any prospectus supplement, nor any sale made thereunder, will imply that the information herein is correct as of any date subsequent to the date on the cover of those documents. Neither the Company nor the Guarantor is making an offer of these securities in any jurisdiction where the offer is not permitted.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otherwise stated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refers to Schlumberger Finance Canada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 or “Schlumberger” refers to Schlumberger Limited, the ultimate parent of the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 refers to Schlumberger Limited and its consolidated subsidiaries, including the Company;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and “our” and similar expressions refer to Schlumberger Limited and its consolidated subsidiaries, including the Company, except when used in connection with “securities,” in which case these terms refer only to the Company.</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we have filed with the Securities and Exchange Commission (the “SEC”) as a “well-known seasoned issuer” as defined in Rule 405 under the Securities Act of 1933, as amended (the “Securities Act”).</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By using an automatic shelf registration statement, we may, at any time and from time to time, offer securities under this prospectus in one or more offerings in an unlimited amount. As allowed by the SEC’s rules and regulations,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use this prospectus to offer securities, we will provide you with a prospectus supplement and, if applicable, a pricing supplement that will describe the specific amounts, prices and terms of the securities being offered. The prospectus supplement and any pricing supplement may also add, update or change information contained in this prospectus. Therefore, if there is any inconsistency between the information in this prospectus, the prospectus supplement and any pricing supplement, you should rely on the information in the prospectus supplement and any pricing supplement. You should not assume that the information in this prospectus, any prospectus supplement or any pricing supplement is accurate as of any date other than the date of such document.</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To understand the terms of the securities, you should carefully read this document, the applicable prospectus supplement and any applicable pricing supplement. Together, they give the specific terms of the securities we are offering. You should also read the documents we have referred you to under “Where You Can Find More Information” below for information about the Schlumberger Group and Schlumberger’s financial statements. You can read the registration statement and exhibits on the SEC’s website as described under “Where You Can Find More Information.”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Guarantor</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Guarantor, together with its subsidiaries, is the world’s leading provider of technology for reservoir characterization, drilling, production and processing to the oil and gas industry. With product sales and services in more than 120 countries, Schlumberger supplies the industry’s most comprehensive range of products and services, from exploration through production, and integrated pore-to-pipeline solutions that optimize hydrocarbon recovery to deliver reservoir performance sustainably. As of June 30, 2020, we employed approximately 85,000 people representing over 170 nationalities.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Guarantor was founded in 1926 and is incorporated under the laws of Curaçao. The Guarantor is the ultimate parent of the Company.</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Guarantor has executive offices in Paris, Houston, London and The Hague. The principal U.S. market for Schlumberger’s common stock is the New York Stock Exchange, where it is traded under the symbol “SLB.”</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9"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Schlumberger Finance Canada Ltd. is incorporated in the Province of Alberta, Canada, and its executive offices are located at 200, 125 – 9th Avenue S.E., Calgary, Alberta. The Company’s principal activities are debt issuance and intercompany group financing. The Company is part of the Schlumberger Group, and all of the shares of the Company are owned indirectly by the Guarantor.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include “forward-looking statements” within the meaning of the U.S. Private Securities Litigation Reform Act of 1995. All statements other than statements of historical fact are, or may be deemed to be, forward-looking statements. The opinions, forecasts, projections, or other statements other than statements of historical fact, are forward-looking statements. Similarly, statements that describe future plans, objectives or goals or future revenues or other financial metrics are also forward-looking statements. Although we believe that the expectations reflected in such forward-looking statements are reasonable, we can give no assurances that such expectations will prove to have been correct.</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Statements that are predictive in nature, that depend upon or refer to future events or conditions, or that include words such as “would,” “should,” “plans,” “likely,” “expects,” “predicts,” “anticipates,” “intends,” “believes,” “estimates,” “thinks,” “may,” “could,” “will” and similar expressions, are forward-looking statements. The following important factors, in addition to those discussed under “Risk Factors” on page 4 and in the documents incorporated by reference herein, could affect the future results of the energy industry in general, and the Company and the Guarantor in particular, and could cause those results to differ materially from those expressed in or implied by such forward-looking statements:</w:t>
      </w:r>
    </w:p>
    <w:p>
      <w:pPr>
        <w:spacing w:after="0" w:line="8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forecasts or expectations regarding business outlook;</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for the Schlumberger Group as a whole and for each of its segments (and for specified products or geographic areas within each segment);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demand and production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natural gas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response to, and preparedness for, the COVID-19 pandemic and other widespread health emergencies;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operating procedures and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by the Schlumberger Group and the oil and gas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strategies of the Schlumberger Group and its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digital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restructuring efforts and charges recorded as a result of such efforts;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effective tax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Asset Performance Solutions projects, joint ventures and alliances;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economic and geopolitical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results of 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statements are subject to risks and uncertainties, including, but not limited to:</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global economic conditions;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exploration and production spending by the Schlumberger Group’s customers and changes in the level of oil and natural gas exploration and development;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operations and financial condition of the Schlumberger Group’s customers and suppliers, particularly during extended periods of low prices for crude oil and natural gas;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inability to sufficiently monetize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future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geopolitical and business conditions in key regions of the world;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and seasonal factors;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effects of health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modifications, delays or cancellations;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Schlumberger Group’s supply chain;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declines;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Schlumberger Group’s inability to recognize intended benefits from its business strategies and initiatives, such as digital or new energy, as well as its restructuring and structural cost reduction plans;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and regulatory requirements, including those related to offshore oil and gas exploration, radioactive sources, explosives, chemicals, hydraulic fracturing services and climate-related initiatives;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technology to meet new challenges in exploration;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alternative energy sources or product substitutes; and</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detailed in this prospectus and in the Guarantor’s most recent Forms 10-K, 10-Q, and 8-K filed with or furnished to the SEC.</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If one or more of these or other risks or uncertainties materialize (or the consequences of any such development changes), or should our underlying assumptions prove incorrect, actual outcomes may vary materially from those reflected in our forward-looking statements.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the Company or the Guarantor or to persons acting on their behalf are expressly qualified in their entirety by reference to these risks and uncertainties. You should not place undue reliance on forward-looking statements. Each forward-looking statement speaks only as of the date of the particular statement, and both the Company and the Guarantor disclaim any intention or obligation to update publicly or revise such statements, whether as a result of new information, future events or otherwise.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the securities involves risk. You should carefully consider the risks described in the documents incorporated by reference in this prospectus, including the “Risk Factors” and “Management’s Discussion and Analysis of Financial Condition and Results of Operations” sections of the Guarantor’s Annual Report on Form 10-K for the fiscal year ended December 31, 2019 and the Guarantor’s Quarterly Reports on Form 10-Q for the fiscal quarters ended March 31, 2020 and June 30, 2020, respectively, before deciding whether to invest in the securities. These risks could cause the business, properties, assets, financial condition, results of operations, cash flows or prospects of the Company or the Guarantor to be materially adversely affected. Additional risks and uncertainties not currently known to us or that we currently deem immaterial may also adversely affect the business and operations of the Company or the Guarantor.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Guarantor files annual, quarterly and current reports, proxy statements and other information with the SEC. You may read and download its filings over the Internet from several commercial document retrieval services, as well as at the SEC’s website at www.sec.gov.</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the Guarantor’s SEC filings are available free of charge through its Investor Relations website at www.investorcenter.slb.com, as soon as reasonably practicable after such material is filed with or furnished to the SEC. Copies are also available, without charge, from Schlumberger Investor Relations, 5599 San Felipe, 17th Floor, Houston, Texas 77056.</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Please note that any internet addresses provided in this prospectus are for informational purposes only and are not intended to be hyperlinks. Accordingly, no information found or provided at such internet addresses (including any information on or accessible through the Guarantor’s website) is intended or deemed to be incorporated by reference herein.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information into this prospectus by reference, which means that we can disclose important information to you by referring you to another document that the Guarantor has filed separately with the SEC. The information incorporated by reference is deemed to be part of this prospectus, except for any information superseded by information contained directly in this prospectus. These documents contain important information about the Schlumberger Group and its financial condition, business and results.</w:t>
      </w:r>
    </w:p>
    <w:p>
      <w:pPr>
        <w:spacing w:after="0" w:line="180"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We are incorporating by reference into this prospectus the following documents listed below and any other filings made by the Guarantor under Section 13(a), 13(c), 14 or 15(d) of the Securities Exchange Act of 1934, as amended (the “Exchange Act”) on or after the date of this prospectus and prior to the termination of any offering; except that we are not incorporating by reference any information furnished (but not filed) under Item 2.02 or Item 7.01 of any Current Report on Form 8-K, unless specifically noted below or in a prospectus supplement or pricing supplement:</w:t>
      </w:r>
    </w:p>
    <w:p>
      <w:pPr>
        <w:spacing w:after="0" w:line="70" w:lineRule="exact"/>
        <w:rPr>
          <w:sz w:val="20"/>
          <w:szCs w:val="20"/>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w:t>
      </w:r>
      <w:hyperlink r:id="rId32">
        <w:r>
          <w:rPr>
            <w:rFonts w:ascii="Times New Roman" w:cs="Times New Roman" w:eastAsia="Times New Roman" w:hAnsi="Times New Roman"/>
            <w:sz w:val="18"/>
            <w:szCs w:val="18"/>
            <w:u w:val="single" w:color="auto"/>
            <w:color w:val="0000EE"/>
          </w:rPr>
          <w:t>Annual Report on Form 10-K for the fiscal year ended December 31,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as filed with the SEC on January 22, 2020 (including the portions of the </w:t>
      </w:r>
      <w:hyperlink r:id="rId33">
        <w:r>
          <w:rPr>
            <w:rFonts w:ascii="Times New Roman" w:cs="Times New Roman" w:eastAsia="Times New Roman" w:hAnsi="Times New Roman"/>
            <w:sz w:val="18"/>
            <w:szCs w:val="18"/>
            <w:u w:val="single" w:color="auto"/>
            <w:color w:val="0000EE"/>
          </w:rPr>
          <w:t>proxy statement for the Guarantor’s 2020 annual meeting of stockholders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incorporated by reference therein);</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Guarantor’s Quarterly Reports on Form 10-Q for the fiscal quarters ended </w:t>
      </w:r>
      <w:hyperlink r:id="rId34">
        <w:r>
          <w:rPr>
            <w:rFonts w:ascii="Times New Roman" w:cs="Times New Roman" w:eastAsia="Times New Roman" w:hAnsi="Times New Roman"/>
            <w:sz w:val="18"/>
            <w:szCs w:val="18"/>
            <w:u w:val="single" w:color="auto"/>
            <w:color w:val="0000EE"/>
          </w:rPr>
          <w:t>March 31,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u w:val="single" w:color="auto"/>
            <w:color w:val="0000EE"/>
          </w:rPr>
          <w:t>June 30,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as filed with the SEC on April 22, 2020 and July 29, 2020, respectively;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7"/>
        </w:numPr>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auto"/>
          </w:rPr>
          <w:t xml:space="preserve">the Guarantor’s Current Reports on Form 8-K as filed with the SEC on </w:t>
        </w:r>
        <w:r>
          <w:rPr>
            <w:rFonts w:ascii="Times New Roman" w:cs="Times New Roman" w:eastAsia="Times New Roman" w:hAnsi="Times New Roman"/>
            <w:sz w:val="18"/>
            <w:szCs w:val="18"/>
            <w:u w:val="single" w:color="auto"/>
            <w:color w:val="0000EE"/>
          </w:rPr>
          <w:t>February 14, 2020, April 1, 2020, April 17, 2020 (Item 8.01</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 xml:space="preserve">only), </w:t>
        </w:r>
      </w:hyperlink>
      <w:hyperlink r:id="rId37">
        <w:r>
          <w:rPr>
            <w:rFonts w:ascii="Times New Roman" w:cs="Times New Roman" w:eastAsia="Times New Roman" w:hAnsi="Times New Roman"/>
            <w:sz w:val="18"/>
            <w:szCs w:val="18"/>
            <w:u w:val="single" w:color="auto"/>
            <w:color w:val="0000EE"/>
          </w:rPr>
          <w:t xml:space="preserve">June 16, 2020 (Item 2.05 only), </w:t>
        </w:r>
      </w:hyperlink>
      <w:hyperlink r:id="rId38">
        <w:r>
          <w:rPr>
            <w:rFonts w:ascii="Times New Roman" w:cs="Times New Roman" w:eastAsia="Times New Roman" w:hAnsi="Times New Roman"/>
            <w:sz w:val="18"/>
            <w:szCs w:val="18"/>
            <w:u w:val="single" w:color="auto"/>
            <w:color w:val="0000EE"/>
          </w:rPr>
          <w:t xml:space="preserve">June 26, 2020, </w:t>
        </w:r>
      </w:hyperlink>
      <w:hyperlink r:id="rId39">
        <w:r>
          <w:rPr>
            <w:rFonts w:ascii="Times New Roman" w:cs="Times New Roman" w:eastAsia="Times New Roman" w:hAnsi="Times New Roman"/>
            <w:sz w:val="18"/>
            <w:szCs w:val="18"/>
            <w:u w:val="single" w:color="auto"/>
            <w:color w:val="0000EE"/>
          </w:rPr>
          <w:t xml:space="preserve">July 24, 2020 (Item 5.02 only) </w:t>
        </w:r>
      </w:hyperlink>
      <w:hyperlink r:id="rId36">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40">
        <w:r>
          <w:rPr>
            <w:rFonts w:ascii="Times New Roman" w:cs="Times New Roman" w:eastAsia="Times New Roman" w:hAnsi="Times New Roman"/>
            <w:sz w:val="18"/>
            <w:szCs w:val="18"/>
            <w:u w:val="single" w:color="auto"/>
            <w:color w:val="0000EE"/>
          </w:rPr>
          <w:t>August 11, 2020</w:t>
        </w:r>
      </w:hyperlink>
      <w:hyperlink r:id="rId36">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statement contained in this prospectus and any accompanying prospectus or in a document incorporated or deemed to be incorporated by reference in this prospectus and any accompanying prospectus will be deemed to be modified or superseded for purposes of this prospectus to the extent that a statement contained in this prospectus and any accompanying prospectus or in any other document subsequently filed with the SEC that is or is deemed to be incorporated by reference in this prospectus and any accompanying prospectus modifies or supersedes such statement. No such statement so modified or superseded will be deemed, except as so modified or superseded, to constitute a part of this prospectus and any accompanying prospectus.</w:t>
      </w:r>
    </w:p>
    <w:p>
      <w:pPr>
        <w:spacing w:after="0" w:line="187" w:lineRule="exact"/>
        <w:rPr>
          <w:rFonts w:ascii="Times New Roman" w:cs="Times New Roman" w:eastAsia="Times New Roman" w:hAnsi="Times New Roman"/>
          <w:sz w:val="18"/>
          <w:szCs w:val="18"/>
          <w:color w:val="0000EE"/>
        </w:rPr>
      </w:pPr>
    </w:p>
    <w:p>
      <w:pPr>
        <w:jc w:val="both"/>
        <w:ind w:left="120" w:right="840" w:firstLine="440"/>
        <w:spacing w:after="0" w:line="266" w:lineRule="auto"/>
        <w:rPr>
          <w:sz w:val="20"/>
          <w:szCs w:val="20"/>
          <w:color w:val="auto"/>
        </w:rPr>
      </w:pPr>
      <w:r>
        <w:rPr>
          <w:rFonts w:ascii="Times New Roman" w:cs="Times New Roman" w:eastAsia="Times New Roman" w:hAnsi="Times New Roman"/>
          <w:sz w:val="18"/>
          <w:szCs w:val="18"/>
          <w:color w:val="auto"/>
        </w:rPr>
        <w:t>If information in any of these incorporated documents conflicts with information in this prospectus you should rely on the most recent information. If information in an incorporated document conflicts with information in another incorporated document, you should rely on the information in the most recent incorporated document.</w:t>
      </w:r>
    </w:p>
    <w:p>
      <w:pPr>
        <w:spacing w:after="0" w:line="108"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request a copy of any document that we incorporate by reference at no cost, excluding all exhibits to such incorporated documents unless we have specifically incorporated by reference such exhibits either in this prospectus or in the incorporated document, by making such a request in writing or by telephone to the following address: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5500" w:hanging="438"/>
        <w:spacing w:after="0"/>
        <w:tabs>
          <w:tab w:leader="none" w:pos="5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375-3535</w:t>
      </w:r>
    </w:p>
    <w:p>
      <w:pPr>
        <w:spacing w:after="0" w:line="9" w:lineRule="exact"/>
        <w:rPr>
          <w:rFonts w:ascii="Times New Roman" w:cs="Times New Roman" w:eastAsia="Times New Roman" w:hAnsi="Times New Roman"/>
          <w:sz w:val="18"/>
          <w:szCs w:val="18"/>
          <w:color w:val="auto"/>
        </w:rPr>
      </w:pPr>
    </w:p>
    <w:p>
      <w:pPr>
        <w:ind w:left="4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Investor Relations</w:t>
      </w:r>
    </w:p>
    <w:p>
      <w:pPr>
        <w:spacing w:after="0" w:line="20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Except as provided above, no other information (including information on or accessible through the Guarantor’s website) is incorporated by reference into this prospectus.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we otherwise state in a prospectus supplement or pricing supplement, we will use the net proceeds from the sale of the offered securities for general corporate purposes of the Schlumberger Group. General corporate purposes may include repayment of debt, additions to working capital, capital expenditures, investments in subsidiaries, possible acquisitions and the repurchase, redemption or retirement of securities, including the Guarantor’s common stock.</w:t>
      </w:r>
    </w:p>
    <w:p>
      <w:pPr>
        <w:spacing w:after="0" w:line="1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5" w:right="6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the Company may issue from time to time. The particular terms of the debt securities offered by any prospectus supplement and the extent, if any, to which the general provisions described below may apply to those securities will be described in the applicable prospectus supplement.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used in this “Description of Debt Securities,” the terms “we,” “us” and “our” and similar expressions refer to the Company and not to any of its consolidated subsidiaries; and the terms “Guarantor” and “Schlumberger” refer to our parent company, Schlumberger Limited, and not to any of its subsidiaries, in each case unless otherwise stated or the context otherwise requires.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Certain defined terms used in this description but not defined below have the meanings assigned to them in an indenture, which we refer to as the indenture, to be entered into among us, Schlumberger Limited, as guarantor, and The Bank of New York Mellon, as trustee, as may be amended, modified and/or supplemented from time to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debt securities that we may issue will be senior debt securities that will be issued under the indenture. In addition, the indenture may be supplemented or amended as necessary to set forth the terms of the debt securities issued under the indenture. The Guarantor will fully and unconditionally guarantee the debt securities under a guarantee contained in the indenture (the “Guarantee”). You should read the indenture, including any amendments or supplements, carefully to fully understand the terms of the debt securities. The form of indenture has been filed as an exhibit to the registration statement of which this prospectus is a part. The indenture is subject to, and is governed by, the Trust Indenture Act of 1939, as amended (the “Trust Indenture Act”).</w:t>
      </w:r>
    </w:p>
    <w:p>
      <w:pPr>
        <w:spacing w:after="0" w:line="187"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Any debt securities that we may issue will be our unsubordinated obligations. They will rank equally with each other and all of our other unsubordinated debt, unless otherwise indicated in the applicable prospectus supplement.</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can be issued thereunder and provides that the debt securities of any series may be issued thereunder up to the aggregate principal amount that we may authorize from time to time. Unless otherwise provided in the applicable prospectus supplement, the indenture does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8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for the following and other possible terms of each series of the debt securities with respect to which this prospectus is being delivered:</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of the series to be issued;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that series that may be authenticated and delivered under the indenture, except for debt securities authenticated and delivered upon registration of transfer of, or in exchange for or in lieu of, other debt securities of that series;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and premium, if any, of the debt securities of the series is payable;</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will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interest, if any, on the debt securities of the series will be payable, where the debt securities of such series may be surrendered for registration of transfer or exchange and where notices and demands to or upon us with respect to the debt securities of such series and the indenture may be served, and the method of such payment, if by wire transfer, mail or other means if other than as set forth in the indenture;</w:t>
      </w:r>
    </w:p>
    <w:p>
      <w:pPr>
        <w:spacing w:after="0" w:line="85"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dates on which such interest will be payable or the manner of determination of such dates, and the record date for the determination of holders to whom interest is payable on any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agents or paying agents with respect to such series, if different from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defer the payment of interest and the duration of such extension or deferral;</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debt securities of the series may be redeemed by us, in whole or in part, at our option;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purchase or repay debt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debt securities of the series will be redeemed, purchased or repaid, in whole or in part, pursuant to such obligation;</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 of the series including the form of the trustee’s certificate of authentication for such series;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integral multiples of $1,000 in excess thereof, the denominations in which the debt securities of the series will be issuable;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payment of the principal of, premium, if any, and interest on, debt securities of the series will be payable;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the debt securities of the series that will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repurchase or remarketing rights;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will be issued in whole or in part in the form of a global security or securities, the type of global security to be issued; the terms and conditions, if different from those contained in the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legends referred to in the indenture;</w:t>
      </w:r>
    </w:p>
    <w:p>
      <w:pPr>
        <w:spacing w:after="0" w:line="88"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restrictive covenants or events of default that will apply to the debt securities of the series, or any changes to the restrictive covenants or events of default set forth in the indenture that will apply to the debt securities of the series, which may consist of establishing different terms or provisions from those set forth in the indenture or eliminating any such restrictive covenant or event of default with respect to the debt securities of the series;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when a specified event occurs;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 including provisions for original issue discount securities, if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of a series may be defeased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issued as unrestricted securities or restricted securities, and, if issued as restricted securities, the rule or regulation promulgated under the Securities Act in reliance on which they will be sold;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on the debt securities of the series, if different from the provisions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any security provided for the debt securities of the series;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debt securities of such series if other than those appointed in the indenture;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58"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convertible into or exchangeable for other debt securities, common shares or other securities of any kind of the Company or another obligor, and, if so, the terms and conditions upon which such debt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our option, the conversion or exchange period, and any other provision in addition to or in lieu of those described herein;</w:t>
      </w:r>
    </w:p>
    <w:p>
      <w:pPr>
        <w:spacing w:after="0" w:line="88"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additional, eliminated or changed terms that will apply to the debt securities of the series, including any terms that may be required by or advisable under U.S. laws or regulations, including the Securities Act and the rules and regulations promulgated thereunder, or advisable in connection with the marketing of debt securities of that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debt securities of any series that do not bear interest, the dates for certain required reports to the trustee.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comply with Section 14(e) under the Exchange Act, to the extent applicable, and with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described in a prospectus supplement relating to any debt securities, there are no covenants or provisions contained in the indenture that may afford the holders of debt securities protection in the event that we enter into a highly leveraged transaction.</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statements made hereunder relating to the indenture and any debt securities that we may issue are summaries of certain provisions thereof and are qualified in their entirety by reference to all provisions of the indenture and the debt securities and the descriptions thereof, if different,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Guarantor will fully and unconditionally guarantee the due and punctual payment of the principal of, and any premium and interest on, the debt securities, and all other amounts payable under the indenture when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as they become due and payable, whether at maturity, upon acceleration, by call for redemption, repayment or otherwise in accordance with the terms of the indenture. The debt securities will not be guaranteed by any of the Guarantor’s subsidiaries.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Guarantor will:</w:t>
      </w:r>
    </w:p>
    <w:p>
      <w:pPr>
        <w:spacing w:after="0" w:line="131" w:lineRule="exact"/>
        <w:rPr>
          <w:sz w:val="20"/>
          <w:szCs w:val="20"/>
          <w:color w:val="auto"/>
        </w:rPr>
      </w:pPr>
    </w:p>
    <w:p>
      <w:pPr>
        <w:ind w:left="1080" w:right="36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that, if an event of default occurs under any of the debt securities, its obligations under the guarantees will be absolute and unconditional and will be enforceable irrespective of any invalidity, irregularity or unenforceability of the indenture or any supplement thereto;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its right to require the trustee or the holders of any of the debt securities to pursue or exhaust their legal or equitable remedies against the Company before exercising their rights under the guarantees.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the Debt Securities and the Guarantee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of any series will be:</w:t>
      </w:r>
    </w:p>
    <w:p>
      <w:pPr>
        <w:spacing w:after="0" w:line="131" w:lineRule="exact"/>
        <w:rPr>
          <w:sz w:val="20"/>
          <w:szCs w:val="20"/>
          <w:color w:val="auto"/>
        </w:rPr>
      </w:pPr>
    </w:p>
    <w:p>
      <w:pPr>
        <w:ind w:left="1080" w:right="9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obligations of the Company and will rank equally and ratably with all of the Company’s other unsecured and unsubordinated indebtedness; and</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guaranteed on a senior unsecured basis by the Guarantor, which Guarantee will rank equally and ratably with all other unsecured and unsubordinated indebtedness of the Guarantor.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120" w:right="200" w:firstLine="440"/>
        <w:spacing w:after="0" w:line="270" w:lineRule="auto"/>
        <w:rPr>
          <w:sz w:val="20"/>
          <w:szCs w:val="20"/>
          <w:color w:val="auto"/>
        </w:rPr>
      </w:pPr>
      <w:r>
        <w:rPr>
          <w:rFonts w:ascii="Times New Roman" w:cs="Times New Roman" w:eastAsia="Times New Roman" w:hAnsi="Times New Roman"/>
          <w:sz w:val="17"/>
          <w:szCs w:val="17"/>
          <w:color w:val="auto"/>
        </w:rPr>
        <w:t>All payments made by the Company under or with respect to its debt securities, or by the Guarantor with respect to its Guarantee, will be made free and clear of and without withholding or deduction for, or on account of, any present or future tax, duty, levy, assessment or other governmental charge, including any related interest, penalties or additions to tax (“Taxes”) unless the withholding or deduction of such Taxes is then required by law or by interpretation or administration of law. If any deduction or withholding for, or on account of, any Taxes imposed or levied by or on behalf of</w:t>
      </w:r>
    </w:p>
    <w:p>
      <w:pPr>
        <w:spacing w:after="0" w:line="3" w:lineRule="exact"/>
        <w:rPr>
          <w:sz w:val="20"/>
          <w:szCs w:val="20"/>
          <w:color w:val="auto"/>
        </w:rPr>
      </w:pPr>
    </w:p>
    <w:p>
      <w:pPr>
        <w:ind w:left="120" w:hanging="4"/>
        <w:spacing w:after="0" w:line="251"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in which the Company (or a successor), or the Guarantor (or a successor), is then incorporated, organized or resident for tax purposes or any political subdivision thereof or therein (each, a “Relevant Tax Jurisdiction”) or (2) any jurisdiction from or through which payment is made or deemed made by or on behalf of the Company, or the Guarantor (including the jurisdiction of any Paying Agent for the applicable debt securities) or any political subdivision thereof or therein (each, together with each Relevant Tax Jurisdiction, a “Tax Jurisdiction”) will at any time be required to be made from any payments made or deemed made by or on behalf of the Company under or with respect to its debt securities, as applicable, or the Guarantor under or with respect to its Guarantee, including payments of principal, redemption price, interest or premium, the Company or the Guarantor, as applicable, will pay such additional amounts (the “Additional Amounts”) as may be necessary in order that the net amounts received in respect of such payments by each beneficial owner of the applicable debt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provided, however, that no Additional Amounts will be payable with respect to:</w:t>
      </w:r>
    </w:p>
    <w:p>
      <w:pPr>
        <w:spacing w:after="0" w:line="98"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debt securities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debt securities, the enforcement of rights under such debt securities or under the Guarantee or the receipt of any payments in respect of such debt securities or Guarantee;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61"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were imposed as a result of the presentation of such debt securities for payment (where presentation is required) more than 30 days after the relevant payment is first made available for payment to the holder (except to the extent that the holder would have been entitled to Additional Amounts had the applicable debt securities been presented on the last day of such 30-day period);</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debt securities;</w:t>
      </w:r>
    </w:p>
    <w:p>
      <w:pPr>
        <w:spacing w:after="0" w:line="81"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debt securities who would have been able to avoid such withholding or deduction by presenting such debt securities (where presentation is required) to another paying agent;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debt securities or the Guarantee;</w:t>
      </w:r>
    </w:p>
    <w:p>
      <w:pPr>
        <w:spacing w:after="0" w:line="130" w:lineRule="exact"/>
        <w:rPr>
          <w:rFonts w:ascii="Times New Roman" w:cs="Times New Roman" w:eastAsia="Times New Roman" w:hAnsi="Times New Roman"/>
          <w:sz w:val="18"/>
          <w:szCs w:val="18"/>
          <w:color w:val="auto"/>
        </w:rPr>
      </w:pPr>
    </w:p>
    <w:p>
      <w:pPr>
        <w:ind w:left="1080" w:hanging="532"/>
        <w:spacing w:after="0" w:line="25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debt securities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94"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debt securities with which the Company, the Guarantor or a transferee of the debt securities do not deal at arm’s length (within the meaning of the Income Tax Act (Canada)) at the time of making such payment;</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debt securities or the Guarantee that is deemed under subsection 214(6) of the Income Tax Act (Canada) to be a dividend;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above.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and the Guarantor, jointly and severally, will indemnify and hold harmless the holders and beneficial owners of debt securities,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debt securities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will not extend to Canadian Taxes (a) for which the applicable holder or beneficial owner would not have been eligible to receive payment of Additional Amounts hereunder by virtue of clauses (1) through (5) and (7) through (9) above (or any combination thereof) if the Company or the Guarantor had been required to withhold from such payments, (b) to the extent such holder or beneficial owner received Additional Amounts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with respect to such payments or (c) to the extent any such Canadian Taxes are computed by reference to such holder or beneficial owner’s net income, revenue, profits or capital.</w:t>
      </w:r>
    </w:p>
    <w:p>
      <w:pPr>
        <w:spacing w:after="0" w:line="162" w:lineRule="exact"/>
        <w:rPr>
          <w:sz w:val="20"/>
          <w:szCs w:val="20"/>
          <w:color w:val="auto"/>
        </w:rPr>
      </w:pPr>
    </w:p>
    <w:p>
      <w:pPr>
        <w:jc w:val="both"/>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debt securities, or the related indenture, Guarantee or any other document or instrument referred to therein.</w:t>
      </w:r>
    </w:p>
    <w:p>
      <w:pPr>
        <w:spacing w:after="0" w:line="164"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If the Company or the Guarantor, as the case may be, becomes aware that it will be obligated to pay Additional Amounts with respect to any payment under or with respect to the debt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will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will be entitled to rely solely on such officer’s certificate as conclusive proof that such payments are necessary.</w:t>
      </w:r>
    </w:p>
    <w:p>
      <w:pPr>
        <w:spacing w:after="0" w:line="17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Company or the Guarantor, as the case may be, will make all withholdings and deductions required by law in respect of the debt 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 or withheld.</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Whenever in the indenture or in this “Description of Debt Securities” there is mentioned, in any context, the payment of amounts based upon the principal amount of the debt securities or of principal, interest or of any other amount payable under, or with respect to, any of the debt securities or any Guarantee, such mention will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above obligations will survive any termination, defeasance or discharge of the indenture, any transfer by a holder or beneficial owner of the debt securities, and will apply, mutatis mutandis, to any jurisdiction in which any successor person to the Company or the Guarantor is incorporated, organized or resident for tax purposes or any jurisdiction from or through which payment is made by or on behalf of such person on the applicable debt securities (or any Guarantee) and any political subdivision thereof or therein.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any provision in the indenture, the debt securities or any Guarantee to the contrary, none</w:t>
      </w:r>
    </w:p>
    <w:p>
      <w:pPr>
        <w:spacing w:after="0" w:line="27"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of the trustee, the Registrar, any transfer agent or any Paying Agent will be required to determine the identity of a beneficial owner or be liable for any determination thereof by the Company or the Guarantor.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 (subject to the right of holders of such debt securities on the relevant record date to receive interest due on the relevant interest payment date and Additional Amounts (if any) in respect thereof).</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Upon Changes in Tax Law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may redeem the debt securities (and the Guarantor may redeem any debt securities which it has guaranteed), in whole but not in part, at its discretion at any time upon giving not less than 10 nor more than 60 days’ prior notice to the holders of such debt securities (which notice will be irrevocable), at a redemption price equal to 100% of the aggregate principal amount thereof, together with accrued and unpaid interest, if any, to (but not including) the date fixed by the Company or the Guarantor, as applicable, for redemption (a “Tax Redemption Date”) and all Additional Amounts (if any) then due and which will become due on the Tax Redemption Date as a result of the redemption or otherwise (subject to the right of holders of such debt securities on the relevant record date to receive interest due on the relevant interest payment date and Additional Amounts (if any) in respect thereof), if on the next date on which any amount would be payable in respect of such debt securities,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100" w:lineRule="exact"/>
        <w:rPr>
          <w:sz w:val="20"/>
          <w:szCs w:val="20"/>
          <w:color w:val="auto"/>
        </w:rPr>
      </w:pPr>
    </w:p>
    <w:p>
      <w:pPr>
        <w:ind w:left="1080" w:right="60" w:hanging="532"/>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or change in the enforcement or interpretation of, the laws (or any regulations or rulings promulgated thereunder) of a Relevant Tax Jurisdiction which change or amendment becomes effective on or after the date of original issuance of the relevant debt securities (the “Issue Date) (or, if the applicable Relevant Tax Jurisdiction became a Relevant Tax Jurisdiction on a date after the Issue Date, such later date), or</w:t>
      </w:r>
    </w:p>
    <w:p>
      <w:pPr>
        <w:spacing w:after="0" w:line="85"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debt securities was then due, and the obligation to pay Additional Amounts must be in effect at the time such notice is given. Prior to the giving of any notice of redemption of the debt securities of such series pursuant to the foregoing, the Company or the Guarantor, as applicable, will deliver to the trustee an opinion of independent tax counsel to the effect that there has been such amendment or change which would entitle the Company or the Guarantor to redeem such debt securities hereunder. In addition, before the Company or the Guarantor, as applicable, gives notice of redemption of such debt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trustee will accept and will be entitled to rely on such officer’s certificate and opinion of counsel as sufficient evidence of the existence and satisfaction of the conditions precedent as described above, in which event it will be conclusive and binding on the holders of the debt securities of such series.</w:t>
      </w:r>
    </w:p>
    <w:p>
      <w:pPr>
        <w:spacing w:after="0" w:line="174" w:lineRule="exact"/>
        <w:rPr>
          <w:sz w:val="20"/>
          <w:szCs w:val="20"/>
          <w:color w:val="auto"/>
        </w:rPr>
      </w:pPr>
    </w:p>
    <w:p>
      <w:pPr>
        <w:ind w:left="120" w:right="2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the debt securities of such series (or any Guarantee) and any political subdivision thereof or therein.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If fewer than all of the debt securities of a series are to be redeemed at any time, the trustee will select the debt securities of such series in definitive, non-global form for redemption on a pro rata basis (or, in the case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debt securities issued in global form as discussed under “—Book-Entry, Delivery and Form,” such debt securities of such series to be redeemed will be selected in accordance with the procedures of the depository therefor) unless otherwise required by law or applicable stock exchange.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 debt securities in principal amount of less than the minimum authorized denomination can be redeemed in part. Unless otherwise described in a prospectus supplement relating to any debt securities, notices of redemption will be given at least 10 but not more than 60 days before the redemption date to each holder of debt securities of such series to be redeemed, except that redemption notices may be given more than 60 days prior to a redemption date if the notice is issued in connection with a defeasance of the debt securities of such series or a satisfaction and discharge of the indenture.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security is to be redeemed in part only, the notice of redemption that relates to that debt security will state the portion of the principal amount of that debt security that is to be redeemed. A new debt security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On and after the redemption date, interest ceases to accrue on the debt securities or portions of the debt securities called for redemption unless the Company or the Guarantor defaults in payment of the redemption price.</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trustee will not be liable for selections made as contemplated in this section. Notices to holders of definitive non-global securities will be mailed to them at their registered addresses. For any debt securities which are represented by global securities held on behalf of the relevant Debt Depository (as defined below under “—Book-Entry, Delivery and Form”), notices may be given by delivery of the relevant notices to the relevant Debt Depository for communication to entitled account holders in substitution for the aforesaid mailing.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So long as any debt securities are outstanding, the Guarantor will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will be deemed to have complied with the previous sentence to the extent that such information, documents and reports are filed with the SEC via EDGAR, or any successor electronic delivery procedure. The trustee will not have any obligation to determine if and when the Guarantor’s information is available on the SEC’s website. The Guarantor will either (i) provide the trustee with prompt written notification at such time as the Guarantor becomes or ceases to be a reporting company or (ii) continue to provide the trustee with the foregoing information. Delivery of such reports, information and documents to the trustee is for informational purposes only and the trustee’s receipt of such will not constitute actual or constructive notice of any information contained therein or determinable from information contained therein, including compliance by us or the Guarantor with any covenants under the indenture (as to which the trustee is entitled to rely exclusively on officer’s certificates). The indenture governing the debt securities will not obligate us to provide, and we do not intend to provide, holders of the debt securities with financial statements of the Company that are separate from the Guarantor’s.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Other than the restrictions on liens described below, the indenture and the debt securities will not contain any covenants or other provisions designed to protect holders of the debt securities in the event of a highly leveraged transaction. The indenture and the debt securities also will not contain provisions that give holders of the debt securities the right to require the Company or the Guarantor to repurchase any debt securities in the event of a decline in credit rating resulting from a takeover, recapitalization or similar restructuring or otherwise.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Liens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Guarantor will not, and will not permit any of its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debt securities (together with, if the Company or the Guarantor so determine, any of its other indebtedness or the indebtedness of any such restricted subsidiary then existing or thereafter created ranking on a parity with the debt securities or guarantees) will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(1) through (10) below) would not exceed 20% of consolidated net worth as shown on the Guarantor’s most recent consolidated quarterly financial statements; provided, however, that these provisions will not apply to:</w:t>
      </w:r>
    </w:p>
    <w:p>
      <w:pPr>
        <w:spacing w:after="0" w:line="94"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any debt securities;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67" w:lineRule="exact"/>
        <w:rPr>
          <w:rFonts w:ascii="Times New Roman" w:cs="Times New Roman" w:eastAsia="Times New Roman" w:hAnsi="Times New Roman"/>
          <w:sz w:val="18"/>
          <w:szCs w:val="18"/>
          <w:color w:val="auto"/>
        </w:rPr>
      </w:pPr>
    </w:p>
    <w:p>
      <w:pPr>
        <w:ind w:left="1080" w:right="220" w:hanging="532"/>
        <w:spacing w:after="0" w:line="258"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created in connection with the acquisition of property or assets, or a project financed with, non-recourse debt; and</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will be limited to all or a part of the same property or assets that secured the mortgage extended, renewed or replaced, plus improvements on such property or assets.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covenant and certain other provisions of the indenture use the following defined terms.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“capital stock” means (a) in the case of a corporation, corporate stock or shares in the capital of the corporation; (b) in the case of an association or business entity, any and all shares, interests, participations, rights or other equivalents (however designated) of corporate stock; (c) in the case of a partnership or limited liability company, partnership interests (whether general or limited) or membership interests; and (d)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“consolidated net worth” means the amount of total stockholders’ equity shown in the Guarantor’s most recent quarterly consolidated statement of financial position.</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“mortgage” means and includes any mortgage, pledge, lien, security interest, conditional sale or other title retention agreement or other similar encumbrance.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“non-recourse debt”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“person”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62"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“restricted property”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“restricted subsidiary” means any subsidiary of the Guarantor which owns a restricted property.</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“subsidiary”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Amalgamation, Merger and Sale of Assets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the debt securities by an indenture supplemental to the indenture to which the Company or the Guarantor is a party, and immediately after which, no event of default, and no event which, after notice or lapse of time, or both,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would become an event of default, shall have happened and be continuing. An officer’s certificate and an opinion of counsel will be delivered to the trustee, which will serve as conclusive evidence of compliance with these provisions.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possible that a merger, transfer, or other transaction could be treated for U.S. federal income tax purposes as a taxable exchange by the beneficial owners of debt securities or guarantees for new securities, which could result in beneficial owners of debt securities or guarantees recognizing taxable gain or loss for U.S. federal income tax purposes. A merger, transfer, lease or other transaction could also have adverse tax consequences to beneficial owners of debt securities or guarantees under other tax laws to which the beneficial owners are subject.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Assumption by a Subsidiary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the indenture and the debt securities, provided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w:t>
      </w:r>
    </w:p>
    <w:p>
      <w:pPr>
        <w:spacing w:after="0" w:line="112" w:lineRule="exact"/>
        <w:rPr>
          <w:sz w:val="20"/>
          <w:szCs w:val="20"/>
          <w:color w:val="auto"/>
        </w:rPr>
      </w:pPr>
    </w:p>
    <w:p>
      <w:pPr>
        <w:ind w:left="540" w:right="34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event of default and no event which, after notice or lapse of time or both, would become an event of default, shall have occurred and be continuing.</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any such assumption, the person so assuming the Company’s obligations under the indenture and the debt securities will succeed to, and be substituted for, and may exercise any right and power of, the Company under such debt securities and the indenture with the same effect as if such person had been the issuer thereof, and the Company will be released from its liability as obligor under such debt securities. An officer’s certificate and an opinion of counsel will be delivered to the trustee, which will serve as conclusive evidence of compliance with these provisions.</w:t>
      </w:r>
    </w:p>
    <w:p>
      <w:pPr>
        <w:spacing w:after="0" w:line="17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 assumption of the Company’s obligations as the issuer of the debt securities by a subsidiary of the Guarantor may be treated for U.S. and Canadian federal income tax purposes as a taxable exchange of the Company’s debt securities for new debt securities issued by such subsidiary of the Guarantor. In that event, beneficial owners of such debt securities may recognize taxable gain for U.S. federal income tax purposes, as well as other possible adverse tax consequences. We do not expect that a taxable exchange of the Company’s debt securities for new debt securities will generally have any adverse Canadian federal income tax consequences. Beneficial owners of debt securities who are U.S. persons for U.S. federal income tax purposes should consult their tax advisors regarding the U.S. and Canadian federal, state, provincial and local, and any other relevant, income tax consequences of an assumption of the Company’s obligations as issuer of debt securities by a subsidiary of the Guarantor.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following will be “Events of Default” with respect to debt securities of a particular series, except to the extent provided in the officer’s certificate and resolution of the board of directors or the supplemental indenture pursuant to which a series of debt securities is issued:</w:t>
      </w:r>
    </w:p>
    <w:p>
      <w:pPr>
        <w:spacing w:after="0" w:line="67" w:lineRule="exact"/>
        <w:rPr>
          <w:sz w:val="20"/>
          <w:szCs w:val="20"/>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any of the debt securities of such series within 30 days after such interest becomes due and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principal on any of the debt securities of such series at maturity, or if applicable, the redemption price, when the same become due and payable;</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sinking fund installment as and when the same becomes due and payable by the terms of the debt securities of such series, and continuance of such default for a period of 30 days;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its covenants or agreements in any of the debt securities of such series or the indenture (other than an agreement or covenant that the Company has included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66" w:lineRule="auto"/>
        <w:rPr>
          <w:sz w:val="20"/>
          <w:szCs w:val="20"/>
          <w:color w:val="auto"/>
        </w:rPr>
      </w:pPr>
      <w:r>
        <w:rPr>
          <w:rFonts w:ascii="Times New Roman" w:cs="Times New Roman" w:eastAsia="Times New Roman" w:hAnsi="Times New Roman"/>
          <w:sz w:val="18"/>
          <w:szCs w:val="18"/>
          <w:color w:val="auto"/>
        </w:rPr>
        <w:t>the indenture solely for the benefit of another series of debt securities that does not constitute part of the Company’s debt securities of such series) for 90 days after written notice by the trustee or by the holders of at least 25% in principal amount of all outstanding debt securities of such series of debt securities;</w:t>
      </w:r>
    </w:p>
    <w:p>
      <w:pPr>
        <w:spacing w:after="0" w:line="81" w:lineRule="exact"/>
        <w:rPr>
          <w:sz w:val="20"/>
          <w:szCs w:val="20"/>
          <w:color w:val="auto"/>
        </w:rPr>
      </w:pPr>
    </w:p>
    <w:p>
      <w:pPr>
        <w:jc w:val="both"/>
        <w:ind w:left="1080" w:right="4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the indenture, the Guarantee of such series of the Company’s debt securities is held in any judicial proceeding to be unenforceable or invalid or ceases for any reason to be in full force and effect, or the Guarantor, or any authorized person acting on behalf of the Guarantor, denies or disaffirms the Guarantor’s obligations under its Guarantee;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involving bankruptcy, insolvency or reorganization of the Company or the Guarantor.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 default under one series of debt securities issued under the indenture will not necessarily be a default under another series of debt securities under the indenture. The trustee may withhold notice to the holders of the debt securities issued under the indenture of any default or event of default (except in any payment on the debt securities of such series) if the trustee considers it in the interest of the holders of the debt securities of that series to do so.</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If an event of default for a series of the Company’s debt securities occurs and is continuing, the trustee or the holders of at least 25% in principal amount of the outstanding debt securities of that series may require the Company to pay immediately the principal amount plus accrued and unpaid interest on such debt securities of that series. If an event of default relating to certain events of bankruptcy, insolvency or reorganization occurs with respect to the Company (or with respect to the Guarantor), the principal amount plus accrued and unpaid interest on the Company’s debt securities of that series (or in the case of the Guarantor, all debt securities) will become immediately due and payable without any action on the part of the trustee or any holder. The holders of a majority in principal amount of such outstanding debt securities of such series may in some cases rescind this accelerated payment requirement.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holder of debt securities of any series may pursue any remedy under the indenture applicable to the debt securities of that series only if:</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debt securities of such series then outstanding make a written request to the trustee to pursue the remedy;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to the trustee indemnity or security reasonably satisfactory to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outstanding debt securities of that series do not give the trustee a direction inconsistent with the request.</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any holder to sue for enforcement of any overdue payment with respect to the debt securities of such series.</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most cases, holders of a majority in principal amount of the outstanding debt securities of any series issued by the Company (or of all outstanding debt securities affected, voting as one class) may direct the time, method and place of:</w:t>
      </w:r>
    </w:p>
    <w:p>
      <w:pPr>
        <w:spacing w:after="0" w:line="67"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proceeding for any remedy available to the trustee with respect to the debt securities of such series;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any trust or power conferred on the trustee not relating to or arising under an event of default with respect to the debt securities of such series.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the Company to file with the trustee each year an officer’s certificate as to its compliance with the covenants contained in the indenture.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Except as provided in the next two succeeding paragraphs, the indenture or the debt securities of any series or Guarantee may be amended or supplemented, and waivers may be obtained, with the consent of the holders of at least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and any existing default or Event of Default (other than a default or Event of Default in the payment of the principal of, premium on, if any, interest or Additional Amounts, if any, on, debt securities of such series, except a payment default resulting from an acceleration that has been rescinded) or compliance with any provision of the indenture or the debt securities of such series or Guarantee may be waived with the consent of the holders of a majority in aggregate principal amount of the outstanding debt securities of such series (including, without limitation, additional debt securities of such series, if any) voting as a single class (including, without limitation, consents obtained in connection with a tender offer or exchange offer for, or purchase of debt securities of, such series) (other than in respect of a provision contained in the indenture that cannot be modified or amended without the consent of the holder of each outstanding debt security affected thereby).</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outstanding debt securities of any series, an amendment, supplement or waiver may not (with respect to any debt securities held by a non-consenting holder):</w:t>
      </w:r>
    </w:p>
    <w:p>
      <w:pPr>
        <w:spacing w:after="0" w:line="67"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of such series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or change the stated maturity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any debt security of such series or change the time at which any debt security of such series may or must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any debt security of such series payable in currency other than as originally stated in such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any debt security of such series;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debt securities of such series necessary to waive compliance with certain provisions of the indenture the debt securities of such series were issued under or to make any change in this provision for modification;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the debt securities.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preceding, without the consent of any holder of debt securities of any series, the Company, the Guarantor and the trustee may amend or supplement the indenture, the applicable debt securities of any series or the Guarantee in certain circumstances, including:</w:t>
      </w:r>
    </w:p>
    <w:p>
      <w:pPr>
        <w:spacing w:after="0" w:line="67"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or the Guarantor’s obligations under the indenture, and such series of debt securities or the Guarantee, as applicable, by a successor upon any merger, amalgamation, consolidation or asset transfer in accordance with the requirements under “—Consolidation, Amalgamation, Merger and Sale of Assets” or to provide for the assumption of the Company’s obligations under the indenture by a subsidiary of the Guarantor in accordance with the requirements under “—Assumption by a Subsidiary” above;</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of any series in addition to or in place of certificated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debt securities or for the addition of an additional obligor on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the indenture under the Trust Indenture Act, if applicable;</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any outstanding series of debt securities or to surrender any rights the Company has under the indenture;</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provided that any such change or elimination will not become effective with respect to any outstanding debt security of any series created prior to the execution of such supplemental indenture which is entitled to the benefit of such provision;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forms and terms and conditions of a new series of debt securities;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debt securities of any series; provided that such additional debt securities have the same terms as, and will be deemed part of the same series as, the applicable series of debt securities to the extent required under the indenture;</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with respect to the debt securities of one or more series and to add to or change any of the provisions of the indenture as are necessary to provide for or facilitate the administration of the trust by more than one trustee;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any series of debt securities;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its outstanding debt securities of such series in any material respect.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supplemental indenture that changes or eliminates any covenant, Event of Default or other provision of the indenture that has been expressly included solely for the benefit of one or more particular series of securities, if any, or which modifies the rights of the holders of securities of such series with respect to such covenant, Event of Default or other provision, will be deemed not to affect the rights under the indenture of the holders of securities of any other series. It will not be necessary for the consent of the holders to approve the particular form of any proposed supplement, amendment or waiver, but it will be sufficient if such consent approves the substance of it.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Stockholders and Certain Others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any obligations of the Company or the Guarantor under the applicable debt securities, indenture or Guarantee or for any claim based on, in respect of, or by reason of, such obligations or their creation. Each holder of debt securities by accepting a debt security waives and releases all such liability. The waiver and release are part of the consideration for issuance of the debt securities. The waiver may not be effective to waive liabilities under the federal securities laws.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defeasance means the discharge of the Company from some or all of its obligations under the indenture. If the Company deposits with the trustee funds or government obligations (as defined in the indenture) sufficient to make payments on any particular series of debt securities on the dates those payments are due and payable, then, at the Company’s option, either of the following will occur:</w:t>
      </w:r>
    </w:p>
    <w:p>
      <w:pPr>
        <w:spacing w:after="0" w:line="81" w:lineRule="exact"/>
        <w:rPr>
          <w:sz w:val="20"/>
          <w:szCs w:val="20"/>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discharged from its obligations with respect to the debt securities of such series, except as described in the paragraph immediately below (“legal defeasance”);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 longer have any obligation to comply with the restrictive covenants under the indenture with respect to the debt securities of such series, and the related Events of Default will no longer apply to the Company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exercise our legal defeasance option notwithstanding our prior exercise of our covenant defeasance option.</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we exercise our legal defeasance option with respect to any series of debt securities, the Company and the Guarantor will be deemed to have paid and discharged the entire indebtedness represented by the outstanding debt securities of such series and any related Guarantee, and to have satisfied all other obligations under such debt securities, such Guarantee and the indenture, except as to (i) the Company’s obligations to register the transfer or exchange of debt securities of such series, replace stolen, lost or mutilated debt securities, pay Additional Amounts, maintain paying agencies, and hold moneys for payment in trust, and (ii) the obligation of the Company and the Guarantor to compensate and indemnify the trustee.</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case of covenant defeasance, certain Events of Default (not including non-payment, bankruptcy, receivership, rehabilitation and insolvency events) will no longer apply. Except as specified in the indenture, however, the remainder of the indenture and such debt securities and the related Guarantee will be unaffected by the occurrence of covenant defeasance, and such debt securities will continue to be deemed “outstanding” for all other purposes under the indenture other than for the purposes of any direction, waiver, consent or declaration or act of holders (and the consequences of any thereof) in connection with any of the defeased covenants.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other requirements, we will be required to deliver to the trustee (i) an opinion of counsel or a tax ruling to the effect that the deposit and related defeasance would not cause the beneficial owners of the debt securities of such series to recognize income, gain or loss for U.S. federal income tax purposes, and (ii) an opinion of counsel or an advance tax ruling from the Canada Revenue Agency (or successor agency) to the effect that the beneficial owners of the debt securities will not recognize income, gain, or loss for Canadian federal, provincial or territorial income tax purposes as a result of the deposit and related defeasance and will be subject to Canadian federal, provincial or territorial income or other Canadian tax on the same amounts, in the same manner, and at the same times as would have been the case if such deposit and related defeasance had not occurred. If the Company elects legal defeasance, that opinion of counsel must be based upon a ruling from the U.S. Internal Revenue Service and from the Canada Revenue Agency (or successor agency) or changes in law to that effect.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Bank of New York Mellon will be trustee under the indenture. The trustee performs services for the Guarantor and its subsidiaries in the ordinary course of business.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indemnity or security reasonably satisfactory to it.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trustee becomes a creditor of the Company,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(as defined under the Trust Indenture Act), it must eliminate such conflict, resign or obtain an order from the SEC permitting it to remain as trustee.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Debt Securities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maintain one or more paying agents (each, a “Paying Agent”) for any debt securities we issue in the Borough of Manhattan, City of New York. Upon written notice to the trustee accompanied by an officer’s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certificate, we may appoint one or more paying agents, other than the trustee, for all or any series of such debt securities. If we fail to appoint or maintain another entity as Paying Agent, the trustee will act as such. The Company, the Guarantor or any of the Guarantor’s subsidiaries, upon notice to the trustee, may act as paying agent.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one or more registrars (each, a “Registrar”) with an office in the Borough of Manhattan, City of New York. Upon written notice to the trustee accompanied by an officer’s certificate, we may appoint one or more registrars, other than the trustee, for all or any series of debt securities. If we fail to appoint or maintain another entity as registrar, the trustee will act as such. The Company, the Guarantor or any of the Guarantor’s subsidiaries, upon notice to the trustee, may act as registrar.</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a transfer agent with an office in the Borough of Manhattan, City of New York. Each transfer agent will perform the functions of a transfer agent. Upon written notice to the trustee accompanied by an officer’s certificate, we may appoint one or more transfer agents, other than the trustee, for all or any series of debt securities. If we fail to appoint or maintain another entity as transfer agent, the trustee will act as such. The Company, the Guarantor or any of the Guarantor’s subsidiaries, upon notice to the trustee, may act as transfer agent.</w:t>
      </w:r>
    </w:p>
    <w:p>
      <w:pPr>
        <w:spacing w:after="0" w:line="180"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Registrar will maintain a register reflecting ownership of debt securities outstanding from time to time and the Paying Agent will make payments on and facilitate transfer of debt securities on our behalf.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change any Paying Agents, Registrars or transfer agents without prior notice to the holders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(a “Debt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authorized denominations and will be issued in registered form only, without coupons.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the Debt Depository for the debt securities will be, and any global securities will be deposited with, or on behalf of, The Depository Trust Company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securities in DTC (in the United States) through its direct and indirect participants, including Clearstream or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authorized denominations. Except as set forth below, the global securities may be transferred, in whole and not in part, only to another nominee of DTC or to a successor of DTC or its nominee.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Debt securities represented by a global security can be exchanged for definitive securities in registered form only if:</w:t>
      </w:r>
    </w:p>
    <w:p>
      <w:pPr>
        <w:spacing w:after="0" w:line="131" w:lineRule="exact"/>
        <w:rPr>
          <w:sz w:val="20"/>
          <w:szCs w:val="20"/>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Debt Depository for that global security and we do not appoint a successor Debt Depository within 90 days after receiving that notice;</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or in good standing under the Exchange Act or other applicable statute or regulation and we do not appoint a successor depositary within 90 days after becoming aware that DTC has ceased to be registered as a clearing agency; or</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that global security will be exchangeable for definitive securities in registered form and notify the trustee of such decision in writing.</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make principal and interest payments on all debt securities represented by a global security to a Paying Agent which in turn will make payment to DTC or its nominee, as the case may be, as the sole registered owner and the sole holder of the debt securities represented by a global security for all purposes under the indenture. Accordingly, we, the Guarantor, the trustee, any Paying Agent, Registrar or transfer agent will have no responsibility or liability for:</w:t>
      </w:r>
    </w:p>
    <w:p>
      <w:pPr>
        <w:spacing w:after="0" w:line="85" w:lineRule="exact"/>
        <w:rPr>
          <w:sz w:val="20"/>
          <w:szCs w:val="20"/>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debt security represented by a global security;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DTC</w:t>
      </w:r>
    </w:p>
    <w:p>
      <w:pPr>
        <w:spacing w:after="0" w:line="121" w:lineRule="exact"/>
        <w:rPr>
          <w:sz w:val="20"/>
          <w:szCs w:val="20"/>
          <w:color w:val="auto"/>
        </w:rPr>
      </w:pPr>
    </w:p>
    <w:p>
      <w:pPr>
        <w:jc w:val="both"/>
        <w:ind w:left="120" w:right="260" w:firstLine="440"/>
        <w:spacing w:after="0" w:line="270" w:lineRule="auto"/>
        <w:rPr>
          <w:sz w:val="20"/>
          <w:szCs w:val="20"/>
          <w:color w:val="auto"/>
        </w:rPr>
      </w:pPr>
      <w:r>
        <w:rPr>
          <w:rFonts w:ascii="Times New Roman" w:cs="Times New Roman" w:eastAsia="Times New Roman" w:hAnsi="Times New Roman"/>
          <w:sz w:val="17"/>
          <w:szCs w:val="17"/>
          <w:color w:val="auto"/>
        </w:rPr>
        <w:t>So long as DTC or its nominee is the registered owner of a global security, DTC or its nominee, as the case may be, will be considered the sole owner and holder of the debt securities represented by that global security for all purposes of the debt securities. Except as set forth above,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w:t>
      </w:r>
    </w:p>
    <w:p>
      <w:pPr>
        <w:spacing w:after="0" w:line="3" w:lineRule="exact"/>
        <w:rPr>
          <w:sz w:val="20"/>
          <w:szCs w:val="20"/>
          <w:color w:val="auto"/>
        </w:rPr>
      </w:pPr>
    </w:p>
    <w:p>
      <w:pPr>
        <w:ind w:left="120" w:right="280"/>
        <w:spacing w:after="0" w:line="252" w:lineRule="auto"/>
        <w:rPr>
          <w:sz w:val="20"/>
          <w:szCs w:val="20"/>
          <w:color w:val="auto"/>
        </w:rPr>
      </w:pPr>
      <w:r>
        <w:rPr>
          <w:rFonts w:ascii="Times New Roman" w:cs="Times New Roman" w:eastAsia="Times New Roman" w:hAnsi="Times New Roman"/>
          <w:sz w:val="18"/>
          <w:szCs w:val="18"/>
          <w:color w:val="auto"/>
        </w:rPr>
        <w:t>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Beneficial interests in a global security will be shown on, and transfers of those ownership interests will be effected only through, records maintained by DTC and its participants for that global security. The conveyance of 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none of us, the trustee or any of our respective agents takes any responsibility for the accuracy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or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or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 owned by Euroclear Clearance System Public Limited Company (ECSplc) and operated through Euroclear Bank S.A/N.V., or the Euroclear Operator, a bank incorporated under the laws of the Kingdom of Belgium, under contract with Euroclear Clearance Systems S.C., a Belgian cooperative corporation, or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Euroclear Operator advises us that it is regulated and examined by the Belgian banking and Finance Commission and the National Bank of Belgium.</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None of the Company, the Guarantor, the trustee, the Registrar, any Paying Agent or any transfer agent will have any responsibility for the performance by DTC, Euroclear or Clearstream or their respective direct or indirect participants of their obligations under the rules and procedures governing their operations.</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320" w:top="455" w:right="5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offered pursuant to this prospectus in any of the following ways:</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methods described in a prospectus supplement.</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brokers, dealers, agents or direct purchasers and their compensation in a prospectus supplement.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Underwriters and agents may be entitled under agreements entered into with the Company or the Guarantor, if applicable, to indemnification by the Company or the Guarantor, if applicable, against certain civil liabilities, including liabilities under the Securities Act, or to contribution with respect to payments which the underwriters or agents may be required to make. Underwriters and agents may be customers of, engage in transactions with, or perform services for the Company, the Guarantor and our affiliates in the ordinary course of business.</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debt securities and guarantees offered hereby will be passed upon for us by Gibson, Dunn &amp; Crutcher LLP, New York, New York. Certain matters of Canadian law will be passed upon by Bennett Jones, LLP, Calgary, Alberta.</w:t>
      </w:r>
    </w:p>
    <w:p>
      <w:pPr>
        <w:spacing w:after="0" w:line="3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Schlumberger Limited’s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40"/>
          </w:cols>
          <w:pgMar w:left="320" w:top="455" w:right="5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PART II — 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Other Expenses of Issuance and Distribution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expenses, other than underwriting discounts and commissions, to be paid by us in connection with the offering of the securities registered hereby. The assumed amount has been used to demonstrate the expenses of an offering and does not represent an estimate of the amount of securities that may be registered or distributed because such amount is unknown at this time.</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656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gridSpan w:val="2"/>
            <w:vMerge w:val="continue"/>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Trustee fees and expenses</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6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2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Rules 456(b) and 457(r) of the Securities Act of 1933, as amended, we are deferring payment of all of the registration fee for the securities offered by this registration statement.</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estimate of the aggregate amount of these expenses will be reflected in the applicable prospectus supplement.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Schlumberger Limited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Article 10 of Schlumberger’s Articles of Incorporation and Article V of Schlumberger’s Amended and Restated By-laws contain provisions providing for indemnification of Schlumberger’s directors, officers, employees and agents. Article 10 of the Articles of Incorporation permits (but does not require) Schlumberger to indemnify directors, officers, employees and agents, except that indemnification is mandatory with respect to a current or former officer or director in the event of a “Change of Control” (as defined below) or if such current or former officer or director has been successful on the merits or otherwise in the defense of any action, suit or proceeding. Article V of Schlumberger’s Amended and Restated By-laws contains mandatory indemnification for current and former directors and officers as described below.</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Schlumberger will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or she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Schlumberger,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Schlumberger, and, with respect to any criminal action or proceeding, had reasonable cause to believe that such person’s conduct was unlawful.</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60"/>
          </w:cols>
          <w:pgMar w:left="320" w:top="455" w:right="5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Schlumberger is required to indemnify any current or former officer or director of Schlumberger to the fullest extent allowed by the preceding paragraphs in the event of a “Change of Control.” “Change of Control” means a change in control of Schlumberger, which will be deemed to have occurred if at any time:</w:t>
      </w:r>
    </w:p>
    <w:p>
      <w:pPr>
        <w:spacing w:after="0" w:line="81" w:lineRule="exact"/>
        <w:rPr>
          <w:sz w:val="20"/>
          <w:szCs w:val="20"/>
          <w:color w:val="auto"/>
        </w:rPr>
      </w:pPr>
    </w:p>
    <w:p>
      <w:pPr>
        <w:ind w:left="1080" w:right="1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person or organization is or becomes the legal or beneficial owner, directly or indirectly, of securities of Schlumberger representing 30% or more of the combined voting power of Schlumberger’s then outstanding shares without the prior approval of at least two-thirds of the members of our board of directors in office immediately prior to such entity, person or organization attaining such percentage interest;</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is a party to a merger, consolidation, share exchange, sale of assets or other reorganization, or a proxy contest, as a consequence of which members of our board of directors in office immediately prior to such transaction or event constitute less than a majority of our board of directors thereafter; or</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15-month period, individuals who at the beginning of such period constituted our board of directors (including for this purpose any new director whose election or nomination for election by Schlumberger’s stockholders was approved by a vote of at least two-thirds of the directors then still in office who were directors at the beginning of such period) cease for any reason to constitute at least a majority of our board of directors.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fullest extent permitted by applicable law, Schlumberger will indemnify any current or former director or officer who was or is a party or is threatened to be made a party to any threatened, pending or completed action or suit by or in the right of Schlumberger to procure a judgment in Schlumberger’s favor by reason of the fact that such person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Schlumberger and except that no indemnification may be made with respect to any claim, issue or matter as to which such person has been finally adjudged to be liable to Schlumberger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Schlumberger is required to indemnify any present or former officer or director to the fullest extent allowed by this paragraph in the event of a Change of Control (as defined above).</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Any indemnification under the preceding three paragraphs (unless ordered by a court) may be extended to current or former employees or agents of Schlumberger only as authorized by the Chief Executive Officer or by contract approved, or by-laws, resolution or other action adopted or taken, by Schlumberger’s board of directors or by Schlumberger’s stockholders.</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Expenses (including attorneys’ fees) incurred by a current or former director or a current officer in defending any civil or criminal, administrative or investigative action, suit or proceeding will be paid by Schlumberger in advance of the final disposition of such action, suit or proceeding upon receipt of an undertaking by or on behalf of such person to repay such amount if it is ultimately determined that such person is not entitled to be indemnified by Schlumberger.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Schlumberger may pay such expenses (including attorneys’ fees) incurred by former officers or other employees and agents upon such terms and conditions, if any, it deems appropriate.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5" w:right="49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Schlumberger has the power to purchase and maintain insurance on behalf of any person who is or was a director, officer, employee or agent of Schlumberger, or is or was serving at the request of Schlumberger in such a capacity for another corporation, partnership, joint venture, trust or other enterprise or entity against any liability asserted against that person and incurred by that person in any of those capacities or arising out of such person’s status as such, whether or not Schlumberger would have the power to indemnify such person against such liability.</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References in this item 15 to Schlumberger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References in this item 15 to “other enterprises” includes employee benefit plans; references to “fines” includes any excise taxes assessed on a person with respect to any employee benefit plan; and references to “serving at the request of Schlumberger” includes any service as a director, officer, employee or agent of Schlumberger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will be deemed to have acted in a manner “not opposed to the best interests of Schlumberger.”</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 member of our board of directors, or a member of any committee designated by our board of directors, will, in the performance of such member’s duties, be fully protected in relying in good faith upon the records of Schlumberger and upon such information, opinions, reports or statements presented to Schlumberger by any of Schlumberger’s officers or employees, or committees of our board of directors, or by any other person as to matters the member reasonably believes are within such other person’s professional or expert competence and who has been selected with reasonable care by or on behalf of Schlumberger.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Schlumberger maintains directors’ and officers’ liability insurance that insures against certain liabilities that the officers and directors of Schlumberger may incur in such capacities.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Schlumberger Finance Canada Ltd.</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bylaws of Schlumberger Finance Canada Ltd. provide that directors may not be held personally liable by reason of their mandate for any commitment they have validly made in the Company’s name, provided those commitments comply with the bylaws of the Company and Alberta law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 (the “ABCA”).</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ABCA, the Company may indemnify a present or former director or officer or a person who acts or acted at the Company’s request as a director or officer of a body corporate of which the Company is or was a shareholder or creditor, and his or her heirs and legal representatives, against all costs, charges and expenses, including an amount paid to settle an action or satisfy a judgment, reasonably incurred by him or her in respect of any civil, criminal or administrative action or proceeding to which he or she is made a party by reason of being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having been a director or officer of the Company or that body corporate, if the director or officer acted honestly and in good faith with a view to the best interests of the Company, and, in the case of a criminal or administrative action or proceeding that is enforced by a monetary penalty, had reasonable grounds for believing that his or her conduct was lawful. Such indemnification may be in connection with a derivative action only with court approval. A director or officer is entitled to indemnification from the Company as a matter of right if he or she was substantially successful on the merits, fulfilled the conditions set forth above, and is fairly and reasonably entitled to indemnity.</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bylaws of the Company provide that, subject to the limitations contained in the ABCA, the Company will indemnify a director or officer, a former director or officer, or any other person who acts or acted at the Company’s request as a director or officer of a body corporate of which the Company is or was a shareholder or creditor, and his or her heirs and legal representatives against: (a) all costs, charges and expenses, including costs incurred in the defense of an action or proceeding and an amount paid to settle an action or satisfy a judgment, reasonably incurred by such director or officer in respect of any civil, criminal or administrative action or proceeding to which the director or officer or any other person is made a party by reason of being or having been a director or officer of the Company or body corporate (or any other person is otherwise involved because of that association with the Company or such other body corporate); and (b) subject to the approval of the court, all other costs, charges and expenses reasonably incurred by him or her in connection with such action, except in respect of an action by or on behalf of the Company, or such body corporate, to procure a judgment in its favor. In each case, the indemnity is conditioned upon the indemnitee: (i) having acted honestly and in good faith with a view to the best interests of the Company; and (ii) in the case of a criminal or administrative action or proceeding that is enforced by a monetary penalty, having had reasonable grounds for believing that his or her conduct was lawful. Notwithstanding the foregoing, each indemnitee will be entitled to indemnification from the Company in respect of all costs, charges and expenses reasonably incurred by him or her in connection with the defense of any civil, criminal or administrative action or proceeding to which he or she is made a party by reason of being or having been a director or officer of the Company or such other body corporate if he or she was substantially successful on the merits of his defense of the action or proceeding and fulfills the conditions described in (i) and (ii) above.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are the exhibits included as part of this Registration Statement.</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60"/>
        <w:spacing w:after="0"/>
        <w:tabs>
          <w:tab w:leader="none" w:pos="120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5080</wp:posOffset>
            </wp:positionV>
            <wp:extent cx="62922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77" w:lineRule="exact"/>
        <w:rPr>
          <w:sz w:val="20"/>
          <w:szCs w:val="20"/>
          <w:color w:val="auto"/>
        </w:rPr>
      </w:pPr>
    </w:p>
    <w:p>
      <w:pPr>
        <w:ind w:left="1220" w:hanging="1104"/>
        <w:spacing w:after="0"/>
        <w:tabs>
          <w:tab w:leader="none" w:pos="12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Underwriting Agreement.*</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3.1</w:t>
            </w:r>
          </w:p>
        </w:tc>
        <w:tc>
          <w:tcPr>
            <w:tcW w:w="9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Articles of Incorporation of Schlumberger Limited (Schlumberger N.V.), as amended on April 6, 2016 (incorporated by reference to</w:t>
              </w:r>
            </w:hyperlink>
          </w:p>
        </w:tc>
      </w:tr>
      <w:tr>
        <w:trPr>
          <w:trHeight w:val="196"/>
        </w:trPr>
        <w:tc>
          <w:tcPr>
            <w:tcW w:w="1100" w:type="dxa"/>
            <w:vAlign w:val="bottom"/>
          </w:tcPr>
          <w:p>
            <w:pPr>
              <w:spacing w:after="0"/>
              <w:rPr>
                <w:sz w:val="17"/>
                <w:szCs w:val="17"/>
                <w:color w:val="auto"/>
              </w:rPr>
            </w:pPr>
          </w:p>
        </w:tc>
        <w:tc>
          <w:tcPr>
            <w:tcW w:w="6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Exhibit 3.1 to Schlumberger’s Current Report on Form 8-K filed on April 6, 2016).</w:t>
              </w:r>
            </w:hyperlink>
          </w:p>
        </w:tc>
        <w:tc>
          <w:tcPr>
            <w:tcW w:w="3540" w:type="dxa"/>
            <w:vAlign w:val="bottom"/>
            <w:gridSpan w:val="2"/>
          </w:tcPr>
          <w:p>
            <w:pPr>
              <w:spacing w:after="0"/>
              <w:rPr>
                <w:sz w:val="17"/>
                <w:szCs w:val="17"/>
                <w:color w:val="auto"/>
              </w:rPr>
            </w:pPr>
          </w:p>
        </w:tc>
      </w:tr>
      <w:tr>
        <w:trPr>
          <w:trHeight w:val="304"/>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3.2</w:t>
            </w:r>
          </w:p>
        </w:tc>
        <w:tc>
          <w:tcPr>
            <w:tcW w:w="88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Amended and Restated By-Laws of Schlumberger Limited (Schlumberger N.V.) (incorporated by reference to Exhibit 3 to</w:t>
              </w:r>
            </w:hyperlink>
          </w:p>
        </w:tc>
        <w:tc>
          <w:tcPr>
            <w:tcW w:w="72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9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Schlumberger’s Current Report on Form 8-K filed on July 22, 2019).</w:t>
              </w:r>
            </w:hyperlink>
          </w:p>
        </w:tc>
        <w:tc>
          <w:tcPr>
            <w:tcW w:w="4560" w:type="dxa"/>
            <w:vAlign w:val="bottom"/>
            <w:gridSpan w:val="3"/>
          </w:tcPr>
          <w:p>
            <w:pPr>
              <w:spacing w:after="0"/>
              <w:rPr>
                <w:sz w:val="17"/>
                <w:szCs w:val="17"/>
                <w:color w:val="auto"/>
              </w:rPr>
            </w:pPr>
          </w:p>
        </w:tc>
      </w:tr>
      <w:tr>
        <w:trPr>
          <w:trHeight w:val="345"/>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3.3</w:t>
            </w:r>
          </w:p>
        </w:tc>
        <w:tc>
          <w:tcPr>
            <w:tcW w:w="9540" w:type="dxa"/>
            <w:vAlign w:val="bottom"/>
            <w:gridSpan w:val="4"/>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Articles of Incorporation of Schlumberger Finance Canada Ltd.</w:t>
              </w:r>
            </w:hyperlink>
          </w:p>
        </w:tc>
      </w:tr>
      <w:tr>
        <w:trPr>
          <w:trHeight w:val="324"/>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3.4</w:t>
            </w:r>
          </w:p>
        </w:tc>
        <w:tc>
          <w:tcPr>
            <w:tcW w:w="9540" w:type="dxa"/>
            <w:vAlign w:val="bottom"/>
            <w:gridSpan w:val="4"/>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Bylaws of Schlumberger Finance Canada Ltd.</w:t>
              </w:r>
            </w:hyperlink>
          </w:p>
        </w:tc>
      </w:tr>
      <w:tr>
        <w:trPr>
          <w:trHeight w:val="324"/>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4.1</w:t>
            </w:r>
          </w:p>
        </w:tc>
        <w:tc>
          <w:tcPr>
            <w:tcW w:w="9540" w:type="dxa"/>
            <w:vAlign w:val="bottom"/>
            <w:gridSpan w:val="4"/>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Form of Indenture.</w:t>
              </w:r>
            </w:hyperlink>
          </w:p>
        </w:tc>
      </w:tr>
      <w:tr>
        <w:trPr>
          <w:trHeight w:val="324"/>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4.2</w:t>
            </w: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324"/>
        </w:trPr>
        <w:tc>
          <w:tcPr>
            <w:tcW w:w="11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5.1</w:t>
            </w:r>
          </w:p>
        </w:tc>
        <w:tc>
          <w:tcPr>
            <w:tcW w:w="9540" w:type="dxa"/>
            <w:vAlign w:val="bottom"/>
            <w:gridSpan w:val="4"/>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Opinion of Gibson, Dunn &amp; Crutcher LLP.</w:t>
              </w:r>
            </w:hyperlink>
          </w:p>
        </w:tc>
      </w:tr>
      <w:tr>
        <w:trPr>
          <w:trHeight w:val="365"/>
        </w:trPr>
        <w:tc>
          <w:tcPr>
            <w:tcW w:w="1100" w:type="dxa"/>
            <w:vAlign w:val="bottom"/>
          </w:tcPr>
          <w:p>
            <w:pPr>
              <w:spacing w:after="0"/>
              <w:rPr>
                <w:sz w:val="24"/>
                <w:szCs w:val="24"/>
                <w:color w:val="auto"/>
              </w:rPr>
            </w:pPr>
          </w:p>
        </w:tc>
        <w:tc>
          <w:tcPr>
            <w:tcW w:w="9540" w:type="dxa"/>
            <w:vAlign w:val="bottom"/>
            <w:gridSpan w:val="4"/>
          </w:tcPr>
          <w:p>
            <w:pPr>
              <w:ind w:left="422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3"/>
                <w:szCs w:val="13"/>
                <w:color w:val="auto"/>
              </w:rPr>
            </w:pPr>
          </w:p>
        </w:tc>
        <w:tc>
          <w:tcPr>
            <w:tcW w:w="9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40" w:type="dxa"/>
            <w:vAlign w:val="bottom"/>
          </w:tcPr>
          <w:p>
            <w:pPr>
              <w:spacing w:after="0"/>
              <w:rPr>
                <w:sz w:val="15"/>
                <w:szCs w:val="15"/>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tcPr>
          <w:p>
            <w:pPr>
              <w:spacing w:after="0"/>
              <w:rPr>
                <w:sz w:val="24"/>
                <w:szCs w:val="24"/>
                <w:color w:val="auto"/>
              </w:rPr>
            </w:pPr>
          </w:p>
        </w:tc>
        <w:tc>
          <w:tcPr>
            <w:tcW w:w="9920" w:type="dxa"/>
            <w:vAlign w:val="bottom"/>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Opinion of STvB Advocaten (Europe) N.V.</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5.3</w:t>
            </w:r>
          </w:p>
        </w:tc>
        <w:tc>
          <w:tcPr>
            <w:tcW w:w="460" w:type="dxa"/>
            <w:vAlign w:val="bottom"/>
          </w:tcPr>
          <w:p>
            <w:pPr>
              <w:spacing w:after="0"/>
              <w:rPr>
                <w:sz w:val="24"/>
                <w:szCs w:val="24"/>
                <w:color w:val="auto"/>
              </w:rPr>
            </w:pPr>
          </w:p>
        </w:tc>
        <w:tc>
          <w:tcPr>
            <w:tcW w:w="9920" w:type="dxa"/>
            <w:vAlign w:val="bottom"/>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Opinion of Bennett Jones LLP.</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Issuer of Registered Guaranteed Debt Securities.*</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460" w:type="dxa"/>
            <w:vAlign w:val="bottom"/>
          </w:tcPr>
          <w:p>
            <w:pPr>
              <w:spacing w:after="0"/>
              <w:rPr>
                <w:sz w:val="24"/>
                <w:szCs w:val="24"/>
                <w:color w:val="auto"/>
              </w:rPr>
            </w:pPr>
          </w:p>
        </w:tc>
        <w:tc>
          <w:tcPr>
            <w:tcW w:w="9920" w:type="dxa"/>
            <w:vAlign w:val="bottom"/>
          </w:tcPr>
          <w:p>
            <w:pPr>
              <w:spacing w:after="0"/>
              <w:rPr>
                <w:rFonts w:ascii="Times New Roman" w:cs="Times New Roman" w:eastAsia="Times New Roman" w:hAnsi="Times New Roman"/>
                <w:sz w:val="18"/>
                <w:szCs w:val="18"/>
                <w:u w:val="single" w:color="auto"/>
                <w:color w:val="0000EE"/>
              </w:rPr>
            </w:pPr>
            <w:hyperlink w:anchor="page142">
              <w:r>
                <w:rPr>
                  <w:rFonts w:ascii="Times New Roman" w:cs="Times New Roman" w:eastAsia="Times New Roman" w:hAnsi="Times New Roman"/>
                  <w:sz w:val="18"/>
                  <w:szCs w:val="18"/>
                  <w:u w:val="single" w:color="auto"/>
                  <w:color w:val="0000EE"/>
                </w:rPr>
                <w:t>Consent of PricewaterhouseCoopers LLP.</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tcPr>
          <w:p>
            <w:pPr>
              <w:spacing w:after="0"/>
              <w:rPr>
                <w:sz w:val="24"/>
                <w:szCs w:val="24"/>
                <w:color w:val="auto"/>
              </w:rPr>
            </w:pPr>
          </w:p>
        </w:tc>
        <w:tc>
          <w:tcPr>
            <w:tcW w:w="9920" w:type="dxa"/>
            <w:vAlign w:val="bottom"/>
          </w:tcPr>
          <w:p>
            <w:pPr>
              <w:spacing w:after="0"/>
              <w:rPr>
                <w:rFonts w:ascii="Times New Roman" w:cs="Times New Roman" w:eastAsia="Times New Roman" w:hAnsi="Times New Roman"/>
                <w:sz w:val="18"/>
                <w:szCs w:val="18"/>
                <w:u w:val="single" w:color="auto"/>
                <w:color w:val="0000EE"/>
              </w:rPr>
            </w:pPr>
            <w:hyperlink w:anchor="page135">
              <w:r>
                <w:rPr>
                  <w:rFonts w:ascii="Times New Roman" w:cs="Times New Roman" w:eastAsia="Times New Roman" w:hAnsi="Times New Roman"/>
                  <w:sz w:val="18"/>
                  <w:szCs w:val="18"/>
                  <w:u w:val="single" w:color="auto"/>
                  <w:color w:val="0000EE"/>
                </w:rPr>
                <w:t>Consent of Gibson, Dunn &amp; Crutcher LLP (set forth in Exhibit 5.1).</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23.3</w:t>
            </w:r>
          </w:p>
        </w:tc>
        <w:tc>
          <w:tcPr>
            <w:tcW w:w="460" w:type="dxa"/>
            <w:vAlign w:val="bottom"/>
          </w:tcPr>
          <w:p>
            <w:pPr>
              <w:spacing w:after="0"/>
              <w:rPr>
                <w:sz w:val="24"/>
                <w:szCs w:val="24"/>
                <w:color w:val="auto"/>
              </w:rPr>
            </w:pPr>
          </w:p>
        </w:tc>
        <w:tc>
          <w:tcPr>
            <w:tcW w:w="9920" w:type="dxa"/>
            <w:vAlign w:val="bottom"/>
          </w:tcPr>
          <w:p>
            <w:pPr>
              <w:spacing w:after="0"/>
              <w:rPr>
                <w:rFonts w:ascii="Times New Roman" w:cs="Times New Roman" w:eastAsia="Times New Roman" w:hAnsi="Times New Roman"/>
                <w:sz w:val="18"/>
                <w:szCs w:val="18"/>
                <w:u w:val="single" w:color="auto"/>
                <w:color w:val="0000EE"/>
              </w:rPr>
            </w:pPr>
            <w:hyperlink w:anchor="page139">
              <w:r>
                <w:rPr>
                  <w:rFonts w:ascii="Times New Roman" w:cs="Times New Roman" w:eastAsia="Times New Roman" w:hAnsi="Times New Roman"/>
                  <w:sz w:val="18"/>
                  <w:szCs w:val="18"/>
                  <w:u w:val="single" w:color="auto"/>
                  <w:color w:val="0000EE"/>
                </w:rPr>
                <w:t>Consent of STvB Advocaten (Europe) N.V. (set forth in Exhibit 5.2).</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23.4</w:t>
            </w:r>
          </w:p>
        </w:tc>
        <w:tc>
          <w:tcPr>
            <w:tcW w:w="460" w:type="dxa"/>
            <w:vAlign w:val="bottom"/>
          </w:tcPr>
          <w:p>
            <w:pPr>
              <w:spacing w:after="0"/>
              <w:rPr>
                <w:sz w:val="24"/>
                <w:szCs w:val="24"/>
                <w:color w:val="auto"/>
              </w:rPr>
            </w:pPr>
          </w:p>
        </w:tc>
        <w:tc>
          <w:tcPr>
            <w:tcW w:w="9920" w:type="dxa"/>
            <w:vAlign w:val="bottom"/>
          </w:tcPr>
          <w:p>
            <w:pPr>
              <w:spacing w:after="0"/>
              <w:rPr>
                <w:rFonts w:ascii="Times New Roman" w:cs="Times New Roman" w:eastAsia="Times New Roman" w:hAnsi="Times New Roman"/>
                <w:sz w:val="18"/>
                <w:szCs w:val="18"/>
                <w:u w:val="single" w:color="auto"/>
                <w:color w:val="0000EE"/>
              </w:rPr>
            </w:pPr>
            <w:hyperlink w:anchor="page141">
              <w:r>
                <w:rPr>
                  <w:rFonts w:ascii="Times New Roman" w:cs="Times New Roman" w:eastAsia="Times New Roman" w:hAnsi="Times New Roman"/>
                  <w:sz w:val="18"/>
                  <w:szCs w:val="18"/>
                  <w:u w:val="single" w:color="auto"/>
                  <w:color w:val="0000EE"/>
                </w:rPr>
                <w:t>Consent of Bennett Jones LLP (set forth in Exhibit 5.3).</w:t>
              </w:r>
            </w:hyperlink>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20" w:hanging="1104"/>
        <w:spacing w:after="0"/>
        <w:tabs>
          <w:tab w:leader="none" w:pos="1220" w:val="left"/>
        </w:tabs>
        <w:numPr>
          <w:ilvl w:val="0"/>
          <w:numId w:val="34"/>
        </w:numPr>
        <w:rPr>
          <w:rFonts w:ascii="Times New Roman" w:cs="Times New Roman" w:eastAsia="Times New Roman" w:hAnsi="Times New Roman"/>
          <w:sz w:val="18"/>
          <w:szCs w:val="18"/>
          <w:u w:val="single" w:color="auto"/>
          <w:color w:val="0000EE"/>
        </w:rPr>
      </w:pPr>
      <w:hyperlink w:anchor="page143">
        <w:r>
          <w:rPr>
            <w:rFonts w:ascii="Times New Roman" w:cs="Times New Roman" w:eastAsia="Times New Roman" w:hAnsi="Times New Roman"/>
            <w:sz w:val="18"/>
            <w:szCs w:val="18"/>
            <w:u w:val="single" w:color="auto"/>
            <w:color w:val="0000EE"/>
          </w:rPr>
          <w:t>Power of Attorney.</w:t>
        </w:r>
      </w:hyperlink>
    </w:p>
    <w:p>
      <w:pPr>
        <w:spacing w:after="0" w:line="117" w:lineRule="exact"/>
        <w:rPr>
          <w:rFonts w:ascii="Times New Roman" w:cs="Times New Roman" w:eastAsia="Times New Roman" w:hAnsi="Times New Roman"/>
          <w:sz w:val="18"/>
          <w:szCs w:val="18"/>
          <w:u w:val="single" w:color="auto"/>
          <w:color w:val="0000EE"/>
        </w:rPr>
      </w:pPr>
    </w:p>
    <w:p>
      <w:pPr>
        <w:ind w:left="1220" w:hanging="1104"/>
        <w:spacing w:after="0"/>
        <w:tabs>
          <w:tab w:leader="none" w:pos="1220" w:val="left"/>
        </w:tabs>
        <w:numPr>
          <w:ilvl w:val="0"/>
          <w:numId w:val="34"/>
        </w:numPr>
        <w:rPr>
          <w:rFonts w:ascii="Times New Roman" w:cs="Times New Roman" w:eastAsia="Times New Roman" w:hAnsi="Times New Roman"/>
          <w:sz w:val="18"/>
          <w:szCs w:val="18"/>
          <w:u w:val="single" w:color="auto"/>
          <w:color w:val="0000EE"/>
        </w:rPr>
      </w:pPr>
      <w:hyperlink w:anchor="page145">
        <w:r>
          <w:rPr>
            <w:rFonts w:ascii="Times New Roman" w:cs="Times New Roman" w:eastAsia="Times New Roman" w:hAnsi="Times New Roman"/>
            <w:sz w:val="18"/>
            <w:szCs w:val="18"/>
            <w:u w:val="single" w:color="auto"/>
            <w:color w:val="0000EE"/>
          </w:rPr>
          <w:t>Statement of Eligibility and Qualification under the Trust Indenture Act of 1939 of The Bank of New York Mellon, as trustee.</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73660</wp:posOffset>
            </wp:positionH>
            <wp:positionV relativeFrom="paragraph">
              <wp:posOffset>257175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pacing w:after="0" w:line="221"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filed by amendment or as an exhibit to a Current Report on Form 8-K and incorporated by reference in the registration statement.</w:t>
      </w:r>
    </w:p>
    <w:p>
      <w:pPr>
        <w:spacing w:after="0" w:line="32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Item 17. </w:t>
      </w:r>
      <w:r>
        <w:rPr>
          <w:rFonts w:ascii="Times New Roman" w:cs="Times New Roman" w:eastAsia="Times New Roman" w:hAnsi="Times New Roman"/>
          <w:sz w:val="18"/>
          <w:szCs w:val="18"/>
          <w:b w:val="1"/>
          <w:bCs w:val="1"/>
          <w:i w:val="1"/>
          <w:iCs w:val="1"/>
          <w:color w:val="auto"/>
        </w:rPr>
        <w:t>Undertakings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w:t>
      </w:r>
    </w:p>
    <w:p>
      <w:pPr>
        <w:spacing w:after="0" w:line="117" w:lineRule="exact"/>
        <w:rPr>
          <w:rFonts w:ascii="Times New Roman" w:cs="Times New Roman" w:eastAsia="Times New Roman" w:hAnsi="Times New Roman"/>
          <w:sz w:val="18"/>
          <w:szCs w:val="18"/>
          <w:color w:val="auto"/>
        </w:rPr>
      </w:pPr>
    </w:p>
    <w:p>
      <w:pPr>
        <w:ind w:left="1100" w:right="20" w:firstLine="408"/>
        <w:spacing w:after="0" w:line="255" w:lineRule="auto"/>
        <w:tabs>
          <w:tab w:leader="none" w:pos="176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100" w:right="140" w:firstLine="408"/>
        <w:spacing w:after="0" w:line="282" w:lineRule="auto"/>
        <w:tabs>
          <w:tab w:leader="none" w:pos="1816"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2" w:lineRule="exact"/>
        <w:rPr>
          <w:rFonts w:ascii="Times New Roman" w:cs="Times New Roman" w:eastAsia="Times New Roman" w:hAnsi="Times New Roman"/>
          <w:sz w:val="18"/>
          <w:szCs w:val="18"/>
          <w:color w:val="auto"/>
        </w:rPr>
      </w:pPr>
    </w:p>
    <w:p>
      <w:pPr>
        <w:ind w:left="1100" w:right="10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above do not apply if the information required to be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post-effective amendment by those paragraphs is contained in reports filed with or furnished to the SEC by a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spacing w:after="0" w:line="74" w:lineRule="exact"/>
        <w:rPr>
          <w:rFonts w:ascii="Times New Roman" w:cs="Times New Roman" w:eastAsia="Times New Roman" w:hAnsi="Times New Roman"/>
          <w:sz w:val="18"/>
          <w:szCs w:val="18"/>
          <w:color w:val="auto"/>
        </w:rPr>
      </w:pPr>
    </w:p>
    <w:p>
      <w:pPr>
        <w:ind w:left="560" w:right="100" w:firstLine="419"/>
        <w:spacing w:after="0" w:line="266" w:lineRule="auto"/>
        <w:tabs>
          <w:tab w:leader="none" w:pos="123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08" w:lineRule="exact"/>
        <w:rPr>
          <w:rFonts w:ascii="Times New Roman" w:cs="Times New Roman" w:eastAsia="Times New Roman" w:hAnsi="Times New Roman"/>
          <w:sz w:val="18"/>
          <w:szCs w:val="18"/>
          <w:color w:val="auto"/>
        </w:rPr>
      </w:pPr>
    </w:p>
    <w:p>
      <w:pPr>
        <w:ind w:left="5600" w:hanging="156"/>
        <w:spacing w:after="0"/>
        <w:tabs>
          <w:tab w:leader="none" w:pos="5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- 5</w:t>
      </w:r>
    </w:p>
    <w:p>
      <w:pPr>
        <w:sectPr>
          <w:pgSz w:w="11900" w:h="16838" w:orient="portrait"/>
          <w:cols w:equalWidth="0" w:num="1">
            <w:col w:w="1114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0" w:firstLine="419"/>
        <w:spacing w:after="0" w:line="282" w:lineRule="auto"/>
        <w:tabs>
          <w:tab w:leader="none" w:pos="12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as amended, to any purchaser:</w:t>
      </w:r>
    </w:p>
    <w:p>
      <w:pPr>
        <w:spacing w:after="0" w:line="117" w:lineRule="exact"/>
        <w:rPr>
          <w:rFonts w:ascii="Times New Roman" w:cs="Times New Roman" w:eastAsia="Times New Roman" w:hAnsi="Times New Roman"/>
          <w:sz w:val="18"/>
          <w:szCs w:val="18"/>
          <w:color w:val="auto"/>
        </w:rPr>
      </w:pPr>
    </w:p>
    <w:p>
      <w:pPr>
        <w:ind w:left="1100" w:right="80" w:firstLine="408"/>
        <w:spacing w:after="0" w:line="282" w:lineRule="auto"/>
        <w:tabs>
          <w:tab w:leader="none" w:pos="17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00" w:firstLine="408"/>
        <w:spacing w:after="0" w:line="254" w:lineRule="auto"/>
        <w:tabs>
          <w:tab w:leader="none" w:pos="178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4" w:lineRule="exact"/>
        <w:rPr>
          <w:sz w:val="20"/>
          <w:szCs w:val="20"/>
          <w:color w:val="auto"/>
        </w:rPr>
      </w:pPr>
    </w:p>
    <w:p>
      <w:pPr>
        <w:ind w:left="560" w:right="100" w:firstLine="419"/>
        <w:spacing w:after="0" w:line="258" w:lineRule="auto"/>
        <w:tabs>
          <w:tab w:leader="none" w:pos="123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of 1933, as amended,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each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100" w:right="300" w:firstLine="408"/>
        <w:spacing w:after="0" w:line="282" w:lineRule="auto"/>
        <w:tabs>
          <w:tab w:leader="none" w:pos="179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an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100" w:right="220" w:firstLine="408"/>
        <w:spacing w:after="0" w:line="282" w:lineRule="auto"/>
        <w:tabs>
          <w:tab w:leader="none" w:pos="178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an undersigned registrant or used or referred to by an undersigned registrant;</w:t>
      </w:r>
    </w:p>
    <w:p>
      <w:pPr>
        <w:spacing w:after="0" w:line="53" w:lineRule="exact"/>
        <w:rPr>
          <w:rFonts w:ascii="Times New Roman" w:cs="Times New Roman" w:eastAsia="Times New Roman" w:hAnsi="Times New Roman"/>
          <w:sz w:val="18"/>
          <w:szCs w:val="18"/>
          <w:color w:val="auto"/>
        </w:rPr>
      </w:pPr>
    </w:p>
    <w:p>
      <w:pPr>
        <w:ind w:left="1100" w:right="280" w:firstLine="408"/>
        <w:spacing w:after="0" w:line="282" w:lineRule="auto"/>
        <w:tabs>
          <w:tab w:leader="none" w:pos="1786"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53" w:lineRule="exact"/>
        <w:rPr>
          <w:rFonts w:ascii="Times New Roman" w:cs="Times New Roman" w:eastAsia="Times New Roman" w:hAnsi="Times New Roman"/>
          <w:sz w:val="18"/>
          <w:szCs w:val="18"/>
          <w:color w:val="auto"/>
        </w:rPr>
      </w:pPr>
    </w:p>
    <w:p>
      <w:pPr>
        <w:ind w:left="1800" w:hanging="292"/>
        <w:spacing w:after="0"/>
        <w:tabs>
          <w:tab w:leader="none" w:pos="180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an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340" w:firstLine="436"/>
        <w:spacing w:after="0" w:line="258" w:lineRule="auto"/>
        <w:tabs>
          <w:tab w:leader="none" w:pos="8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that, for purposes of determining any liability under the Securities Act of 1933, as amended, each filing of Schlumberger Limited’s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Times New Roman" w:cs="Times New Roman" w:eastAsia="Times New Roman" w:hAnsi="Times New Roman"/>
          <w:sz w:val="18"/>
          <w:szCs w:val="18"/>
          <w:color w:val="auto"/>
        </w:rPr>
      </w:pPr>
    </w:p>
    <w:p>
      <w:pPr>
        <w:ind w:left="5600" w:hanging="156"/>
        <w:spacing w:after="0"/>
        <w:tabs>
          <w:tab w:leader="none" w:pos="5600" w:val="left"/>
        </w:tabs>
        <w:numPr>
          <w:ilvl w:val="3"/>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36"/>
        <w:spacing w:after="0" w:line="254" w:lineRule="auto"/>
        <w:tabs>
          <w:tab w:leader="none" w:pos="80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as amended, and is, therefore, unenforceable. In the event that a claim for indemnification against such liabilities (other than the payment by a registrant of expenses incurred or paid by a director, officer or controlling person of a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120" w:right="320" w:firstLine="436"/>
        <w:spacing w:after="0" w:line="266"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registrants hereby undertake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08" w:lineRule="exact"/>
        <w:rPr>
          <w:rFonts w:ascii="Times New Roman" w:cs="Times New Roman" w:eastAsia="Times New Roman" w:hAnsi="Times New Roman"/>
          <w:sz w:val="18"/>
          <w:szCs w:val="18"/>
          <w:color w:val="auto"/>
        </w:rPr>
      </w:pPr>
    </w:p>
    <w:p>
      <w:pPr>
        <w:ind w:left="5600" w:hanging="156"/>
        <w:spacing w:after="0"/>
        <w:tabs>
          <w:tab w:leader="none" w:pos="56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- 7</w:t>
      </w:r>
    </w:p>
    <w:p>
      <w:pPr>
        <w:sectPr>
          <w:pgSz w:w="11900" w:h="16838" w:orient="portrait"/>
          <w:cols w:equalWidth="0" w:num="1">
            <w:col w:w="11080"/>
          </w:cols>
          <w:pgMar w:left="320" w:top="455" w:right="49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the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2020.</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0" w:lineRule="exact"/>
        <w:rPr>
          <w:sz w:val="20"/>
          <w:szCs w:val="20"/>
          <w:color w:val="auto"/>
        </w:rPr>
      </w:pPr>
    </w:p>
    <w:p>
      <w:pPr>
        <w:jc w:val="center"/>
        <w:ind w:left="4000"/>
        <w:spacing w:after="0"/>
        <w:rPr>
          <w:sz w:val="20"/>
          <w:szCs w:val="20"/>
          <w:color w:val="auto"/>
        </w:rPr>
      </w:pPr>
      <w:r>
        <w:rPr>
          <w:rFonts w:ascii="Times New Roman" w:cs="Times New Roman" w:eastAsia="Times New Roman" w:hAnsi="Times New Roman"/>
          <w:sz w:val="18"/>
          <w:szCs w:val="18"/>
          <w:color w:val="auto"/>
        </w:rPr>
        <w:t>By: /s/ H</w:t>
      </w:r>
      <w:r>
        <w:rPr>
          <w:rFonts w:ascii="Times New Roman" w:cs="Times New Roman" w:eastAsia="Times New Roman" w:hAnsi="Times New Roman"/>
          <w:sz w:val="14"/>
          <w:szCs w:val="14"/>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Howard Guild</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(Olivier Le Peuch)</w:t>
            </w: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TEPHANE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IGUET</w:t>
            </w: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(Stephane Biguet)</w:t>
            </w: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4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H</w:t>
            </w:r>
            <w:r>
              <w:rPr>
                <w:rFonts w:ascii="Times New Roman" w:cs="Times New Roman" w:eastAsia="Times New Roman" w:hAnsi="Times New Roman"/>
                <w:sz w:val="14"/>
                <w:szCs w:val="14"/>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UILD</w:t>
            </w: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(Howard Guild)</w:t>
            </w: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(Patrick de La Chevardière)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(Miguel M. Galuccio)</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(Tatiana Mitrova)</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(Lubna S. Olayan)</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Chairman of the Board</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(Mark G. Papa)</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spacing w:after="0"/>
              <w:rPr>
                <w:sz w:val="24"/>
                <w:szCs w:val="24"/>
                <w:color w:val="auto"/>
              </w:rPr>
            </w:pPr>
          </w:p>
        </w:tc>
        <w:tc>
          <w:tcPr>
            <w:tcW w:w="42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60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(Leo Rafael Reif)</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60"/>
        </w:trPr>
        <w:tc>
          <w:tcPr>
            <w:tcW w:w="2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II-8</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920"/>
          </w:cols>
          <w:pgMar w:left="320" w:top="455" w:right="6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6"/>
        </w:trPr>
        <w:tc>
          <w:tcPr>
            <w:tcW w:w="21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(Henri Seydoux)</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Director</w:t>
            </w:r>
          </w:p>
        </w:tc>
        <w:tc>
          <w:tcPr>
            <w:tcW w:w="24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(Jeff W. Sheets)</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54"/>
        </w:trPr>
        <w:tc>
          <w:tcPr>
            <w:tcW w:w="4960" w:type="dxa"/>
            <w:vAlign w:val="bottom"/>
            <w:gridSpan w:val="5"/>
          </w:tcPr>
          <w:p>
            <w:pPr>
              <w:jc w:val="center"/>
              <w:ind w:right="2820"/>
              <w:spacing w:after="0"/>
              <w:rPr>
                <w:sz w:val="20"/>
                <w:szCs w:val="20"/>
                <w:color w:val="auto"/>
              </w:rPr>
            </w:pPr>
            <w:r>
              <w:rPr>
                <w:rFonts w:ascii="Times New Roman" w:cs="Times New Roman" w:eastAsia="Times New Roman" w:hAnsi="Times New Roman"/>
                <w:sz w:val="18"/>
                <w:szCs w:val="18"/>
                <w:color w:val="auto"/>
              </w:rPr>
              <w:t>*By:  /s/ S</w:t>
            </w:r>
            <w:r>
              <w:rPr>
                <w:rFonts w:ascii="Times New Roman" w:cs="Times New Roman" w:eastAsia="Times New Roman" w:hAnsi="Times New Roman"/>
                <w:sz w:val="14"/>
                <w:szCs w:val="14"/>
                <w:color w:val="auto"/>
              </w:rPr>
              <w:t>AUL</w:t>
            </w:r>
            <w:r>
              <w:rPr>
                <w:rFonts w:ascii="Times New Roman" w:cs="Times New Roman" w:eastAsia="Times New Roman" w:hAnsi="Times New Roman"/>
                <w:sz w:val="18"/>
                <w:szCs w:val="18"/>
                <w:color w:val="auto"/>
              </w:rPr>
              <w:t xml:space="preserve"> R. L</w:t>
            </w:r>
            <w:r>
              <w:rPr>
                <w:rFonts w:ascii="Times New Roman" w:cs="Times New Roman" w:eastAsia="Times New Roman" w:hAnsi="Times New Roman"/>
                <w:sz w:val="14"/>
                <w:szCs w:val="14"/>
                <w:color w:val="auto"/>
              </w:rPr>
              <w:t>AURELES</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980" w:type="dxa"/>
            <w:vAlign w:val="bottom"/>
            <w:tcBorders>
              <w:top w:val="single" w:sz="8" w:color="auto"/>
            </w:tcBorders>
            <w:gridSpan w:val="3"/>
          </w:tcPr>
          <w:p>
            <w:pPr>
              <w:jc w:val="center"/>
              <w:ind w:right="2660"/>
              <w:spacing w:after="0" w:line="191" w:lineRule="exact"/>
              <w:rPr>
                <w:sz w:val="20"/>
                <w:szCs w:val="20"/>
                <w:color w:val="auto"/>
              </w:rPr>
            </w:pPr>
            <w:r>
              <w:rPr>
                <w:rFonts w:ascii="Times New Roman" w:cs="Times New Roman" w:eastAsia="Times New Roman" w:hAnsi="Times New Roman"/>
                <w:sz w:val="18"/>
                <w:szCs w:val="18"/>
                <w:color w:val="auto"/>
              </w:rPr>
              <w:t>Saul R. Laureles</w:t>
            </w:r>
          </w:p>
        </w:tc>
        <w:tc>
          <w:tcPr>
            <w:tcW w:w="5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4540" w:type="dxa"/>
            <w:vAlign w:val="bottom"/>
            <w:gridSpan w:val="4"/>
          </w:tcPr>
          <w:p>
            <w:pPr>
              <w:jc w:val="center"/>
              <w:ind w:right="3200"/>
              <w:spacing w:after="0"/>
              <w:rPr>
                <w:sz w:val="20"/>
                <w:szCs w:val="20"/>
                <w:color w:val="auto"/>
              </w:rPr>
            </w:pPr>
            <w:r>
              <w:rPr>
                <w:rFonts w:ascii="Times New Roman" w:cs="Times New Roman" w:eastAsia="Times New Roman" w:hAnsi="Times New Roman"/>
                <w:sz w:val="18"/>
                <w:szCs w:val="18"/>
                <w:color w:val="auto"/>
              </w:rPr>
              <w:t>Attorney-in-Fact</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64"/>
        </w:trPr>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II-9</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880"/>
          </w:cols>
          <w:pgMar w:left="320" w:top="455" w:right="6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Calgary, Alberta, on the 9</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2020.</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SCHLUMBERGER FINANCE CANADA LTD.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w:t>
      </w:r>
      <w:r>
        <w:rPr>
          <w:rFonts w:ascii="Times New Roman" w:cs="Times New Roman" w:eastAsia="Times New Roman" w:hAnsi="Times New Roman"/>
          <w:sz w:val="14"/>
          <w:szCs w:val="14"/>
          <w:color w:val="auto"/>
        </w:rPr>
        <w:t>ATYANA</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AMBERT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Tatyana A. Lambert</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Treasurer</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160" w:type="dxa"/>
            <w:vAlign w:val="bottom"/>
            <w:gridSpan w:val="2"/>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gridSpan w:val="2"/>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(Patrick Delisle)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ATYANA</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AMBERT</w:t>
            </w:r>
          </w:p>
        </w:tc>
        <w:tc>
          <w:tcPr>
            <w:tcW w:w="36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8"/>
              </w:rPr>
              <w:t>Treasurer and Director</w:t>
            </w:r>
          </w:p>
        </w:tc>
        <w:tc>
          <w:tcPr>
            <w:tcW w:w="21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w w:val="99"/>
              </w:rPr>
              <w:t>(Tatyana A. Lambert)</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27"/>
        </w:trPr>
        <w:tc>
          <w:tcPr>
            <w:tcW w:w="2800" w:type="dxa"/>
            <w:vAlign w:val="bottom"/>
            <w:tcBorders>
              <w:bottom w:val="single" w:sz="8" w:color="auto"/>
            </w:tcBorders>
            <w:gridSpan w:val="3"/>
          </w:tcPr>
          <w:p>
            <w:pPr>
              <w:jc w:val="center"/>
              <w:ind w:left="20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6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President and Director</w:t>
            </w:r>
          </w:p>
        </w:tc>
        <w:tc>
          <w:tcPr>
            <w:tcW w:w="214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rPr>
              <w:t>September 9, 2020</w:t>
            </w:r>
          </w:p>
        </w:tc>
      </w:tr>
      <w:tr>
        <w:trPr>
          <w:trHeight w:val="228"/>
        </w:trPr>
        <w:tc>
          <w:tcPr>
            <w:tcW w:w="420" w:type="dxa"/>
            <w:vAlign w:val="bottom"/>
          </w:tcPr>
          <w:p>
            <w:pPr>
              <w:spacing w:after="0"/>
              <w:rPr>
                <w:sz w:val="19"/>
                <w:szCs w:val="19"/>
                <w:color w:val="auto"/>
              </w:rPr>
            </w:pPr>
          </w:p>
        </w:tc>
        <w:tc>
          <w:tcPr>
            <w:tcW w:w="4540" w:type="dxa"/>
            <w:vAlign w:val="bottom"/>
            <w:gridSpan w:val="4"/>
          </w:tcPr>
          <w:p>
            <w:pPr>
              <w:jc w:val="center"/>
              <w:ind w:right="420"/>
              <w:spacing w:after="0"/>
              <w:rPr>
                <w:sz w:val="20"/>
                <w:szCs w:val="20"/>
                <w:color w:val="auto"/>
              </w:rPr>
            </w:pPr>
            <w:r>
              <w:rPr>
                <w:rFonts w:ascii="Times New Roman" w:cs="Times New Roman" w:eastAsia="Times New Roman" w:hAnsi="Times New Roman"/>
                <w:sz w:val="18"/>
                <w:szCs w:val="18"/>
                <w:color w:val="auto"/>
              </w:rPr>
              <w:t>(Mark O’Byrne)</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54"/>
        </w:trPr>
        <w:tc>
          <w:tcPr>
            <w:tcW w:w="4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T</w:t>
            </w:r>
            <w:r>
              <w:rPr>
                <w:rFonts w:ascii="Times New Roman" w:cs="Times New Roman" w:eastAsia="Times New Roman" w:hAnsi="Times New Roman"/>
                <w:sz w:val="14"/>
                <w:szCs w:val="14"/>
                <w:color w:val="auto"/>
              </w:rPr>
              <w:t>ATYANA</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AMBERT</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420" w:type="dxa"/>
            <w:vAlign w:val="bottom"/>
          </w:tcPr>
          <w:p>
            <w:pPr>
              <w:spacing w:after="0"/>
              <w:rPr>
                <w:sz w:val="16"/>
                <w:szCs w:val="16"/>
                <w:color w:val="auto"/>
              </w:rPr>
            </w:pPr>
          </w:p>
        </w:tc>
        <w:tc>
          <w:tcPr>
            <w:tcW w:w="3980" w:type="dxa"/>
            <w:vAlign w:val="bottom"/>
            <w:tcBorders>
              <w:top w:val="single" w:sz="8" w:color="auto"/>
            </w:tcBorders>
            <w:gridSpan w:val="3"/>
          </w:tcPr>
          <w:p>
            <w:pPr>
              <w:ind w:left="60"/>
              <w:spacing w:after="0" w:line="191" w:lineRule="exact"/>
              <w:rPr>
                <w:sz w:val="20"/>
                <w:szCs w:val="20"/>
                <w:color w:val="auto"/>
              </w:rPr>
            </w:pPr>
            <w:r>
              <w:rPr>
                <w:rFonts w:ascii="Times New Roman" w:cs="Times New Roman" w:eastAsia="Times New Roman" w:hAnsi="Times New Roman"/>
                <w:sz w:val="18"/>
                <w:szCs w:val="18"/>
                <w:color w:val="auto"/>
              </w:rPr>
              <w:t>Tatyana A. Lambert</w:t>
            </w:r>
          </w:p>
        </w:tc>
        <w:tc>
          <w:tcPr>
            <w:tcW w:w="5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34"/>
        </w:trPr>
        <w:tc>
          <w:tcPr>
            <w:tcW w:w="420" w:type="dxa"/>
            <w:vAlign w:val="bottom"/>
          </w:tcPr>
          <w:p>
            <w:pPr>
              <w:spacing w:after="0"/>
              <w:rPr>
                <w:sz w:val="20"/>
                <w:szCs w:val="20"/>
                <w:color w:val="auto"/>
              </w:rPr>
            </w:pPr>
          </w:p>
        </w:tc>
        <w:tc>
          <w:tcPr>
            <w:tcW w:w="45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Attorney-in-Fact</w:t>
            </w:r>
          </w:p>
        </w:tc>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64"/>
        </w:trPr>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II-10</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920"/>
          </w:cols>
          <w:pgMar w:left="320" w:top="455" w:right="659" w:bottom="1440" w:gutter="0" w:footer="0" w:header="0"/>
        </w:sectPr>
      </w:pPr>
    </w:p>
    <w:bookmarkStart w:id="42" w:name="page43"/>
    <w:bookmarkEnd w:id="42"/>
    <w:p>
      <w:pPr>
        <w:ind w:left="10184"/>
        <w:spacing w:after="0"/>
        <w:rPr>
          <w:sz w:val="20"/>
          <w:szCs w:val="20"/>
          <w:color w:val="auto"/>
        </w:rPr>
      </w:pPr>
      <w:r>
        <w:rPr>
          <w:rFonts w:ascii="Times New Roman" w:cs="Times New Roman" w:eastAsia="Times New Roman" w:hAnsi="Times New Roman"/>
          <w:sz w:val="17"/>
          <w:szCs w:val="17"/>
          <w:b w:val="1"/>
          <w:bCs w:val="1"/>
          <w:color w:val="auto"/>
        </w:rPr>
        <w:t>Exhibit 3.3</w:t>
      </w:r>
    </w:p>
    <w:p>
      <w:pPr>
        <w:sectPr>
          <w:pgSz w:w="11900" w:h="16838" w:orient="portrait"/>
          <w:cols w:equalWidth="0" w:num="1">
            <w:col w:w="11024"/>
          </w:cols>
          <w:pgMar w:left="436" w:top="117" w:right="439" w:bottom="1440" w:gutter="0" w:footer="0" w:header="0"/>
        </w:sectPr>
      </w:pPr>
    </w:p>
    <w:p>
      <w:pPr>
        <w:spacing w:after="0" w:line="264" w:lineRule="exact"/>
        <w:rPr>
          <w:sz w:val="20"/>
          <w:szCs w:val="20"/>
          <w:color w:val="auto"/>
        </w:rPr>
      </w:pPr>
    </w:p>
    <w:p>
      <w:pPr>
        <w:ind w:left="4244"/>
        <w:spacing w:after="0"/>
        <w:rPr>
          <w:sz w:val="20"/>
          <w:szCs w:val="20"/>
          <w:color w:val="auto"/>
        </w:rPr>
      </w:pPr>
      <w:r>
        <w:rPr>
          <w:rFonts w:ascii="Times New Roman" w:cs="Times New Roman" w:eastAsia="Times New Roman" w:hAnsi="Times New Roman"/>
          <w:sz w:val="17"/>
          <w:szCs w:val="17"/>
          <w:b w:val="1"/>
          <w:bCs w:val="1"/>
          <w:color w:val="auto"/>
        </w:rPr>
        <w:t>BUSINESS CORPORATIONS ACT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w:t>
      </w:r>
    </w:p>
    <w:p>
      <w:pPr>
        <w:spacing w:after="0" w:line="200" w:lineRule="exact"/>
        <w:rPr>
          <w:sz w:val="20"/>
          <w:szCs w:val="20"/>
          <w:color w:val="auto"/>
        </w:rPr>
      </w:pPr>
    </w:p>
    <w:p>
      <w:pPr>
        <w:sectPr>
          <w:pgSz w:w="11900" w:h="16838" w:orient="portrait"/>
          <w:cols w:equalWidth="0" w:num="2">
            <w:col w:w="9644" w:space="720"/>
            <w:col w:w="660"/>
          </w:cols>
          <w:pgMar w:left="436" w:top="117" w:right="43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Alberta</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Articles of Incorporation</w:t>
      </w:r>
    </w:p>
    <w:p>
      <w:pPr>
        <w:spacing w:after="0" w:line="200" w:lineRule="exact"/>
        <w:rPr>
          <w:sz w:val="20"/>
          <w:szCs w:val="20"/>
          <w:color w:val="auto"/>
        </w:rPr>
      </w:pPr>
    </w:p>
    <w:p>
      <w:pPr>
        <w:sectPr>
          <w:pgSz w:w="11900" w:h="16838" w:orient="portrait"/>
          <w:cols w:equalWidth="0" w:num="2">
            <w:col w:w="8384" w:space="720"/>
            <w:col w:w="1920"/>
          </w:cols>
          <w:pgMar w:left="436" w:top="117" w:right="439" w:bottom="1440" w:gutter="0" w:footer="0" w:header="0"/>
          <w:type w:val="continuous"/>
        </w:sectPr>
      </w:pPr>
    </w:p>
    <w:p>
      <w:pPr>
        <w:spacing w:after="0" w:line="64" w:lineRule="exact"/>
        <w:rPr>
          <w:sz w:val="20"/>
          <w:szCs w:val="20"/>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Corporation</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SCHLUMBERGER FINANCE CANADA LTD.</w:t>
      </w:r>
    </w:p>
    <w:p>
      <w:pPr>
        <w:spacing w:after="0" w:line="252" w:lineRule="exact"/>
        <w:rPr>
          <w:rFonts w:ascii="Times New Roman" w:cs="Times New Roman" w:eastAsia="Times New Roman" w:hAnsi="Times New Roman"/>
          <w:sz w:val="18"/>
          <w:szCs w:val="18"/>
          <w:b w:val="1"/>
          <w:bCs w:val="1"/>
          <w:color w:val="auto"/>
        </w:rPr>
      </w:pPr>
    </w:p>
    <w:p>
      <w:pPr>
        <w:ind w:left="444" w:right="2800" w:hanging="444"/>
        <w:spacing w:after="0" w:line="412" w:lineRule="auto"/>
        <w:tabs>
          <w:tab w:leader="none" w:pos="43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The classes of shares, and any maximum number of shares that the corporation is authorized to issue: </w:t>
      </w:r>
      <w:r>
        <w:rPr>
          <w:rFonts w:ascii="Times New Roman" w:cs="Times New Roman" w:eastAsia="Times New Roman" w:hAnsi="Times New Roman"/>
          <w:sz w:val="18"/>
          <w:szCs w:val="18"/>
          <w:color w:val="auto"/>
        </w:rPr>
        <w:t>The attached Schedule of Share Capital is incorporated into and forms part of this form.</w:t>
      </w:r>
    </w:p>
    <w:p>
      <w:pPr>
        <w:spacing w:after="0" w:line="72"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share transfers </w:t>
      </w:r>
      <w:r>
        <w:rPr>
          <w:rFonts w:ascii="Times New Roman" w:cs="Times New Roman" w:eastAsia="Times New Roman" w:hAnsi="Times New Roman"/>
          <w:sz w:val="18"/>
          <w:szCs w:val="18"/>
          <w:i w:val="1"/>
          <w:iCs w:val="1"/>
          <w:color w:val="auto"/>
        </w:rPr>
        <w:t>(if any)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attached Schedule of Restrictions on Share Transfers is incorporated into and forms part of this form.</w:t>
      </w:r>
    </w:p>
    <w:p>
      <w:pPr>
        <w:spacing w:after="0" w:line="248" w:lineRule="exact"/>
        <w:rPr>
          <w:rFonts w:ascii="Times New Roman" w:cs="Times New Roman" w:eastAsia="Times New Roman" w:hAnsi="Times New Roman"/>
          <w:sz w:val="18"/>
          <w:szCs w:val="18"/>
          <w:b w:val="1"/>
          <w:bCs w:val="1"/>
          <w:color w:val="auto"/>
        </w:rPr>
      </w:pPr>
    </w:p>
    <w:p>
      <w:pPr>
        <w:ind w:left="444" w:right="3720" w:hanging="444"/>
        <w:spacing w:after="0" w:line="412" w:lineRule="auto"/>
        <w:tabs>
          <w:tab w:leader="none" w:pos="43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or minimum and maximum number, of directors that the corporation may have: </w:t>
      </w:r>
      <w:r>
        <w:rPr>
          <w:rFonts w:ascii="Times New Roman" w:cs="Times New Roman" w:eastAsia="Times New Roman" w:hAnsi="Times New Roman"/>
          <w:sz w:val="18"/>
          <w:szCs w:val="18"/>
          <w:color w:val="auto"/>
        </w:rPr>
        <w:t>Not less than One (1) director and not more than Seven (7) directors.</w:t>
      </w:r>
    </w:p>
    <w:p>
      <w:pPr>
        <w:spacing w:after="0" w:line="72" w:lineRule="exact"/>
        <w:rPr>
          <w:rFonts w:ascii="Times New Roman" w:cs="Times New Roman" w:eastAsia="Times New Roman" w:hAnsi="Times New Roman"/>
          <w:sz w:val="18"/>
          <w:szCs w:val="18"/>
          <w:b w:val="1"/>
          <w:bCs w:val="1"/>
          <w:color w:val="auto"/>
        </w:rPr>
      </w:pPr>
    </w:p>
    <w:p>
      <w:pPr>
        <w:ind w:left="424" w:right="740" w:hanging="424"/>
        <w:spacing w:after="0" w:line="286" w:lineRule="auto"/>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corporation is restricted FROM carrying on a certain business, or restricted TO carrying on a certain business, specify the restriction(s):</w:t>
      </w:r>
    </w:p>
    <w:p>
      <w:pPr>
        <w:spacing w:after="0" w:line="50"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rules or provisions </w:t>
      </w:r>
      <w:r>
        <w:rPr>
          <w:rFonts w:ascii="Times New Roman" w:cs="Times New Roman" w:eastAsia="Times New Roman" w:hAnsi="Times New Roman"/>
          <w:sz w:val="18"/>
          <w:szCs w:val="18"/>
          <w:i w:val="1"/>
          <w:iCs w:val="1"/>
          <w:color w:val="auto"/>
        </w:rPr>
        <w:t>(if any)</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attached Schedule of Other Provisions is incorporated into and forms part of this form.</w:t>
      </w:r>
    </w:p>
    <w:p>
      <w:pPr>
        <w:spacing w:after="0" w:line="248"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Dated: </w:t>
      </w:r>
      <w:r>
        <w:rPr>
          <w:rFonts w:ascii="Times New Roman" w:cs="Times New Roman" w:eastAsia="Times New Roman" w:hAnsi="Times New Roman"/>
          <w:sz w:val="18"/>
          <w:szCs w:val="18"/>
          <w:color w:val="auto"/>
        </w:rPr>
        <w:t>October 31, 2017</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Incorporators</w:t>
      </w:r>
    </w:p>
    <w:p>
      <w:pPr>
        <w:sectPr>
          <w:pgSz w:w="11900" w:h="16838" w:orient="portrait"/>
          <w:cols w:equalWidth="0" w:num="1">
            <w:col w:w="11024"/>
          </w:cols>
          <w:pgMar w:left="436" w:top="117" w:right="439" w:bottom="1440" w:gutter="0" w:footer="0" w:header="0"/>
          <w:type w:val="continuous"/>
        </w:sectPr>
      </w:pPr>
    </w:p>
    <w:p>
      <w:pPr>
        <w:spacing w:after="0" w:line="250" w:lineRule="exact"/>
        <w:rPr>
          <w:sz w:val="20"/>
          <w:szCs w:val="20"/>
          <w:color w:val="auto"/>
        </w:rPr>
      </w:pPr>
    </w:p>
    <w:p>
      <w:pPr>
        <w:ind w:left="704"/>
        <w:spacing w:after="0"/>
        <w:rPr>
          <w:sz w:val="20"/>
          <w:szCs w:val="20"/>
          <w:color w:val="auto"/>
        </w:rPr>
      </w:pPr>
      <w:r>
        <w:rPr>
          <w:rFonts w:ascii="Times New Roman" w:cs="Times New Roman" w:eastAsia="Times New Roman" w:hAnsi="Times New Roman"/>
          <w:sz w:val="14"/>
          <w:szCs w:val="14"/>
          <w:color w:val="auto"/>
        </w:rPr>
        <w:t xml:space="preserve">Name of Person Authorizing </w:t>
      </w:r>
      <w:r>
        <w:rPr>
          <w:rFonts w:ascii="Times New Roman" w:cs="Times New Roman" w:eastAsia="Times New Roman" w:hAnsi="Times New Roman"/>
          <w:sz w:val="14"/>
          <w:szCs w:val="14"/>
          <w:i w:val="1"/>
          <w:iCs w:val="1"/>
          <w:color w:val="auto"/>
        </w:rPr>
        <w:t>(please print)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Address: </w:t>
      </w:r>
      <w:r>
        <w:rPr>
          <w:rFonts w:ascii="Times New Roman" w:cs="Times New Roman" w:eastAsia="Times New Roman" w:hAnsi="Times New Roman"/>
          <w:sz w:val="14"/>
          <w:szCs w:val="14"/>
          <w:i w:val="1"/>
          <w:iCs w:val="1"/>
          <w:color w:val="auto"/>
        </w:rPr>
        <w:t>(including postal code)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w:t>
      </w:r>
    </w:p>
    <w:p>
      <w:pPr>
        <w:spacing w:after="0" w:line="100" w:lineRule="exact"/>
        <w:rPr>
          <w:sz w:val="20"/>
          <w:szCs w:val="20"/>
          <w:color w:val="auto"/>
        </w:rPr>
      </w:pPr>
    </w:p>
    <w:p>
      <w:pPr>
        <w:sectPr>
          <w:pgSz w:w="11900" w:h="16838" w:orient="portrait"/>
          <w:cols w:equalWidth="0" w:num="3">
            <w:col w:w="4084" w:space="720"/>
            <w:col w:w="3520" w:space="720"/>
            <w:col w:w="1980"/>
          </w:cols>
          <w:pgMar w:left="436" w:top="117"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Megan J. Bertram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4500, 855 - 2nd Street S.W.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Calgary, Alberta T2P 4K7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Megan J. Bertram</w:t>
      </w:r>
    </w:p>
    <w:p>
      <w:pPr>
        <w:spacing w:after="0" w:line="344" w:lineRule="exact"/>
        <w:rPr>
          <w:sz w:val="20"/>
          <w:szCs w:val="20"/>
          <w:color w:val="auto"/>
        </w:rPr>
      </w:pPr>
    </w:p>
    <w:p>
      <w:pPr>
        <w:sectPr>
          <w:pgSz w:w="11900" w:h="16838" w:orient="portrait"/>
          <w:cols w:equalWidth="0" w:num="3">
            <w:col w:w="3264" w:space="720"/>
            <w:col w:w="2920" w:space="720"/>
            <w:col w:w="3400"/>
          </w:cols>
          <w:pgMar w:left="436" w:top="117" w:right="439" w:bottom="1440" w:gutter="0" w:footer="0" w:header="0"/>
          <w:type w:val="continuous"/>
        </w:sectPr>
      </w:pPr>
    </w:p>
    <w:p>
      <w:pPr>
        <w:jc w:val="center"/>
        <w:ind w:left="7600"/>
        <w:spacing w:after="0"/>
        <w:rPr>
          <w:sz w:val="20"/>
          <w:szCs w:val="20"/>
          <w:color w:val="auto"/>
        </w:rPr>
      </w:pPr>
      <w:r>
        <w:rPr>
          <w:rFonts w:ascii="Times New Roman" w:cs="Times New Roman" w:eastAsia="Times New Roman" w:hAnsi="Times New Roman"/>
          <w:sz w:val="18"/>
          <w:szCs w:val="18"/>
          <w:color w:val="auto"/>
        </w:rPr>
        <w:t>REGISTERED ON</w:t>
      </w:r>
    </w:p>
    <w:p>
      <w:pPr>
        <w:spacing w:after="0" w:line="2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color w:val="auto"/>
        </w:rPr>
        <w:t>THE ALBERTA REGISTRIES</w:t>
      </w:r>
    </w:p>
    <w:p>
      <w:pPr>
        <w:spacing w:after="0" w:line="2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8"/>
          <w:szCs w:val="18"/>
          <w:color w:val="auto"/>
        </w:rPr>
        <w:t>CORES SYSTEM</w:t>
      </w:r>
    </w:p>
    <w:p>
      <w:pPr>
        <w:spacing w:after="0" w:line="234" w:lineRule="exact"/>
        <w:rPr>
          <w:sz w:val="20"/>
          <w:szCs w:val="20"/>
          <w:color w:val="auto"/>
        </w:rPr>
      </w:pPr>
    </w:p>
    <w:p>
      <w:pPr>
        <w:ind w:left="8824"/>
        <w:spacing w:after="0"/>
        <w:rPr>
          <w:sz w:val="20"/>
          <w:szCs w:val="20"/>
          <w:color w:val="auto"/>
        </w:rPr>
      </w:pPr>
      <w:r>
        <w:rPr>
          <w:rFonts w:ascii="Times New Roman" w:cs="Times New Roman" w:eastAsia="Times New Roman" w:hAnsi="Times New Roman"/>
          <w:sz w:val="18"/>
          <w:szCs w:val="18"/>
          <w:color w:val="auto"/>
        </w:rPr>
        <w:t>OCT 31 2017</w:t>
      </w:r>
    </w:p>
    <w:p>
      <w:pPr>
        <w:sectPr>
          <w:pgSz w:w="11900" w:h="16838" w:orient="portrait"/>
          <w:cols w:equalWidth="0" w:num="1">
            <w:col w:w="11024"/>
          </w:cols>
          <w:pgMar w:left="436" w:top="117" w:right="439" w:bottom="1440" w:gutter="0" w:footer="0" w:header="0"/>
          <w:type w:val="continuous"/>
        </w:sectPr>
      </w:pPr>
    </w:p>
    <w:bookmarkStart w:id="43" w:name="page44"/>
    <w:bookmarkEnd w:id="43"/>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OF SHARE CAPITAL</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Corporation is authorized to issue:</w:t>
      </w:r>
    </w:p>
    <w:p>
      <w:pPr>
        <w:spacing w:after="0" w:line="131" w:lineRule="exact"/>
        <w:rPr>
          <w:sz w:val="20"/>
          <w:szCs w:val="20"/>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of shares, to be designated as “Common Shares”, in an unlimited number;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class of shares, to be designated as “Preferred Shares”, issuable in series, in an unlimited number;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shares having attached thereto the following rights, privileges, restrictions and conditions:</w:t>
      </w:r>
    </w:p>
    <w:p>
      <w:pPr>
        <w:spacing w:after="0" w:line="370" w:lineRule="exact"/>
        <w:rPr>
          <w:sz w:val="20"/>
          <w:szCs w:val="20"/>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Shares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Common Shares shall have attached thereto the following rights, privileges, restrictions and conditions:</w:t>
      </w:r>
    </w:p>
    <w:p>
      <w:pPr>
        <w:spacing w:after="0" w:line="130" w:lineRule="exact"/>
        <w:rPr>
          <w:rFonts w:ascii="Times New Roman" w:cs="Times New Roman" w:eastAsia="Times New Roman" w:hAnsi="Times New Roman"/>
          <w:sz w:val="18"/>
          <w:szCs w:val="18"/>
          <w:b w:val="1"/>
          <w:bCs w:val="1"/>
          <w:color w:val="auto"/>
        </w:rPr>
      </w:pPr>
    </w:p>
    <w:p>
      <w:pPr>
        <w:ind w:left="964" w:right="160" w:hanging="532"/>
        <w:spacing w:after="0" w:line="282" w:lineRule="auto"/>
        <w:tabs>
          <w:tab w:leader="none" w:pos="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Shares shall be entitled to receive notice of and to attend any meeting of the shareholders of the Corporation and shall be entitled to one vote for each Common Share held;</w:t>
      </w:r>
    </w:p>
    <w:p>
      <w:pPr>
        <w:spacing w:after="0" w:line="67"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Common Shares shall be entitled to receive dividends at such times and in such amounts as the directors of the Corporation may in their discretion from time to time declare; and</w:t>
      </w:r>
    </w:p>
    <w:p>
      <w:pPr>
        <w:spacing w:after="0" w:line="67" w:lineRule="exact"/>
        <w:rPr>
          <w:rFonts w:ascii="Times New Roman" w:cs="Times New Roman" w:eastAsia="Times New Roman" w:hAnsi="Times New Roman"/>
          <w:sz w:val="18"/>
          <w:szCs w:val="18"/>
          <w:color w:val="auto"/>
        </w:rPr>
      </w:pPr>
    </w:p>
    <w:p>
      <w:pPr>
        <w:ind w:left="964" w:right="580" w:hanging="532"/>
        <w:spacing w:after="0" w:line="282" w:lineRule="auto"/>
        <w:tabs>
          <w:tab w:leader="none" w:pos="9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rights and privileges attaching to any other class of shares of the Corporation, the right to receive the remaining property and assets of the Corporation upon dissolution.</w:t>
      </w:r>
    </w:p>
    <w:p>
      <w:pPr>
        <w:spacing w:after="0" w:line="265" w:lineRule="exact"/>
        <w:rPr>
          <w:rFonts w:ascii="Times New Roman" w:cs="Times New Roman" w:eastAsia="Times New Roman" w:hAnsi="Times New Roman"/>
          <w:sz w:val="18"/>
          <w:szCs w:val="18"/>
          <w:color w:val="auto"/>
        </w:rPr>
      </w:pPr>
    </w:p>
    <w:p>
      <w:pPr>
        <w:ind w:left="204" w:hanging="204"/>
        <w:spacing w:after="0"/>
        <w:tabs>
          <w:tab w:leader="none" w:pos="20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Preferred Shares shall have attached thereto the following rights, privileges, restrictions and conditions:</w:t>
      </w:r>
    </w:p>
    <w:p>
      <w:pPr>
        <w:spacing w:after="0" w:line="131" w:lineRule="exact"/>
        <w:rPr>
          <w:sz w:val="20"/>
          <w:szCs w:val="20"/>
          <w:color w:val="auto"/>
        </w:rPr>
      </w:pPr>
    </w:p>
    <w:p>
      <w:pPr>
        <w:ind w:left="964" w:hanging="532"/>
        <w:spacing w:after="0" w:line="282" w:lineRule="auto"/>
        <w:tabs>
          <w:tab w:leader="none" w:pos="9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may at any time and from time to time be issued in one or more series, each series to consist of such number of shares as may, before the issue thereof, be determined by resolution of the directors of the Corporation;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312" w:lineRule="auto"/>
        <w:tabs>
          <w:tab w:leader="none" w:pos="96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the Business Corporations Act (Alberta), the directors of the Corporation may by resolution fix from time to time before the issue thereof the designation, rights, privileges, restrictions and conditions attaching to each series of the Preferred Shares.</w:t>
      </w:r>
    </w:p>
    <w:p>
      <w:pPr>
        <w:sectPr>
          <w:pgSz w:w="11900" w:h="16838" w:orient="portrait"/>
          <w:cols w:equalWidth="0" w:num="1">
            <w:col w:w="10964"/>
          </w:cols>
          <w:pgMar w:left="436" w:top="266" w:right="499" w:bottom="1440" w:gutter="0" w:footer="0" w:header="0"/>
        </w:sectPr>
      </w:pPr>
    </w:p>
    <w:bookmarkStart w:id="44" w:name="page45"/>
    <w:bookmarkEnd w:id="44"/>
    <w:p>
      <w:pPr>
        <w:ind w:left="3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RESTRICTIONS ON SHARE TRANSFERS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 to transfer shares of the Corporation is restricted in that no shareholder shall be entitled to transfer any share or shares in the capital of the Corporation to any person who is not a shareholder of the Corporation unless the transfer has been approved by the board of directors of the Corporation.</w:t>
      </w:r>
    </w:p>
    <w:p>
      <w:pPr>
        <w:sectPr>
          <w:pgSz w:w="11900" w:h="16838" w:orient="portrait"/>
          <w:cols w:equalWidth="0" w:num="1">
            <w:col w:w="10620"/>
          </w:cols>
          <w:pgMar w:left="440" w:top="266" w:right="839" w:bottom="1440" w:gutter="0" w:footer="0" w:header="0"/>
        </w:sectPr>
      </w:pPr>
    </w:p>
    <w:bookmarkStart w:id="45" w:name="page46"/>
    <w:bookmarkEnd w:id="45"/>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OF OTHER PROVISIONS</w:t>
      </w:r>
    </w:p>
    <w:p>
      <w:pPr>
        <w:spacing w:after="0" w:line="256" w:lineRule="exact"/>
        <w:rPr>
          <w:sz w:val="20"/>
          <w:szCs w:val="20"/>
          <w:color w:val="auto"/>
        </w:rPr>
      </w:pPr>
    </w:p>
    <w:p>
      <w:pPr>
        <w:ind w:left="424" w:right="40" w:hanging="424"/>
        <w:spacing w:after="0" w:line="258"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 or indirect beneficial owners of securities of the Corporation will be limited to not more than 50, not including employees and former employees of the Corporation or any of its affiliates, provided that each person is counted as one beneficial owner unless the person is created or used solely to purchase or hold securities of the Corporation, in which case each beneficial owner or each beneficiary of the person, as the case may be, shall be counted as a separate beneficial owner. For purposes of this paragraph, the term “securities” does not include non-convertible debt securities of the Corporation.</w:t>
      </w:r>
    </w:p>
    <w:p>
      <w:pPr>
        <w:spacing w:after="0" w:line="8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invitation to the public to subscribe for securities of the Corporation is prohibited.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a lien on the shares of a shareholder or his legal representative for a debt of that shareholder to the Corporation.</w:t>
      </w:r>
    </w:p>
    <w:p>
      <w:pPr>
        <w:spacing w:after="0" w:line="130"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transfer securities of the Corporation, other than non-convertible debt securities, is restricted in that no securityholder shall be entitled to transfer any securities of the Corporation to any person who is not a securityholder of the Corporation unless the transfer has been approved by the board of directors of the Corporation.</w:t>
      </w:r>
    </w:p>
    <w:p>
      <w:pPr>
        <w:sectPr>
          <w:pgSz w:w="11900" w:h="16838" w:orient="portrait"/>
          <w:cols w:equalWidth="0" w:num="1">
            <w:col w:w="10964"/>
          </w:cols>
          <w:pgMar w:left="436" w:top="266" w:right="4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SCHLUMBERGER FINANCE CANADA LTD.</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BY-LAW NO. 1</w:t>
      </w:r>
    </w:p>
    <w:p>
      <w:pPr>
        <w:sectPr>
          <w:pgSz w:w="11900" w:h="16838" w:orient="portrait"/>
          <w:cols w:equalWidth="0" w:num="1">
            <w:col w:w="10020"/>
          </w:cols>
          <w:pgMar w:left="1440" w:top="117" w:right="4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INDEX</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DEFINITIONS</w:t>
            </w:r>
          </w:p>
        </w:tc>
        <w:tc>
          <w:tcPr>
            <w:tcW w:w="560" w:type="dxa"/>
            <w:vAlign w:val="bottom"/>
            <w:tcBorders>
              <w:top w:val="single" w:sz="8" w:color="auto"/>
            </w:tcBorders>
            <w:vMerge w:val="restart"/>
          </w:tcPr>
          <w:p>
            <w:pPr>
              <w:spacing w:after="0"/>
              <w:rPr>
                <w:sz w:val="24"/>
                <w:szCs w:val="24"/>
                <w:color w:val="auto"/>
              </w:rPr>
            </w:pPr>
          </w:p>
        </w:tc>
        <w:tc>
          <w:tcPr>
            <w:tcW w:w="4900" w:type="dxa"/>
            <w:vAlign w:val="bottom"/>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28"/>
        </w:trPr>
        <w:tc>
          <w:tcPr>
            <w:tcW w:w="5220" w:type="dxa"/>
            <w:vAlign w:val="bottom"/>
            <w:vMerge w:val="continue"/>
          </w:tcPr>
          <w:p>
            <w:pPr>
              <w:spacing w:after="0"/>
              <w:rPr>
                <w:sz w:val="19"/>
                <w:szCs w:val="19"/>
                <w:color w:val="auto"/>
              </w:rPr>
            </w:pPr>
          </w:p>
        </w:tc>
        <w:tc>
          <w:tcPr>
            <w:tcW w:w="560" w:type="dxa"/>
            <w:vAlign w:val="bottom"/>
            <w:tcBorders>
              <w:top w:val="single" w:sz="8" w:color="auto"/>
            </w:tcBorders>
            <w:vMerge w:val="continue"/>
          </w:tcPr>
          <w:p>
            <w:pPr>
              <w:spacing w:after="0"/>
              <w:rPr>
                <w:sz w:val="19"/>
                <w:szCs w:val="19"/>
                <w:color w:val="auto"/>
              </w:rPr>
            </w:pPr>
          </w:p>
        </w:tc>
        <w:tc>
          <w:tcPr>
            <w:tcW w:w="490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0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Number</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Vacancies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Powers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Duties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Qualification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Term of Office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Election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Consent to Election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Removal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Vacation of Office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Validity of Acts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MEETINGS OF 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Place of Meeting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Notice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Waiver of Notice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Omission of Notice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Telephone Participation</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Adjournment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Quorum and Voting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Resolution in Lieu of Meeting</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06"/>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COMMITTEES OF DIRECTORS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106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Audit Committee</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REMUNERATION OF DIRECTORS, OFFICERS AND EMPLOYEES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SUBMISSION OF CONTRACTS OR TRANSACTIONS TO SHAREHOLDERS FOR APPROVAL</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CONFLICT OF INTEREST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THE PROTECTION OF DIRECTORS AND OFFICERS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24"/>
        </w:trPr>
        <w:tc>
          <w:tcPr>
            <w:tcW w:w="10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INDEMNITIES TO DIRECTORS AND OTHERS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8" w:name="page49"/>
    <w:bookmarkEnd w:id="48"/>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OFFICERS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Appointment of Officers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Removal of Officers and Vacation of Office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Vacancies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of the Board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President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Vice-President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Secretary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Assistant Secretary and Assistant Treasurer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Managing Director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Duties of Officers may be Delegated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Agents and Attorneys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0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MEETINGS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Annual Meeting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 Meetings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Meeting on Requisition of Shareholders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Participation in Meetings by Electronic Means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Meetings held by Electronic Means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Waiver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Omission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Record Dates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Chairman of the Meeting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Votes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Voting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to Vote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Proxies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Adjournment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Quorum</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Persons Entitled to be Present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Resolution in Lieu of Meeting</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SHARES AND TRANSFERS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Security Certificates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Agent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Dealings with Registered Holder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of Transfers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Defaced, Destroyed, Stolen or Lost Security Certificates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Enforcement of Lien for Indebtedness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Book-Based or Other Non-Certificated Registered Position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DIVIDENDS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Joint Shareholders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 Payments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70" w:right="4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VOTING SECURITIES IN OTHER BODIES CORPORATE</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NOTICES, ETC.</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Failure to Locate Shareholder</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Registered in More than one Name</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Persons Becoming Entitled by Operation of Law</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Signatures upon Notices</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Computation of Time</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Proof of Service</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CUSTODY OF SECURITIES</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EXECUTION OF CONTRACTS, ETC.</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FISCAL PERIOD</w:t>
            </w:r>
          </w:p>
        </w:tc>
        <w:tc>
          <w:tcPr>
            <w:tcW w:w="6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65"/>
        </w:trPr>
        <w:tc>
          <w:tcPr>
            <w:tcW w:w="4880" w:type="dxa"/>
            <w:vAlign w:val="bottom"/>
          </w:tcPr>
          <w:p>
            <w:pPr>
              <w:spacing w:after="0"/>
              <w:rPr>
                <w:sz w:val="24"/>
                <w:szCs w:val="24"/>
                <w:color w:val="auto"/>
              </w:rPr>
            </w:pPr>
          </w:p>
        </w:tc>
        <w:tc>
          <w:tcPr>
            <w:tcW w:w="6080" w:type="dxa"/>
            <w:vAlign w:val="bottom"/>
          </w:tcPr>
          <w:p>
            <w:pPr>
              <w:jc w:val="right"/>
              <w:ind w:right="5190"/>
              <w:spacing w:after="0"/>
              <w:rPr>
                <w:sz w:val="20"/>
                <w:szCs w:val="20"/>
                <w:color w:val="auto"/>
              </w:rPr>
            </w:pPr>
            <w:r>
              <w:rPr>
                <w:rFonts w:ascii="Times New Roman" w:cs="Times New Roman" w:eastAsia="Times New Roman" w:hAnsi="Times New Roman"/>
                <w:sz w:val="18"/>
                <w:szCs w:val="18"/>
                <w:color w:val="auto"/>
              </w:rPr>
              <w:t>- iii -</w:t>
            </w:r>
          </w:p>
        </w:tc>
      </w:tr>
    </w:tbl>
    <w:p>
      <w:pPr>
        <w:jc w:val="right"/>
        <w:ind w:right="519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0" w:name="page51"/>
    <w:bookmarkEnd w:id="50"/>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BY-LAW NO. 1</w:t>
      </w:r>
    </w:p>
    <w:p>
      <w:pPr>
        <w:spacing w:after="0" w:line="12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 by-law relating generally to the conduct of the business and affairs of SCHLUMBERGER FINANCE CANADA LTD. (hereinafter called the “Corporation”) is hereby made as follows: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In this by-law and all other by-laws of the Corporation, unless the context otherwise specifies or requires:</w:t>
      </w:r>
    </w:p>
    <w:p>
      <w:pPr>
        <w:spacing w:after="0" w:line="129" w:lineRule="exact"/>
        <w:rPr>
          <w:sz w:val="20"/>
          <w:szCs w:val="20"/>
          <w:color w:val="auto"/>
        </w:rPr>
      </w:pPr>
    </w:p>
    <w:p>
      <w:pPr>
        <w:ind w:left="424" w:right="80" w:hanging="424"/>
        <w:spacing w:after="0" w:line="284"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 and the regulations made thereunder, as from time to time amended, and in the case of such amendment any reference in the by-laws shall be read as referring to the amended provisions thereof;</w:t>
      </w:r>
    </w:p>
    <w:p>
      <w:pPr>
        <w:spacing w:after="0" w:line="6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Corporation;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this by-law and all other by-laws of the Corporation from time to time in force and effect;</w:t>
      </w:r>
    </w:p>
    <w:p>
      <w:pPr>
        <w:spacing w:after="0" w:line="128" w:lineRule="exact"/>
        <w:rPr>
          <w:rFonts w:ascii="Times New Roman" w:cs="Times New Roman" w:eastAsia="Times New Roman" w:hAnsi="Times New Roman"/>
          <w:sz w:val="18"/>
          <w:szCs w:val="18"/>
          <w:color w:val="auto"/>
        </w:rPr>
      </w:pPr>
    </w:p>
    <w:p>
      <w:pPr>
        <w:ind w:left="424" w:right="300" w:hanging="424"/>
        <w:spacing w:after="0" w:line="284"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 means the </w:t>
      </w:r>
      <w:r>
        <w:rPr>
          <w:rFonts w:ascii="Times New Roman" w:cs="Times New Roman" w:eastAsia="Times New Roman" w:hAnsi="Times New Roman"/>
          <w:sz w:val="18"/>
          <w:szCs w:val="18"/>
          <w:i w:val="1"/>
          <w:iCs w:val="1"/>
          <w:color w:val="auto"/>
        </w:rPr>
        <w:t>Securities Transfer Act</w:t>
      </w:r>
      <w:r>
        <w:rPr>
          <w:rFonts w:ascii="Times New Roman" w:cs="Times New Roman" w:eastAsia="Times New Roman" w:hAnsi="Times New Roman"/>
          <w:sz w:val="18"/>
          <w:szCs w:val="18"/>
          <w:color w:val="auto"/>
        </w:rPr>
        <w:t xml:space="preserve"> (Alberta) and the regulations made thereunder, as from time to time amended, and in the case of such amendment any reference in the by-laws shall be read as referring to the amended provisions thereof;</w:t>
      </w:r>
    </w:p>
    <w:p>
      <w:pPr>
        <w:spacing w:after="0" w:line="65" w:lineRule="exact"/>
        <w:rPr>
          <w:rFonts w:ascii="Times New Roman" w:cs="Times New Roman" w:eastAsia="Times New Roman" w:hAnsi="Times New Roman"/>
          <w:sz w:val="18"/>
          <w:szCs w:val="18"/>
          <w:color w:val="auto"/>
        </w:rPr>
      </w:pPr>
    </w:p>
    <w:p>
      <w:pPr>
        <w:ind w:left="424" w:right="140"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used in the by-laws that are defined in the Act and are not otherwise defined in the by-laws shall have the meanings given to such terms in the Act;</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only shall include the plural and vice versa; words importing the masculine gender shall include the feminine and neuter genders; and</w:t>
      </w:r>
    </w:p>
    <w:p>
      <w:pPr>
        <w:spacing w:after="0" w:line="67"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used in the by-laws are inserted for reference purposes only and are not to be considered or taken into account in construing the terms or provisions thereof or to be deemed in any way to clarify, modify or explain the effect of any such terms or provisions.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REGISTERED OFFICE</w:t>
      </w:r>
    </w:p>
    <w:p>
      <w:pPr>
        <w:spacing w:after="0" w:line="225" w:lineRule="exact"/>
        <w:rPr>
          <w:sz w:val="20"/>
          <w:szCs w:val="20"/>
          <w:color w:val="auto"/>
        </w:rPr>
      </w:pPr>
    </w:p>
    <w:p>
      <w:pPr>
        <w:ind w:left="4" w:right="540" w:hanging="4"/>
        <w:spacing w:after="0" w:line="282" w:lineRule="auto"/>
        <w:tabs>
          <w:tab w:leader="none" w:pos="18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have a registered office within Alberta. Subject to subsection (4) of section 20 of the Act, the directors of the Corporation may at any time:</w:t>
      </w:r>
    </w:p>
    <w:p>
      <w:pPr>
        <w:spacing w:after="0" w:line="67" w:lineRule="exact"/>
        <w:rPr>
          <w:sz w:val="20"/>
          <w:szCs w:val="20"/>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address of the registered office within Alberta;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or revoke or change a designation of, a records office within Alberta; 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or revoke or change a designation of, a post office box within Alberta as the address for service by mail of the Corporation.</w:t>
      </w:r>
    </w:p>
    <w:p>
      <w:pPr>
        <w:sectPr>
          <w:pgSz w:w="11900" w:h="16838" w:orient="portrait"/>
          <w:cols w:equalWidth="0" w:num="1">
            <w:col w:w="11004"/>
          </w:cols>
          <w:pgMar w:left="436" w:top="266" w:right="459" w:bottom="1440" w:gutter="0" w:footer="0" w:header="0"/>
        </w:sectPr>
      </w:pPr>
    </w:p>
    <w:bookmarkStart w:id="51" w:name="page52"/>
    <w:bookmarkEnd w:id="51"/>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SEAL</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The directors may by resolution from time to time adopt and change a corporate seal of the Corporation.</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jc w:val="both"/>
        <w:ind w:left="4" w:hanging="4"/>
        <w:spacing w:after="0" w:line="261" w:lineRule="auto"/>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Subject to section 101(2) of the Act, the number of directors shall be the number fixed by the articles, or where the articles specify a variable number, the number shall be not less than the minimum and not more than the maximum number so specified and shall be determined from time to time within such limits by the shareholders or the board. At least one-quarter of the directors, or such other number of directors (if any) as may be prescribed by the Act from time to time, shall be resident Canadians.</w:t>
      </w:r>
    </w:p>
    <w:p>
      <w:pPr>
        <w:spacing w:after="0" w:line="179" w:lineRule="exact"/>
        <w:rPr>
          <w:rFonts w:ascii="Times New Roman" w:cs="Times New Roman" w:eastAsia="Times New Roman" w:hAnsi="Times New Roman"/>
          <w:sz w:val="18"/>
          <w:szCs w:val="18"/>
          <w:color w:val="auto"/>
        </w:rPr>
      </w:pPr>
    </w:p>
    <w:p>
      <w:pPr>
        <w:ind w:left="4" w:hanging="4"/>
        <w:spacing w:after="0" w:line="258" w:lineRule="auto"/>
        <w:tabs>
          <w:tab w:leader="none" w:pos="1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section 111 of the Act, a quorum of directors may fill a vacancy among the directors, except a vacancy resulting from an increase in the number or minimum number of directors or from a failure to elect the number or minimum number of directors required by the articles. If there is not a quorum of directors, or if there has been a failure to elect the number or minimum number of directors required by the articles, the directors then in office shall forthwith call a special meeting of shareholders to fill the vacancy and, if they fail to call a meeting or if there are no directors then in office, the meeting may be called by any shareholder.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director appointed or elected to fill a vacancy holds office for the unexpired term of his or her predecessor.</w:t>
      </w:r>
    </w:p>
    <w:p>
      <w:pPr>
        <w:spacing w:after="0" w:line="225" w:lineRule="exact"/>
        <w:rPr>
          <w:sz w:val="20"/>
          <w:szCs w:val="20"/>
          <w:color w:val="auto"/>
        </w:rPr>
      </w:pPr>
    </w:p>
    <w:p>
      <w:pPr>
        <w:ind w:left="4" w:right="60" w:hanging="4"/>
        <w:spacing w:after="0" w:line="261" w:lineRule="auto"/>
        <w:tabs>
          <w:tab w:leader="none" w:pos="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Subject to any unanimous shareholder agreement, the directors shall manage, or supervise the management of, the business and affairs of the Corporation and may exercise all such powers and do all such acts and things as may be exercised or done by the Corporation and are not expressly directed or required to be done in some other manner by the Act, the articles, the by-laws, any special resolution of the shareholders of the Corporation, a unanimous shareholder agreement or by statute.</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Every director and officer of the Corporation in exercising his or her powers and discharging his or her duties shall:</w:t>
      </w:r>
    </w:p>
    <w:p>
      <w:pPr>
        <w:spacing w:after="0" w:line="131" w:lineRule="exact"/>
        <w:rPr>
          <w:sz w:val="20"/>
          <w:szCs w:val="20"/>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honestly and in good faith with a view to the best interests of the Corporation;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 care, diligence and skill that a reasonably prudent person would exercise in comparable circumstances.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The following persons are disqualified from being a director of the Corporation:</w:t>
      </w:r>
    </w:p>
    <w:p>
      <w:pPr>
        <w:spacing w:after="0" w:line="131" w:lineRule="exact"/>
        <w:rPr>
          <w:sz w:val="20"/>
          <w:szCs w:val="20"/>
          <w:color w:val="auto"/>
        </w:rPr>
      </w:pPr>
    </w:p>
    <w:p>
      <w:pPr>
        <w:ind w:left="424" w:hanging="424"/>
        <w:spacing w:after="0"/>
        <w:tabs>
          <w:tab w:leader="none" w:pos="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who is less than 18 years of age;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4"/>
          </w:cols>
          <w:pgMar w:left="436" w:top="270" w:right="459" w:bottom="1440" w:gutter="0" w:footer="0" w:header="0"/>
        </w:sectPr>
      </w:pPr>
    </w:p>
    <w:bookmarkStart w:id="52" w:name="page53"/>
    <w:bookmarkEnd w:id="52"/>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anyone who</w:t>
      </w:r>
    </w:p>
    <w:p>
      <w:pPr>
        <w:spacing w:after="0" w:line="128" w:lineRule="exact"/>
        <w:rPr>
          <w:rFonts w:ascii="Times New Roman" w:cs="Times New Roman" w:eastAsia="Times New Roman" w:hAnsi="Times New Roman"/>
          <w:sz w:val="18"/>
          <w:szCs w:val="18"/>
          <w:color w:val="auto"/>
        </w:rPr>
      </w:pPr>
    </w:p>
    <w:p>
      <w:pPr>
        <w:ind w:left="964" w:hanging="532"/>
        <w:spacing w:after="0" w:line="284"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 represented adult as defined in the </w:t>
      </w:r>
      <w:r>
        <w:rPr>
          <w:rFonts w:ascii="Times New Roman" w:cs="Times New Roman" w:eastAsia="Times New Roman" w:hAnsi="Times New Roman"/>
          <w:sz w:val="18"/>
          <w:szCs w:val="18"/>
          <w:i w:val="1"/>
          <w:iCs w:val="1"/>
          <w:color w:val="auto"/>
        </w:rPr>
        <w:t>Adult Guardianship and Trustee Act</w:t>
      </w:r>
      <w:r>
        <w:rPr>
          <w:rFonts w:ascii="Times New Roman" w:cs="Times New Roman" w:eastAsia="Times New Roman" w:hAnsi="Times New Roman"/>
          <w:sz w:val="18"/>
          <w:szCs w:val="18"/>
          <w:color w:val="auto"/>
        </w:rPr>
        <w:t xml:space="preserve"> (Alberta) or is the subject of a certificate of incapacity that is in effect under the </w:t>
      </w:r>
      <w:r>
        <w:rPr>
          <w:rFonts w:ascii="Times New Roman" w:cs="Times New Roman" w:eastAsia="Times New Roman" w:hAnsi="Times New Roman"/>
          <w:sz w:val="18"/>
          <w:szCs w:val="18"/>
          <w:i w:val="1"/>
          <w:iCs w:val="1"/>
          <w:color w:val="auto"/>
        </w:rPr>
        <w:t>Public Trustee Act</w:t>
      </w:r>
      <w:r>
        <w:rPr>
          <w:rFonts w:ascii="Times New Roman" w:cs="Times New Roman" w:eastAsia="Times New Roman" w:hAnsi="Times New Roman"/>
          <w:sz w:val="18"/>
          <w:szCs w:val="18"/>
          <w:color w:val="auto"/>
        </w:rPr>
        <w:t xml:space="preserve"> (Alberta),</w:t>
      </w:r>
    </w:p>
    <w:p>
      <w:pPr>
        <w:spacing w:after="0" w:line="63"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 formal patient as defined in the </w:t>
      </w:r>
      <w:r>
        <w:rPr>
          <w:rFonts w:ascii="Times New Roman" w:cs="Times New Roman" w:eastAsia="Times New Roman" w:hAnsi="Times New Roman"/>
          <w:sz w:val="18"/>
          <w:szCs w:val="18"/>
          <w:i w:val="1"/>
          <w:iCs w:val="1"/>
          <w:color w:val="auto"/>
        </w:rPr>
        <w:t>Mental Health Act</w:t>
      </w:r>
      <w:r>
        <w:rPr>
          <w:rFonts w:ascii="Times New Roman" w:cs="Times New Roman" w:eastAsia="Times New Roman" w:hAnsi="Times New Roman"/>
          <w:sz w:val="18"/>
          <w:szCs w:val="18"/>
          <w:color w:val="auto"/>
        </w:rPr>
        <w:t xml:space="preserve"> (Alberta),</w:t>
      </w:r>
    </w:p>
    <w:p>
      <w:pPr>
        <w:spacing w:after="0" w:line="130" w:lineRule="exact"/>
        <w:rPr>
          <w:rFonts w:ascii="Times New Roman" w:cs="Times New Roman" w:eastAsia="Times New Roman" w:hAnsi="Times New Roman"/>
          <w:sz w:val="18"/>
          <w:szCs w:val="18"/>
          <w:color w:val="auto"/>
        </w:rPr>
      </w:pPr>
    </w:p>
    <w:p>
      <w:pPr>
        <w:ind w:left="964" w:right="160" w:hanging="532"/>
        <w:spacing w:after="0" w:line="284" w:lineRule="auto"/>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the subject of an order under </w:t>
      </w:r>
      <w:r>
        <w:rPr>
          <w:rFonts w:ascii="Times New Roman" w:cs="Times New Roman" w:eastAsia="Times New Roman" w:hAnsi="Times New Roman"/>
          <w:sz w:val="18"/>
          <w:szCs w:val="18"/>
          <w:i w:val="1"/>
          <w:iCs w:val="1"/>
          <w:color w:val="auto"/>
        </w:rPr>
        <w:t>The Mentally Incapacitated Persons Act</w:t>
      </w:r>
      <w:r>
        <w:rPr>
          <w:rFonts w:ascii="Times New Roman" w:cs="Times New Roman" w:eastAsia="Times New Roman" w:hAnsi="Times New Roman"/>
          <w:sz w:val="18"/>
          <w:szCs w:val="18"/>
          <w:color w:val="auto"/>
        </w:rPr>
        <w:t xml:space="preserve"> (Alberta) appointing a committee of the person or estate or both, or</w:t>
      </w:r>
    </w:p>
    <w:p>
      <w:pPr>
        <w:spacing w:after="0" w:line="6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found to be a person of unsound mind by a court elsewhere than in Alberta;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not an individual;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has the status of bankrupt.</w:t>
      </w:r>
    </w:p>
    <w:p>
      <w:pPr>
        <w:spacing w:after="0" w:line="225" w:lineRule="exact"/>
        <w:rPr>
          <w:sz w:val="20"/>
          <w:szCs w:val="20"/>
          <w:color w:val="auto"/>
        </w:rPr>
      </w:pPr>
    </w:p>
    <w:p>
      <w:pPr>
        <w:ind w:left="4" w:right="100" w:hanging="4"/>
        <w:spacing w:after="0" w:line="261" w:lineRule="auto"/>
        <w:tabs>
          <w:tab w:leader="none" w:pos="18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A director’s term of office (subject to any applicable provisions of the Corporation’s articles or any unanimous shareholder agreement, and subject to the election of such director for an expressly stated term) shall be from the date such director is elected or appointed until the close of the first annual meeting of shareholders following such director’s election or appointment or until a successor to such director is elected or appointed.</w:t>
      </w:r>
    </w:p>
    <w:p>
      <w:pPr>
        <w:spacing w:after="0" w:line="179" w:lineRule="exact"/>
        <w:rPr>
          <w:rFonts w:ascii="Times New Roman" w:cs="Times New Roman" w:eastAsia="Times New Roman" w:hAnsi="Times New Roman"/>
          <w:sz w:val="18"/>
          <w:szCs w:val="18"/>
          <w:color w:val="auto"/>
        </w:rPr>
      </w:pPr>
    </w:p>
    <w:p>
      <w:pPr>
        <w:ind w:left="4" w:right="120" w:hanging="4"/>
        <w:spacing w:after="0" w:line="258" w:lineRule="auto"/>
        <w:tabs>
          <w:tab w:leader="none" w:pos="2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Subject to sections 106 and 107 of the Act, the shareholders of the Corporation shall, at the first meeting of shareholders and at each succeeding annual meeting at which an election of directors is required, elect directors to hold office for a term expiring not later than the close of the next annual meeting of shareholders following the election. A director not elected for an expressly stated term ceases to hold office at the close of the first annual meeting of shareholders following his or her election but, if qualified, is eligible for re-election. Notwithstanding the foregoing, if directors are not elected at a meeting of shareholders, the incumbent directors continue in office until their successors are elected.</w:t>
      </w:r>
    </w:p>
    <w:p>
      <w:pPr>
        <w:spacing w:after="0" w:line="183"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If a meeting of shareholders fails to elect the number or the minimum number of directors required by the articles by reason of the disqualification or death of any candidate, the directors elected at that meeting may exercise all the powers of the directors if the number of directors so elected constitutes a quorum.</w:t>
      </w:r>
    </w:p>
    <w:p>
      <w:pPr>
        <w:spacing w:after="0" w:line="176" w:lineRule="exact"/>
        <w:rPr>
          <w:sz w:val="20"/>
          <w:szCs w:val="20"/>
          <w:color w:val="auto"/>
        </w:rPr>
      </w:pPr>
    </w:p>
    <w:p>
      <w:pPr>
        <w:ind w:left="4" w:right="260" w:hanging="4"/>
        <w:spacing w:after="0" w:line="261" w:lineRule="auto"/>
        <w:tabs>
          <w:tab w:leader="none" w:pos="26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Election</w:t>
      </w:r>
      <w:r>
        <w:rPr>
          <w:rFonts w:ascii="Times New Roman" w:cs="Times New Roman" w:eastAsia="Times New Roman" w:hAnsi="Times New Roman"/>
          <w:sz w:val="18"/>
          <w:szCs w:val="18"/>
          <w:color w:val="auto"/>
        </w:rPr>
        <w:t>. A person who is elected or appointed as a director is not a director unless such person was present at the meeting when the person was elected or appointed and did not refuse to act as a director or, if the person was not present at the meeting when the person was elected or appointed, the person consented to act as a director in writing before the person’s election or appointment or within 10 days after it or the person has acted as a director pursuant to the election or appointment.</w:t>
      </w:r>
    </w:p>
    <w:p>
      <w:pPr>
        <w:spacing w:after="0" w:line="179" w:lineRule="exact"/>
        <w:rPr>
          <w:rFonts w:ascii="Times New Roman" w:cs="Times New Roman" w:eastAsia="Times New Roman" w:hAnsi="Times New Roman"/>
          <w:sz w:val="18"/>
          <w:szCs w:val="18"/>
          <w:color w:val="auto"/>
        </w:rPr>
      </w:pPr>
    </w:p>
    <w:p>
      <w:pPr>
        <w:ind w:left="4" w:right="40" w:hanging="4"/>
        <w:spacing w:after="0" w:line="266" w:lineRule="auto"/>
        <w:tabs>
          <w:tab w:leader="none" w:pos="2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sections 107 and 109 of the Act (including, for greater certainty, the provisions of any unanimous shareholder agreement), the shareholders of the Corporation may by ordinary resolution at a special meeting remove any director from office before the expiration of his or her term of office and may, subject to the Act, elect any person in his or her stead for the remainder of the director’s term.</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84"/>
          </w:cols>
          <w:pgMar w:left="436" w:top="270" w:right="479" w:bottom="1440" w:gutter="0" w:footer="0" w:header="0"/>
        </w:sectPr>
      </w:pPr>
    </w:p>
    <w:bookmarkStart w:id="53" w:name="page54"/>
    <w:bookmarkEnd w:id="5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 </w:t>
      </w:r>
      <w:r>
        <w:rPr>
          <w:rFonts w:ascii="Times New Roman" w:cs="Times New Roman" w:eastAsia="Times New Roman" w:hAnsi="Times New Roman"/>
          <w:sz w:val="18"/>
          <w:szCs w:val="18"/>
          <w:u w:val="single" w:color="auto"/>
          <w:color w:val="auto"/>
        </w:rPr>
        <w:t>Vacation of Office</w:t>
      </w:r>
      <w:r>
        <w:rPr>
          <w:rFonts w:ascii="Times New Roman" w:cs="Times New Roman" w:eastAsia="Times New Roman" w:hAnsi="Times New Roman"/>
          <w:sz w:val="18"/>
          <w:szCs w:val="18"/>
          <w:color w:val="auto"/>
        </w:rPr>
        <w:t>. A director of the Corporation ceases to hold office when:</w:t>
      </w:r>
    </w:p>
    <w:p>
      <w:pPr>
        <w:spacing w:after="0" w:line="131" w:lineRule="exact"/>
        <w:rPr>
          <w:sz w:val="20"/>
          <w:szCs w:val="20"/>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dies or resigns;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is removed from office; 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becomes disqualified under section 105(1) of the Act.</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A resignation of a director becomes effective at the time a written resignation is sent to the Corporation, or at the time specified in the resignation, whichever is later.</w:t>
      </w:r>
    </w:p>
    <w:p>
      <w:pPr>
        <w:spacing w:after="0" w:line="162" w:lineRule="exact"/>
        <w:rPr>
          <w:sz w:val="20"/>
          <w:szCs w:val="20"/>
          <w:color w:val="auto"/>
        </w:rPr>
      </w:pPr>
    </w:p>
    <w:p>
      <w:pPr>
        <w:ind w:left="4" w:right="280" w:hanging="4"/>
        <w:spacing w:after="0" w:line="266" w:lineRule="auto"/>
        <w:tabs>
          <w:tab w:leader="none" w:pos="27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of Acts</w:t>
      </w:r>
      <w:r>
        <w:rPr>
          <w:rFonts w:ascii="Times New Roman" w:cs="Times New Roman" w:eastAsia="Times New Roman" w:hAnsi="Times New Roman"/>
          <w:sz w:val="18"/>
          <w:szCs w:val="18"/>
          <w:color w:val="auto"/>
        </w:rPr>
        <w:t>. An act of a director or officer is valid notwithstanding an irregularity in the director’s or officer’s election or appointment or a defect in the director’s or officer’s qualification. An act of the directors or a committee of directors is valid notwithstanding non-compliance with the residency requirements (if any) set out in Paragraphs 4, 21 or 23 hereof.</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MEETINGS OF DIRECTORS</w:t>
      </w:r>
    </w:p>
    <w:p>
      <w:pPr>
        <w:spacing w:after="0" w:line="225" w:lineRule="exact"/>
        <w:rPr>
          <w:sz w:val="20"/>
          <w:szCs w:val="20"/>
          <w:color w:val="auto"/>
        </w:rPr>
      </w:pPr>
    </w:p>
    <w:p>
      <w:pPr>
        <w:ind w:left="4" w:hanging="4"/>
        <w:spacing w:after="0" w:line="261" w:lineRule="auto"/>
        <w:tabs>
          <w:tab w:leader="none" w:pos="2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Meeting</w:t>
      </w:r>
      <w:r>
        <w:rPr>
          <w:rFonts w:ascii="Times New Roman" w:cs="Times New Roman" w:eastAsia="Times New Roman" w:hAnsi="Times New Roman"/>
          <w:sz w:val="18"/>
          <w:szCs w:val="18"/>
          <w:color w:val="auto"/>
        </w:rPr>
        <w:t>. Unless the articles otherwise provide, meetings of directors and of any committee of directors may be held at any place. A meeting of directors may be convened by the Chairman of the Board (if any), the President (if any) or any director at any time and the Secretary (if any) or any other officer or any director shall, as soon as reasonably practicable following receipt of a direction from any of the foregoing, send a notice of the applicable meeting to the directors.</w:t>
      </w:r>
    </w:p>
    <w:p>
      <w:pPr>
        <w:spacing w:after="0" w:line="179" w:lineRule="exact"/>
        <w:rPr>
          <w:rFonts w:ascii="Times New Roman" w:cs="Times New Roman" w:eastAsia="Times New Roman" w:hAnsi="Times New Roman"/>
          <w:sz w:val="18"/>
          <w:szCs w:val="18"/>
          <w:color w:val="auto"/>
        </w:rPr>
      </w:pPr>
    </w:p>
    <w:p>
      <w:pPr>
        <w:ind w:left="4" w:right="120" w:hanging="4"/>
        <w:spacing w:after="0" w:line="255" w:lineRule="auto"/>
        <w:tabs>
          <w:tab w:leader="none" w:pos="2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 of the time and place for the holding of any meeting of directors or of any committee of directors shall be sent to each director or each director who is a member of such committee, as the case may be, not less than 48 hours before the time of the meeting; provided that a meeting of directors or of any committee of directors may be held at any time without notice if all the directors or members of such committee are present (except where a director attends the meeting for the express purpose of objecting to the transaction of any business on the grounds that the meeting is not lawfully called) or if all the absent directors waive notice of the meeting. The notice of a meeting of directors shall specify any matter referred to in subsection (3) of section 115 of the Act that is to be dealt with at the meeting, but need not specify the purpose or the business to be transacted at the meeting.</w:t>
      </w:r>
    </w:p>
    <w:p>
      <w:pPr>
        <w:spacing w:after="0" w:line="18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For the first meeting of directors to be held following the election of directors at an annual or special meeting of the shareholders or for a meeting of directors at which a director is appointed to fill a vacancy in the board, no notice of such meeting need be given to the newly elected or appointed director or directors in order for the meeting to be duly constituted, provided a quorum of the directors is present.</w:t>
      </w:r>
    </w:p>
    <w:p>
      <w:pPr>
        <w:spacing w:after="0" w:line="176" w:lineRule="exact"/>
        <w:rPr>
          <w:sz w:val="20"/>
          <w:szCs w:val="20"/>
          <w:color w:val="auto"/>
        </w:rPr>
      </w:pPr>
    </w:p>
    <w:p>
      <w:pPr>
        <w:ind w:left="4" w:hanging="4"/>
        <w:spacing w:after="0" w:line="258" w:lineRule="auto"/>
        <w:tabs>
          <w:tab w:leader="none" w:pos="27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Notice of any meeting of directors or of any committee of directors or the time for the giving of any such notice or any irregularity in any meeting or in the notice thereof may be waived by any director in writing or by facsimile or electronic mail addressed to the Corporation or in any other manner, and any such waiver may be validly given either before or after the meeting to which such waiver relates. Attendance of a director at any meeting of directors or of any committee of directors is a waiver of notice of such meeting, except when a director attends a meeting for the express purpose of objecting to the transaction of any business on the grounds that the meeting is not lawfully called.</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4"/>
          </w:cols>
          <w:pgMar w:left="436" w:top="270" w:right="459" w:bottom="1440" w:gutter="0" w:footer="0" w:header="0"/>
        </w:sectPr>
      </w:pPr>
    </w:p>
    <w:bookmarkStart w:id="54" w:name="page55"/>
    <w:bookmarkEnd w:id="54"/>
    <w:p>
      <w:pPr>
        <w:ind w:left="4" w:right="40" w:hanging="4"/>
        <w:spacing w:after="0" w:line="282"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Omission of Notice</w:t>
      </w:r>
      <w:r>
        <w:rPr>
          <w:rFonts w:ascii="Times New Roman" w:cs="Times New Roman" w:eastAsia="Times New Roman" w:hAnsi="Times New Roman"/>
          <w:sz w:val="18"/>
          <w:szCs w:val="18"/>
          <w:color w:val="auto"/>
        </w:rPr>
        <w:t>. The accidental omission to give notice of any meeting of directors or of any committee of directors to or the non-receipt of any notice by any person shall not invalidate any resolution passed or any proceeding taken at such meeting.</w:t>
      </w:r>
    </w:p>
    <w:p>
      <w:pPr>
        <w:spacing w:after="0" w:line="161" w:lineRule="exact"/>
        <w:rPr>
          <w:rFonts w:ascii="Times New Roman" w:cs="Times New Roman" w:eastAsia="Times New Roman" w:hAnsi="Times New Roman"/>
          <w:sz w:val="18"/>
          <w:szCs w:val="18"/>
          <w:color w:val="auto"/>
        </w:rPr>
      </w:pPr>
    </w:p>
    <w:p>
      <w:pPr>
        <w:ind w:left="4" w:right="160" w:hanging="4"/>
        <w:spacing w:after="0" w:line="266"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Telephone Participation Etc</w:t>
      </w:r>
      <w:r>
        <w:rPr>
          <w:rFonts w:ascii="Times New Roman" w:cs="Times New Roman" w:eastAsia="Times New Roman" w:hAnsi="Times New Roman"/>
          <w:sz w:val="18"/>
          <w:szCs w:val="18"/>
          <w:color w:val="auto"/>
        </w:rPr>
        <w:t>. A director may participate in a meeting of directors or of any committee of directors by electronic means, telephone or other communication facilities that permit all persons participating in the meeting to hear each other, and a director participating in a meeting by any such means is deemed for the purposes of the Act and this by-law to be present at that meeting.</w:t>
      </w:r>
    </w:p>
    <w:p>
      <w:pPr>
        <w:spacing w:after="0" w:line="175" w:lineRule="exact"/>
        <w:rPr>
          <w:rFonts w:ascii="Times New Roman" w:cs="Times New Roman" w:eastAsia="Times New Roman" w:hAnsi="Times New Roman"/>
          <w:sz w:val="18"/>
          <w:szCs w:val="18"/>
          <w:color w:val="auto"/>
        </w:rPr>
      </w:pPr>
    </w:p>
    <w:p>
      <w:pPr>
        <w:ind w:left="4" w:hanging="4"/>
        <w:spacing w:after="0" w:line="255"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directors or of any committee of directors may be adjourned from time to time by the chairman of the meeting, with the consent of the meeting, to a fixed time and place. Notice of an adjourned meeting of directors or committee of directors is not required to be given if the date, time and place of the adjourned meeting is announced at the original meeting. Any adjourned meeting shall be duly constituted if held in accordance with the terms of the adjournment and a quorum is present thereat. The directors who formed a quorum at the original meeting are not required to form the quorum at the adjourned meeting. If there is no quorum present at the adjourned meeting, the original meeting shall be deemed to have terminated forthwith after its adjournment. Any business may be brought before or dealt with at the adjourned meeting that might have been brought before or dealt with at the original meeting in accordance with the notice calling the same.</w:t>
      </w:r>
    </w:p>
    <w:p>
      <w:pPr>
        <w:spacing w:after="0" w:line="188" w:lineRule="exact"/>
        <w:rPr>
          <w:rFonts w:ascii="Times New Roman" w:cs="Times New Roman" w:eastAsia="Times New Roman" w:hAnsi="Times New Roman"/>
          <w:sz w:val="18"/>
          <w:szCs w:val="18"/>
          <w:color w:val="auto"/>
        </w:rPr>
      </w:pPr>
    </w:p>
    <w:p>
      <w:pPr>
        <w:ind w:left="4" w:right="60" w:hanging="4"/>
        <w:spacing w:after="0" w:line="256"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and Voting</w:t>
      </w:r>
      <w:r>
        <w:rPr>
          <w:rFonts w:ascii="Times New Roman" w:cs="Times New Roman" w:eastAsia="Times New Roman" w:hAnsi="Times New Roman"/>
          <w:sz w:val="18"/>
          <w:szCs w:val="18"/>
          <w:color w:val="auto"/>
        </w:rPr>
        <w:t>. Subject to the articles, a majority of the number of directors constitutes a quorum at any meeting of directors and, notwithstanding any vacancy among the directors, a quorum of directors may exercise all the powers of the directors. Subject to section 111 of the Act, subsections (3) and (4) of section 114 of the Act, and Paragraph 5 hereof, directors shall not transact business at a meeting of directors unless a quorum is present and at least one-quarter of the directors present (or such other number of directors, if any, as may be prescribed by the Act from time to time) are resident Canadians. Questions arising at any meeting of directors shall be decided by a majority of votes. In the case of an equality of votes, the chairman of the meeting shall have a second or casting vote in addition to his or her original vote.</w:t>
      </w:r>
    </w:p>
    <w:p>
      <w:pPr>
        <w:spacing w:after="0" w:line="187" w:lineRule="exact"/>
        <w:rPr>
          <w:rFonts w:ascii="Times New Roman" w:cs="Times New Roman" w:eastAsia="Times New Roman" w:hAnsi="Times New Roman"/>
          <w:sz w:val="18"/>
          <w:szCs w:val="18"/>
          <w:color w:val="auto"/>
        </w:rPr>
      </w:pPr>
    </w:p>
    <w:p>
      <w:pPr>
        <w:ind w:left="4" w:right="60" w:hanging="4"/>
        <w:spacing w:after="0" w:line="261" w:lineRule="auto"/>
        <w:tabs>
          <w:tab w:leader="none" w:pos="27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in Lieu of Meeting</w:t>
      </w:r>
      <w:r>
        <w:rPr>
          <w:rFonts w:ascii="Times New Roman" w:cs="Times New Roman" w:eastAsia="Times New Roman" w:hAnsi="Times New Roman"/>
          <w:sz w:val="18"/>
          <w:szCs w:val="18"/>
          <w:color w:val="auto"/>
        </w:rPr>
        <w:t>. Subject to the articles or any unanimous shareholder agreement, a resolution in writing, signed by all the directors entitled to vote on that resolution at a meeting of directors or committee of directors, is as valid as if it had been passed at a meeting of directors or committee of directors. A resolution in writing dealing with all matters required by the Act or this by-law to be dealt with at a meeting of directors, and signed by all the directors entitled to vote at that meeting, satisfies all the requirements of the Act and this by-law relating to meetings of directors.</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44"/>
          </w:cols>
          <w:pgMar w:left="436" w:top="270" w:right="519" w:bottom="1440" w:gutter="0" w:footer="0" w:header="0"/>
        </w:sectPr>
      </w:pPr>
    </w:p>
    <w:bookmarkStart w:id="55" w:name="page56"/>
    <w:bookmarkEnd w:id="55"/>
    <w:p>
      <w:pPr>
        <w:jc w:val="center"/>
        <w:ind w:right="-6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COMMITTEES OF DIRECTORS</w:t>
      </w:r>
    </w:p>
    <w:p>
      <w:pPr>
        <w:spacing w:after="0" w:line="225" w:lineRule="exact"/>
        <w:rPr>
          <w:sz w:val="20"/>
          <w:szCs w:val="20"/>
          <w:color w:val="auto"/>
        </w:rPr>
      </w:pPr>
    </w:p>
    <w:p>
      <w:pPr>
        <w:ind w:left="4" w:right="140" w:hanging="4"/>
        <w:spacing w:after="0" w:line="261" w:lineRule="auto"/>
        <w:tabs>
          <w:tab w:leader="none" w:pos="27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directors may from time to time appoint from their number a managing director, who must be a resident Canadian, or a committee of directors, at least one-quarter of whom (or such other number, if any, as may be prescribed by the Act from time to time) shall be resident Canadians, and may delegate to the managing director or such committee any of the powers of the directors, except that (unless the Act otherwise permits) no managing director or committee shall have the authority to:</w:t>
      </w:r>
    </w:p>
    <w:p>
      <w:pPr>
        <w:spacing w:after="0" w:line="85"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the shareholders any question or matter requiring the approval of the shareholders;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 a vacancy among the directors or in the office of auditor;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additional directors;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except in the manner and on the terms authorized by the directors;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dividends;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shares issued by the Corporation, except in the manner and on the terms authorized by the directors;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commission referred to in section 42 of the Act;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management proxy circular;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any financial statements referred to in section 155 of the Act;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by-laws of the Corporation; 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other power which under the Act a committee of directors has no authority to exercise.</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and subject to the articles or any unanimous shareholder agreement, the directors may, by resolution, delegate to a director, a committee of directors or an officer the power to:</w:t>
      </w:r>
    </w:p>
    <w:p>
      <w:pPr>
        <w:spacing w:after="0" w:line="67" w:lineRule="exact"/>
        <w:rPr>
          <w:sz w:val="20"/>
          <w:szCs w:val="20"/>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on the credit of the Corporation;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reissue, sell or pledge debt obligations of the Corporation;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45 of the Act, give a guarantee on behalf of the Corporation to secure performance of an obligation of any person; and</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hypothecate, pledge or otherwise create a security interest in all or any property of the Corporation, owned or subsequently acquired, to secure any obligation of the Corporation.</w:t>
      </w:r>
    </w:p>
    <w:p>
      <w:pPr>
        <w:spacing w:after="0" w:line="162" w:lineRule="exact"/>
        <w:rPr>
          <w:sz w:val="20"/>
          <w:szCs w:val="20"/>
          <w:color w:val="auto"/>
        </w:rPr>
      </w:pPr>
    </w:p>
    <w:p>
      <w:pPr>
        <w:ind w:left="4" w:hanging="4"/>
        <w:spacing w:after="0" w:line="258" w:lineRule="auto"/>
        <w:tabs>
          <w:tab w:leader="none" w:pos="2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Subject to subsection (3) of section 171 of the Act, if the Corporation becomes a “distributing corporation” for purposes of the Act, the directors shall appoint from among their number an audit committee to be composed of not fewer than three directors, a majority of whom are not officers or employees of the Corporation or any of its affiliates. At any time when the Corporation is not a “distributing corporation” for purposes of the Act, the directors may (but shall not be required to) appoint from among their number an audit committee to be composed of such number of directors as may be determined by the board from time to time in accordance with the Act.</w:t>
      </w:r>
    </w:p>
    <w:p>
      <w:pPr>
        <w:spacing w:after="0" w:line="115"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44"/>
          </w:cols>
          <w:pgMar w:left="436" w:top="270" w:right="519" w:bottom="1440" w:gutter="0" w:footer="0" w:header="0"/>
        </w:sectPr>
      </w:pPr>
    </w:p>
    <w:bookmarkStart w:id="56" w:name="page57"/>
    <w:bookmarkEnd w:id="56"/>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member of the audit committee shall serve during the pleasure of the board and, in any event, only so long as such member shall be a director. The directors may fill vacancies in the audit committee by election from among their number.</w:t>
      </w:r>
    </w:p>
    <w:p>
      <w:pPr>
        <w:spacing w:after="0" w:line="162"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if appointed, shall have power to fix its quorum at not less than a majority of its members and to determine its own rules of procedure subject to any requirements imposed by the board from time to time and to the following paragraph.</w:t>
      </w:r>
    </w:p>
    <w:p>
      <w:pPr>
        <w:spacing w:after="0" w:line="162"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auditor of the Corporation is entitled to receive notice of every meeting of the audit committee and, at the expense of the Corporation, to attend and be heard thereat, and, if so requested by a member of the audit committee, shall attend every meeting of the committee held during the term of office of the auditor. The auditor of the Corporation or any member of the audit committee may call a meeting of the audit committee.</w:t>
      </w:r>
    </w:p>
    <w:p>
      <w:pPr>
        <w:spacing w:after="0" w:line="176"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if appointed, shall review the financial statements of the Corporation referred to in section 155 of the Act prior to approval thereof by the board and shall have such other powers and duties as may from time to time by resolution be assigned to it by the board.</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REMUNERATION OF DIRECTORS, OFFICERS AND EMPLOYEES</w:t>
      </w:r>
    </w:p>
    <w:p>
      <w:pPr>
        <w:spacing w:after="0" w:line="225" w:lineRule="exact"/>
        <w:rPr>
          <w:sz w:val="20"/>
          <w:szCs w:val="20"/>
          <w:color w:val="auto"/>
        </w:rPr>
      </w:pPr>
    </w:p>
    <w:p>
      <w:pPr>
        <w:ind w:left="4" w:right="20" w:hanging="4"/>
        <w:spacing w:after="0" w:line="256" w:lineRule="auto"/>
        <w:tabs>
          <w:tab w:leader="none" w:pos="27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or any unanimous shareholder agreement, the directors of the Corporation may fix the remuneration of the directors, officers and employees of the Corporation. Any remuneration paid to a director of the Corporation shall be in addition to the salary paid to such director in his or her capacity as an officer or employee of the Corporation. The directors may also by resolution award special remuneration to any director in undertaking any special services on the Corporation’s behalf other than the routine work ordinarily required of a director of the Corporation. The confirmation of any such resolution by the shareholders shall not be required. The directors, officers and employees shall also be entitled to be paid their travelling and other expenses properly incurred by them in connection with the affairs of the Corporation.</w:t>
      </w:r>
    </w:p>
    <w:p>
      <w:pPr>
        <w:spacing w:after="0" w:line="187"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If required by the Act, the aggregate remuneration paid to the directors and the aggregate remuneration paid to the five highest paid officers and employees, other than directors, shall be disclosed to the shareholders at every annual meeting, in the management proxy circular forwarded to shareholders in advance of an annual meeting, the financial statements placed before the shareholders, a statement of remuneration or in such other manner as the chairman of the meeting may determine.</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SUBMISSION OF CONTRACTS OR TRANSACTIONS TO SHAREHOLDERS FOR APPROVAL</w:t>
      </w:r>
    </w:p>
    <w:p>
      <w:pPr>
        <w:spacing w:after="0" w:line="225" w:lineRule="exact"/>
        <w:rPr>
          <w:sz w:val="20"/>
          <w:szCs w:val="20"/>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their discretion may submit any contract, act or transaction for approval, ratification or confirmation at any annual meeting of the</w:t>
      </w:r>
    </w:p>
    <w:p>
      <w:pPr>
        <w:spacing w:after="0" w:line="27"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or at any special meeting of the shareholders called for the purpose of considering the same and any contract, act or transaction that shall be approved, ratified or confirmed by resolution passed by a majority of the votes cast at any such meeting (unless any different or additional requirement is imposed by the Act or other applicable law or by the Corporation’s articles or any other by-law) shall be as valid and as binding upon the Corporation and upon all the shareholders as though it had been approved, ratified and/or confirmed by every shareholder of the Corporation.</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4"/>
          </w:cols>
          <w:pgMar w:left="436" w:top="270" w:right="459" w:bottom="1440" w:gutter="0" w:footer="0" w:header="0"/>
        </w:sectPr>
      </w:pPr>
    </w:p>
    <w:bookmarkStart w:id="57" w:name="page58"/>
    <w:bookmarkEnd w:id="57"/>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CONFLICT OF INTEREST</w:t>
      </w:r>
    </w:p>
    <w:p>
      <w:pPr>
        <w:spacing w:after="0" w:line="225" w:lineRule="exact"/>
        <w:rPr>
          <w:sz w:val="20"/>
          <w:szCs w:val="20"/>
          <w:color w:val="auto"/>
        </w:rPr>
      </w:pPr>
    </w:p>
    <w:p>
      <w:pPr>
        <w:ind w:left="4" w:hanging="4"/>
        <w:spacing w:after="0" w:line="253" w:lineRule="auto"/>
        <w:tabs>
          <w:tab w:leader="none" w:pos="2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or officer of the Corporation who is a party to a material contract or material transaction or proposed material contract or proposed material transaction with the Corporation, or is a director or an officer of or has a material interest in any person who is a party to a material contract or material transaction or proposed material contract or proposed material transaction with the Corporation shall disclose the nature and extent of such director’s or officer’s interest at the time and in the manner provided in the Act. Except as permitted by the Act, no such director of the Corporation shall vote on any resolution to approve such contract or transaction. If a material contract or material transaction is made or entered into between the Corporation and one or more of its directors or officers, or between the Corporation and another person of which a director or officer of the Corporation is a director or officer or in which such director or officer has a material interest, (i) the contract or transaction is, subject to the Act, neither void nor voidable by reason only of that relationship, or by reason only that a director with an interest in the contract or transaction is present at or is counted to determine the presence of a quorum at a meeting of directors or committee of directors that authorized the contract or transaction, and (ii) a director or officer or former director or officer of the Corporation to whom a profit accrues as a result of the making of the contract or transaction is not liable to account to the Corporation for that profit by reason only of holding office as a director or officer, if the director or officer disclosed the interest in accordance with the provisions of the Act and the contract was approved by the directors or the shareholders and it was reasonable and fair to the Corporation at the time it was approved. This Paragraph 27 is subject to any unanimous shareholder agreement.</w:t>
      </w:r>
    </w:p>
    <w:p>
      <w:pPr>
        <w:spacing w:after="0" w:line="18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Even if the conditions set out above in this Paragraph 27 are not met, a director or officer acting honestly and in good faith is not accountable to the Corporation or to its shareholders for any profit realized from a material contract or material transaction for which disclosure is required under this Paragraph 27 and the material contract or material transaction is not void or voidable by reason only of the interest of the director or officer in the material contract or material transaction, if (i) the material contract or material transaction was approved or confirmed by special resolution at a meeting of the shareholders of the Corporation; (ii) disclosure of the interest was made to the shareholders in a manner sufficient to indicate its nature before the material contract or material transaction was approved or confirmed; and (iii) the material contract or material transaction was reasonable and fair to the Corporation when it was approved or confirmed.</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 THE PROTECTION OF DIRECTORS AND OFFICERS</w:t>
      </w:r>
    </w:p>
    <w:p>
      <w:pPr>
        <w:spacing w:after="0" w:line="225" w:lineRule="exact"/>
        <w:rPr>
          <w:sz w:val="20"/>
          <w:szCs w:val="20"/>
          <w:color w:val="auto"/>
        </w:rPr>
      </w:pPr>
    </w:p>
    <w:p>
      <w:pPr>
        <w:ind w:left="4" w:hanging="4"/>
        <w:spacing w:after="0" w:line="256" w:lineRule="auto"/>
        <w:tabs>
          <w:tab w:leader="none" w:pos="27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or officer of the Corporation shall be liable to the Corporation for the acts, receipts, neglects or defaults of any other director or officer or employee or for joining in any receipt or act for conformity or for any loss, damage or expense happening to the Corporation through the insufficiency or deficiency of title to any property acquired by the Corporation or for or on behalf of the Corporation or for the insufficiency or deficiency of any security in or upon which any of the monies of or belonging to the Corporation shall be placed out or invested or for any loss or damage arising from the bankruptcy, insolvency or tortious act of any person, firm or corporation including any person, firm or corporation with whom or which any monies, securities or effects shall be lodged or deposited or for any loss, conversion, misapplication or</w:t>
      </w:r>
    </w:p>
    <w:p>
      <w:pPr>
        <w:spacing w:after="0" w:line="11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58" w:name="page59"/>
    <w:bookmarkEnd w:id="58"/>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misappropriation of or any damage resulting from any dealings with any monies, securities or other assets belonging to the Corporation or for any other loss, damage or misfortune whatever that may happen in the execution of the duties of such director’s or officer’s respective office of trust or in relation thereto, unless the same shall happen by or through the director’s or officer’s failure to exercise the powers and to discharge the duties of office honestly, in good faith with a view to the best interests of the Corporation, and in connection therewith to exercise the care, diligence and skill that a reasonably prudent person would exercise in comparable circumstances, provided that nothing herein contained shall relieve a director or officer from the duty to act in accordance with the Act or relieve such director or officer from liability under the Act. If any director or officer of the Corporation shall be employed by or shall perform services for the Corporation otherwise than as a director or officer or shall be a member of a firm or a shareholder, director or officer of a body corporate which is employed by or performs services for the Corporation, the fact that the director or officer is a shareholder, director or officer of the Corporation or body corporate or member of the firm shall not disentitle such director or officer or such firm or body corporate, as the case may be, from receiving proper remuneration for such services.</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INDEMNITIES TO DIRECTORS AND OTHERS</w:t>
      </w:r>
    </w:p>
    <w:p>
      <w:pPr>
        <w:spacing w:after="0" w:line="225" w:lineRule="exact"/>
        <w:rPr>
          <w:sz w:val="20"/>
          <w:szCs w:val="20"/>
          <w:color w:val="auto"/>
        </w:rPr>
      </w:pPr>
    </w:p>
    <w:p>
      <w:pPr>
        <w:ind w:left="4" w:right="100" w:hanging="4"/>
        <w:spacing w:after="0" w:line="253" w:lineRule="auto"/>
        <w:tabs>
          <w:tab w:leader="none" w:pos="2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Corporation shall indemnify a director or officer, a former director or officer or any other individual permitted by the Act to be so indemnified in the manner and to the fullest extent permitted by the Act. Without limiting the generality of the foregoing, subject to section 124 of the Act, except in respect of an action by or on behalf of the Corporation or body corporate to procure a judgment in its favour, the Corporation shall indemnify a director or officer of the Corporation, a former director or officer of the Corporation or a person who acts or acted at the Corporation’s request as a director or officer of a body corporate of which the Corporation is or was a shareholder or creditor (or, if permitted by the Act, of another entity or an individual acting in a similar capacity of another entity) and the director’s or officer’s (or, if permitted by the Act, such individual’s) heirs and legal representatives, against all costs, charges and expenses, including costs incurred in the defence of an action or proceeding and an amount paid to settle an action or satisfy a judgment, reasonably incurred by such director or officer in respect of any civil, criminal or administrative action or proceeding (or, if permitted by the Act, any investigative action or proceeding) to which the director or officer (or, if permitted by the Act, such individual) is made a party (or, if permitted by the Act, is otherwise involved) by reason of being or having been a director or officer of the Corporation or body corporate (or, if permitted by the Act, is otherwise involved because of that association with the Corporation or other entity), if:</w:t>
      </w:r>
    </w:p>
    <w:p>
      <w:pPr>
        <w:spacing w:after="0" w:line="97" w:lineRule="exact"/>
        <w:rPr>
          <w:sz w:val="20"/>
          <w:szCs w:val="20"/>
          <w:color w:val="auto"/>
        </w:rPr>
      </w:pPr>
    </w:p>
    <w:p>
      <w:pPr>
        <w:ind w:left="424" w:right="300" w:hanging="424"/>
        <w:spacing w:after="0" w:line="266"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(or, if permitted by the Act, such individual) acted honestly and in good faith with a view to the best interests of the Corporation (or, if permitted by the Act, as the case may be, to the best interests of the other entity for which the individual acted as director or officer or in a similar capacity at the Corporation’s request); and</w:t>
      </w:r>
    </w:p>
    <w:p>
      <w:pPr>
        <w:spacing w:after="0" w:line="81" w:lineRule="exact"/>
        <w:rPr>
          <w:rFonts w:ascii="Times New Roman" w:cs="Times New Roman" w:eastAsia="Times New Roman" w:hAnsi="Times New Roman"/>
          <w:sz w:val="18"/>
          <w:szCs w:val="18"/>
          <w:color w:val="auto"/>
        </w:rPr>
      </w:pPr>
    </w:p>
    <w:p>
      <w:pPr>
        <w:ind w:left="424" w:right="220" w:hanging="424"/>
        <w:spacing w:after="0" w:line="266"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the director or officer (or, if permitted by the Act, such individual) had reasonable grounds for believing that the director’s or officer’s (or, if permitted by the Act, such individual’s) conduct was lawful.</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4"/>
          </w:cols>
          <w:pgMar w:left="436" w:top="270" w:right="459" w:bottom="1440" w:gutter="0" w:footer="0" w:header="0"/>
        </w:sectPr>
      </w:pPr>
    </w:p>
    <w:bookmarkStart w:id="59" w:name="page60"/>
    <w:bookmarkEnd w:id="59"/>
    <w:p>
      <w:pPr>
        <w:ind w:left="4" w:firstLine="436"/>
        <w:spacing w:after="0" w:line="277" w:lineRule="auto"/>
        <w:tabs>
          <w:tab w:leader="none" w:pos="699"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shall, subject to the approval of a Court (as defined in the Act), indemnify a person referred to in Paragraph 29(1) hereof in respect of an action by or on behalf of the Corporation or a body corporate (or, if permitted by the Act, other entity) to procure a judgment in its favour, to which such person is made a party by reason of being or having been a director or an officer of the Corporation or body corporate (or, if permitted by the Act, because of the person’s association with the Corporation or other entity as described in Paragraph 29(1)), against all costs, charges and expenses reasonably incurred by the person in connection with such action if such person fulfills the conditions set out in Paragraph 29(1)(a) and (b) hereof.</w:t>
      </w:r>
    </w:p>
    <w:p>
      <w:pPr>
        <w:spacing w:after="0" w:line="167" w:lineRule="exact"/>
        <w:rPr>
          <w:rFonts w:ascii="Times New Roman" w:cs="Times New Roman" w:eastAsia="Times New Roman" w:hAnsi="Times New Roman"/>
          <w:sz w:val="17"/>
          <w:szCs w:val="17"/>
          <w:color w:val="auto"/>
        </w:rPr>
      </w:pPr>
    </w:p>
    <w:p>
      <w:pPr>
        <w:ind w:left="4" w:right="260" w:firstLine="436"/>
        <w:spacing w:after="0" w:line="282" w:lineRule="auto"/>
        <w:tabs>
          <w:tab w:leader="none" w:pos="69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funds to a person in order to defray the costs, charges and expenses of a proceeding referred to above in this Paragraph 29, but if the person does not meet the conditions set out in the Act, he or she shall repay the funds advanced.</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purchase and maintain insurance for the benefit of any person referred to in Paragraph 29(1) to the extent permitted by</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w:t>
      </w:r>
    </w:p>
    <w:p>
      <w:pPr>
        <w:spacing w:after="0" w:line="200" w:lineRule="exact"/>
        <w:rPr>
          <w:sz w:val="20"/>
          <w:szCs w:val="20"/>
          <w:color w:val="auto"/>
        </w:rPr>
      </w:pPr>
    </w:p>
    <w:p>
      <w:pPr>
        <w:spacing w:after="0" w:line="2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left="4" w:right="60" w:hanging="4"/>
        <w:spacing w:after="0" w:line="254" w:lineRule="auto"/>
        <w:tabs>
          <w:tab w:leader="none" w:pos="2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Officers</w:t>
      </w:r>
      <w:r>
        <w:rPr>
          <w:rFonts w:ascii="Times New Roman" w:cs="Times New Roman" w:eastAsia="Times New Roman" w:hAnsi="Times New Roman"/>
          <w:sz w:val="18"/>
          <w:szCs w:val="18"/>
          <w:color w:val="auto"/>
        </w:rPr>
        <w:t>. Subject to the articles or any unanimous shareholder agreement, the directors annually or as often as may be required may appoint from among themselves a Chairman of the Board (either on a full-time or part-time basis) and may appoint a President, one or more Vice-Presidents (to which title may be added words indicating seniority or function), a Secretary, a Treasurer and one or more assistants to any of the officers so appointed. None of such officers except the Chairman of the Board needs to be a director of the Corporation although a director may be appointed to any office of the Corporation. Two or more offices of the Corporation may be held by the same person. The directors may from time to time appoint such other officers, employees and agents as they shall deem necessary who shall have such authority and shall perform such functions and duties as may from time to time be prescribed by resolution of the directors. The directors may from time to time and subject to the provisions of the Act, vary, add to or limit the duties and powers of any officer, employee or agent.</w:t>
      </w:r>
    </w:p>
    <w:p>
      <w:pPr>
        <w:spacing w:after="0" w:line="191" w:lineRule="exact"/>
        <w:rPr>
          <w:rFonts w:ascii="Times New Roman" w:cs="Times New Roman" w:eastAsia="Times New Roman" w:hAnsi="Times New Roman"/>
          <w:sz w:val="18"/>
          <w:szCs w:val="18"/>
          <w:color w:val="auto"/>
        </w:rPr>
      </w:pPr>
    </w:p>
    <w:p>
      <w:pPr>
        <w:ind w:left="4" w:right="340" w:hanging="4"/>
        <w:spacing w:after="0" w:line="282" w:lineRule="auto"/>
        <w:tabs>
          <w:tab w:leader="none" w:pos="27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Officers and Vacation of Office</w:t>
      </w:r>
      <w:r>
        <w:rPr>
          <w:rFonts w:ascii="Times New Roman" w:cs="Times New Roman" w:eastAsia="Times New Roman" w:hAnsi="Times New Roman"/>
          <w:sz w:val="18"/>
          <w:szCs w:val="18"/>
          <w:color w:val="auto"/>
        </w:rPr>
        <w:t>. Subject to the articles or any unanimous shareholder agreement, all officers, employees and agents, shall be subject to removal by resolution of the directors at any time, with or without cause.</w:t>
      </w:r>
    </w:p>
    <w:p>
      <w:pPr>
        <w:spacing w:after="0" w:line="162"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An officer of the Corporation ceases to hold office when such officer dies, resigns or is removed from office. A resignation of an officer becomes effective at the time a written resignation is sent to the Corporation, or at the time specified in the resignation, whichever is later.</w:t>
      </w:r>
    </w:p>
    <w:p>
      <w:pPr>
        <w:spacing w:after="0" w:line="162" w:lineRule="exact"/>
        <w:rPr>
          <w:sz w:val="20"/>
          <w:szCs w:val="20"/>
          <w:color w:val="auto"/>
        </w:rPr>
      </w:pPr>
    </w:p>
    <w:p>
      <w:pPr>
        <w:ind w:left="4" w:right="120" w:hanging="4"/>
        <w:spacing w:after="0" w:line="266" w:lineRule="auto"/>
        <w:tabs>
          <w:tab w:leader="none" w:pos="2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If the office of Chairman of the Board, President, Vice-President, Secretary, Treasurer, or any other office created by the directors pursuant to Paragraph 30 hereof shall be or become vacant by reason of death, resignation, removal from office or in any other manner whatsoever, the directors may appoint an individual to fill such vacancy.</w:t>
      </w:r>
    </w:p>
    <w:p>
      <w:pPr>
        <w:spacing w:after="0" w:line="175" w:lineRule="exact"/>
        <w:rPr>
          <w:rFonts w:ascii="Times New Roman" w:cs="Times New Roman" w:eastAsia="Times New Roman" w:hAnsi="Times New Roman"/>
          <w:sz w:val="18"/>
          <w:szCs w:val="18"/>
          <w:color w:val="auto"/>
        </w:rPr>
      </w:pPr>
    </w:p>
    <w:p>
      <w:pPr>
        <w:ind w:left="4" w:right="140" w:hanging="4"/>
        <w:spacing w:after="0" w:line="261" w:lineRule="auto"/>
        <w:tabs>
          <w:tab w:leader="none" w:pos="27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any) shall, if present, preside as chairman at all meetings of the board and at all meetings of the shareholders of the Corporation. The Chairman of the Board shall sign such contracts, documents or instruments in writing as require his or her signature and shall have such other powers and shall perform such other duties as may from time to time be assigned to him or her by resolution of the directors.</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984"/>
          </w:cols>
          <w:pgMar w:left="436" w:top="270" w:right="479" w:bottom="1440" w:gutter="0" w:footer="0" w:header="0"/>
        </w:sectPr>
      </w:pPr>
    </w:p>
    <w:bookmarkStart w:id="60" w:name="page61"/>
    <w:bookmarkEnd w:id="60"/>
    <w:p>
      <w:pPr>
        <w:ind w:left="4" w:hanging="4"/>
        <w:spacing w:after="0" w:line="256"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President</w:t>
      </w:r>
      <w:r>
        <w:rPr>
          <w:rFonts w:ascii="Times New Roman" w:cs="Times New Roman" w:eastAsia="Times New Roman" w:hAnsi="Times New Roman"/>
          <w:sz w:val="18"/>
          <w:szCs w:val="18"/>
          <w:color w:val="auto"/>
        </w:rPr>
        <w:t>. The President (if any) shall, unless otherwise determined by resolution of the board, be the chief executive officer of the Corporation and shall, subject to the direction of the board, exercise general supervision and control over the business and affairs of the Corporation. In the absence of the Chairman of the Board (if any), and if the President is also a director of the Corporation, the President shall, when present, preside as chairman at all meetings of directors and the shareholders of the Corporation. The President shall sign such contracts, documents or instruments in writing as require his or her signature and shall have such other powers and shall perform such other duties as may from time to time be assigned to him or her by resolution of the directors or as are incident to his or her office.</w:t>
      </w:r>
    </w:p>
    <w:p>
      <w:pPr>
        <w:spacing w:after="0" w:line="187"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Vice-President</w:t>
      </w:r>
      <w:r>
        <w:rPr>
          <w:rFonts w:ascii="Times New Roman" w:cs="Times New Roman" w:eastAsia="Times New Roman" w:hAnsi="Times New Roman"/>
          <w:sz w:val="18"/>
          <w:szCs w:val="18"/>
          <w:color w:val="auto"/>
        </w:rPr>
        <w:t>. The Vice-President (if any) or, if more than one, the Vice-Presidents in order of seniority, shall be vested with all the powers and shall perform all the duties of the President in the absence or inability or refusal to act of the President, provided, however, that a Vice-President who is not a director shall not preside as chairman at any meeting of directors or shareholders. The Vice-President or, if more than one, the Vice-Presidents shall sign such contracts, documents or instruments in writing as require his or her or their signatures and shall have such other powers and shall perform such other duties as may from time to time be assigned to him or her or them by resolution of the directors.</w:t>
      </w:r>
    </w:p>
    <w:p>
      <w:pPr>
        <w:spacing w:after="0" w:line="183" w:lineRule="exact"/>
        <w:rPr>
          <w:rFonts w:ascii="Times New Roman" w:cs="Times New Roman" w:eastAsia="Times New Roman" w:hAnsi="Times New Roman"/>
          <w:sz w:val="18"/>
          <w:szCs w:val="18"/>
          <w:color w:val="auto"/>
        </w:rPr>
      </w:pPr>
    </w:p>
    <w:p>
      <w:pPr>
        <w:ind w:left="4" w:hanging="4"/>
        <w:spacing w:after="0" w:line="258"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Unless another officer has been appointed for that purpose, the Secretary (if any) shall give or cause to be given notices for all meetings of directors, any committee of directors and shareholders when directed to do so and shall, subject to the provisions of the Act, maintain the records referred to in subsections (1), (3) and (5) of section 21 of the Act. The Secretary shall sign such contracts, documents or instruments in writing as require the signature of the Secretary and shall have such other powers and shall perform such other duties as may from time to time be assigned to the Secretary by resolution of the directors or as are incident to the office of the Secretary.</w:t>
      </w:r>
    </w:p>
    <w:p>
      <w:pPr>
        <w:spacing w:after="0" w:line="183" w:lineRule="exact"/>
        <w:rPr>
          <w:rFonts w:ascii="Times New Roman" w:cs="Times New Roman" w:eastAsia="Times New Roman" w:hAnsi="Times New Roman"/>
          <w:sz w:val="18"/>
          <w:szCs w:val="18"/>
          <w:color w:val="auto"/>
        </w:rPr>
      </w:pPr>
    </w:p>
    <w:p>
      <w:pPr>
        <w:ind w:left="4" w:right="20" w:hanging="4"/>
        <w:spacing w:after="0" w:line="253" w:lineRule="auto"/>
        <w:tabs>
          <w:tab w:leader="none" w:pos="27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Subject to the provisions of any resolution of the directors, the Treasurer (if any) or such other officer who has been appointed for that purpose shall have the care and custody of all the funds and securities of the Corporation and shall deposit the same in the name of the Corporation in such bank or banks or with such other depositary or depositaries as the directors may by resolution direct; provided that the Treasurer may from time to time arrange for the temporary deposit of moneys of the Corporation in banks, trust companies or other financial institutions within or outside Canada not so directed by the board for the purpose of facilitating transfer thereof to the credit of the Corporation in a bank, trust company or other financial institution so directed. Unless another officer has been appointed for that purpose, the Treasurer shall prepare and maintain adequate accounting records. The Treasurer shall sign such contracts, documents or instruments in writing as require the signature of the Treasurer and shall have such other powers and shall perform such other duties as may from time to time be assigned to such person by resolution of the directors or as are incident to the office of the Treasurer. The Treasurer may be required to give such bond for the faithful performance of his or her duties as the directors in their sole discretion may require and no director shall be liable for failure to require any such bond or for the insufficiency of any such bond or for any loss by reason of the failure of the Corporation to receive any indemnity thereby provided.</w:t>
      </w:r>
    </w:p>
    <w:p>
      <w:pPr>
        <w:spacing w:after="0" w:line="124" w:lineRule="exact"/>
        <w:rPr>
          <w:rFonts w:ascii="Times New Roman" w:cs="Times New Roman" w:eastAsia="Times New Roman" w:hAnsi="Times New Roman"/>
          <w:sz w:val="18"/>
          <w:szCs w:val="18"/>
          <w:color w:val="auto"/>
        </w:rPr>
      </w:pPr>
    </w:p>
    <w:p>
      <w:pPr>
        <w:ind w:left="5424" w:hanging="108"/>
        <w:spacing w:after="0"/>
        <w:tabs>
          <w:tab w:leader="none" w:pos="54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4"/>
          </w:cols>
          <w:pgMar w:left="436" w:top="270" w:right="459" w:bottom="1440" w:gutter="0" w:footer="0" w:header="0"/>
        </w:sectPr>
      </w:pPr>
    </w:p>
    <w:bookmarkStart w:id="61" w:name="page62"/>
    <w:bookmarkEnd w:id="61"/>
    <w:p>
      <w:pPr>
        <w:ind w:left="4" w:right="20" w:hanging="4"/>
        <w:spacing w:after="0" w:line="255" w:lineRule="auto"/>
        <w:tabs>
          <w:tab w:leader="none" w:pos="2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Assistant Secretary and Assistant Treasurer</w:t>
      </w:r>
      <w:r>
        <w:rPr>
          <w:rFonts w:ascii="Times New Roman" w:cs="Times New Roman" w:eastAsia="Times New Roman" w:hAnsi="Times New Roman"/>
          <w:sz w:val="18"/>
          <w:szCs w:val="18"/>
          <w:color w:val="auto"/>
        </w:rPr>
        <w:t>. The Assistant Secretary (if any) or, if more than one, the Assistant Secretaries in order of seniority, and the Assistant Treasurer (if any) or, if more than one, the Assistant Treasurers in order of seniority, shall assist the Secretary and Treasurer, respectively, in the performance of his or her duties and shall be vested with all the powers and shall perform all the duties of the Secretary and Treasurer, respectively, in the absence or inability or refusal to act of the Secretary or Treasurer as the case may be. The Assistant Secretary or, if more than one, the Assistant Secretaries and the Assistant Treasurer or, if more than one, the Assistant Treasurers shall sign such contracts, documents or instruments in writing as require his or her or their signatures, respectively, and shall have such other powers and shall perform such other duties as may from time to time be assigned to him or her or them by resolution of the directors.</w:t>
      </w:r>
    </w:p>
    <w:p>
      <w:pPr>
        <w:spacing w:after="0" w:line="188" w:lineRule="exact"/>
        <w:rPr>
          <w:rFonts w:ascii="Times New Roman" w:cs="Times New Roman" w:eastAsia="Times New Roman" w:hAnsi="Times New Roman"/>
          <w:sz w:val="18"/>
          <w:szCs w:val="18"/>
          <w:color w:val="auto"/>
        </w:rPr>
      </w:pPr>
    </w:p>
    <w:p>
      <w:pPr>
        <w:ind w:left="4" w:right="40" w:hanging="4"/>
        <w:spacing w:after="0" w:line="282" w:lineRule="auto"/>
        <w:tabs>
          <w:tab w:leader="none" w:pos="2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Managing Director</w:t>
      </w:r>
      <w:r>
        <w:rPr>
          <w:rFonts w:ascii="Times New Roman" w:cs="Times New Roman" w:eastAsia="Times New Roman" w:hAnsi="Times New Roman"/>
          <w:sz w:val="18"/>
          <w:szCs w:val="18"/>
          <w:color w:val="auto"/>
        </w:rPr>
        <w:t>. The Managing Director (if any) shall conform to all lawful orders given to him or her by the directors and shall at all reasonable times give to the directors or any of them all information they may require regarding the affairs of the Corporation.</w:t>
      </w:r>
    </w:p>
    <w:p>
      <w:pPr>
        <w:spacing w:after="0" w:line="161" w:lineRule="exact"/>
        <w:rPr>
          <w:rFonts w:ascii="Times New Roman" w:cs="Times New Roman" w:eastAsia="Times New Roman" w:hAnsi="Times New Roman"/>
          <w:sz w:val="18"/>
          <w:szCs w:val="18"/>
          <w:color w:val="auto"/>
        </w:rPr>
      </w:pPr>
    </w:p>
    <w:p>
      <w:pPr>
        <w:ind w:left="4" w:hanging="4"/>
        <w:spacing w:after="0" w:line="266" w:lineRule="auto"/>
        <w:tabs>
          <w:tab w:leader="none" w:pos="2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of Officers may be Delegated</w:t>
      </w:r>
      <w:r>
        <w:rPr>
          <w:rFonts w:ascii="Times New Roman" w:cs="Times New Roman" w:eastAsia="Times New Roman" w:hAnsi="Times New Roman"/>
          <w:sz w:val="18"/>
          <w:szCs w:val="18"/>
          <w:color w:val="auto"/>
        </w:rPr>
        <w:t>. In case of the absence or inability or refusal to act of any officer of the Corporation or for any other reason that the directors may deem sufficient, the directors may delegate all or any of the powers of such officer to any other officer or to any director for the time being.</w:t>
      </w:r>
    </w:p>
    <w:p>
      <w:pPr>
        <w:spacing w:after="0" w:line="175" w:lineRule="exact"/>
        <w:rPr>
          <w:rFonts w:ascii="Times New Roman" w:cs="Times New Roman" w:eastAsia="Times New Roman" w:hAnsi="Times New Roman"/>
          <w:sz w:val="18"/>
          <w:szCs w:val="18"/>
          <w:color w:val="auto"/>
        </w:rPr>
      </w:pPr>
    </w:p>
    <w:p>
      <w:pPr>
        <w:ind w:left="4" w:right="160" w:hanging="4"/>
        <w:spacing w:after="0" w:line="282" w:lineRule="auto"/>
        <w:tabs>
          <w:tab w:leader="none" w:pos="27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and Attorneys</w:t>
      </w:r>
      <w:r>
        <w:rPr>
          <w:rFonts w:ascii="Times New Roman" w:cs="Times New Roman" w:eastAsia="Times New Roman" w:hAnsi="Times New Roman"/>
          <w:sz w:val="18"/>
          <w:szCs w:val="18"/>
          <w:color w:val="auto"/>
        </w:rPr>
        <w:t>. The Corporation shall have power from time to time to appoint agents or attorneys for the Corporation in or outside Canada with such powers (including the power to subdelegate) of management, administration or otherwise as may be thought fit.</w:t>
      </w:r>
    </w:p>
    <w:p>
      <w:pPr>
        <w:spacing w:after="0" w:line="37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SHAREHOLDERS’ MEETINGS</w:t>
      </w:r>
    </w:p>
    <w:p>
      <w:pPr>
        <w:spacing w:after="0" w:line="225" w:lineRule="exact"/>
        <w:rPr>
          <w:sz w:val="20"/>
          <w:szCs w:val="20"/>
          <w:color w:val="auto"/>
        </w:rPr>
      </w:pPr>
    </w:p>
    <w:p>
      <w:pPr>
        <w:ind w:left="264" w:hanging="264"/>
        <w:spacing w:after="0"/>
        <w:tabs>
          <w:tab w:leader="none" w:pos="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Subject to sections 131 and 132 of the Act, the annual meeting of shareholders shall be held at such place within Alberta (or</w:t>
      </w:r>
    </w:p>
    <w:p>
      <w:pPr>
        <w:spacing w:after="0" w:line="27" w:lineRule="exact"/>
        <w:rPr>
          <w:rFonts w:ascii="Times New Roman" w:cs="Times New Roman" w:eastAsia="Times New Roman" w:hAnsi="Times New Roman"/>
          <w:sz w:val="18"/>
          <w:szCs w:val="18"/>
          <w:color w:val="auto"/>
        </w:rPr>
      </w:pPr>
    </w:p>
    <w:p>
      <w:pPr>
        <w:ind w:left="4"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Alberta if the articles so provide or if all the shareholders entitled to vote at that meeting so agree) determined by the directors on such day in each year and at such time as the directors may determine.</w:t>
      </w:r>
    </w:p>
    <w:p>
      <w:pPr>
        <w:spacing w:after="0" w:line="181" w:lineRule="exact"/>
        <w:rPr>
          <w:rFonts w:ascii="Times New Roman" w:cs="Times New Roman" w:eastAsia="Times New Roman" w:hAnsi="Times New Roman"/>
          <w:sz w:val="18"/>
          <w:szCs w:val="18"/>
          <w:color w:val="auto"/>
        </w:rPr>
      </w:pPr>
    </w:p>
    <w:p>
      <w:pPr>
        <w:ind w:left="4" w:right="160" w:hanging="4"/>
        <w:spacing w:after="0" w:line="266" w:lineRule="auto"/>
        <w:tabs>
          <w:tab w:leader="none" w:pos="27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The directors of the Corporation may at any time call a special meeting of shareholders to be held on such day and at such time and, subject to section 131 of the Act, at such place within Alberta as the directors may determine or, if provided for in the articles, in such other place as the directors may determine.</w:t>
      </w:r>
    </w:p>
    <w:p>
      <w:pPr>
        <w:spacing w:after="0" w:line="175" w:lineRule="exact"/>
        <w:rPr>
          <w:rFonts w:ascii="Times New Roman" w:cs="Times New Roman" w:eastAsia="Times New Roman" w:hAnsi="Times New Roman"/>
          <w:sz w:val="18"/>
          <w:szCs w:val="18"/>
          <w:color w:val="auto"/>
        </w:rPr>
      </w:pPr>
    </w:p>
    <w:p>
      <w:pPr>
        <w:ind w:left="4" w:right="280" w:hanging="4"/>
        <w:spacing w:after="0" w:line="256" w:lineRule="auto"/>
        <w:tabs>
          <w:tab w:leader="none" w:pos="27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 on Requisition of Shareholders</w:t>
      </w:r>
      <w:r>
        <w:rPr>
          <w:rFonts w:ascii="Times New Roman" w:cs="Times New Roman" w:eastAsia="Times New Roman" w:hAnsi="Times New Roman"/>
          <w:sz w:val="18"/>
          <w:szCs w:val="18"/>
          <w:color w:val="auto"/>
        </w:rPr>
        <w:t>. The registered holders or beneficial owners of not less than five percent (5%) of the issued shares of the Corporation that carry the right to vote at a meeting sought to be held may requisition the directors to call a meeting of shareholders for the purposes stated in the requisition. The requisition shall state the business to be transacted at the meeting and shall be sent to each director and to the registered office of the Corporation. Subject to subsection (3) of section 142 of the Act, upon receipt of the requisition, the directors shall call a meeting of shareholders to transact the business stated in the requisition (but if the directors are obligated to call a meeting and do not do so within 21 days after receiving the requisition, any registered or beneficial shareholder who signed the requisition may call the meeting).</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84"/>
          </w:cols>
          <w:pgMar w:left="436" w:top="270" w:right="479" w:bottom="1440" w:gutter="0" w:footer="0" w:header="0"/>
        </w:sectPr>
      </w:pPr>
    </w:p>
    <w:bookmarkStart w:id="62" w:name="page63"/>
    <w:bookmarkEnd w:id="62"/>
    <w:p>
      <w:pPr>
        <w:ind w:left="4" w:right="20" w:hanging="4"/>
        <w:spacing w:after="0" w:line="258"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PARTICIPATION IN MEETINGS BY ELECTRONIC MEANS</w:t>
      </w:r>
      <w:r>
        <w:rPr>
          <w:rFonts w:ascii="Times New Roman" w:cs="Times New Roman" w:eastAsia="Times New Roman" w:hAnsi="Times New Roman"/>
          <w:sz w:val="18"/>
          <w:szCs w:val="18"/>
          <w:color w:val="auto"/>
        </w:rPr>
        <w:t>. SUBJECT TO THE ACT, A SHAREHOLDER OR ANY OTHER PERSON ENTITLED TO ATTEND A MEETING OF SHAREHOLDERS MAY PARTICIPATE IN THE MEETING BY ELECTRONIC MEANS, TELEPHONE OR OTHER COMMUNICATION FACILITIES THAT PERMIT ALL PERSONS PARTICIPATING IN THE MEETING TO HEAR OR OTHERWISE COMMUNICATE WITH EACH OTHER AND A PERSON PARTICIPATING IN SUCH A MEETING BY ANY SUCH MEANS IS DEEMED FOR THE PURPOSES OF THE ACT AND THIS BY-LAW TO BE PRESENT AT THE MEETING.</w:t>
      </w:r>
    </w:p>
    <w:p>
      <w:pPr>
        <w:spacing w:after="0" w:line="183"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Meetings held by Electronic Means</w:t>
      </w:r>
      <w:r>
        <w:rPr>
          <w:rFonts w:ascii="Times New Roman" w:cs="Times New Roman" w:eastAsia="Times New Roman" w:hAnsi="Times New Roman"/>
          <w:sz w:val="18"/>
          <w:szCs w:val="18"/>
          <w:color w:val="auto"/>
        </w:rPr>
        <w:t>. If the directors or the shareholders call a meeting of shareholders, the directors or the shareholders that called the meeting may determine that the meeting shall be held, in accordance with the Act, entirely by electronic means, telephone or other communication facility that permits all participants to communicate adequately with each other during the meeting.</w:t>
      </w:r>
    </w:p>
    <w:p>
      <w:pPr>
        <w:spacing w:after="0" w:line="175" w:lineRule="exact"/>
        <w:rPr>
          <w:rFonts w:ascii="Times New Roman" w:cs="Times New Roman" w:eastAsia="Times New Roman" w:hAnsi="Times New Roman"/>
          <w:sz w:val="18"/>
          <w:szCs w:val="18"/>
          <w:color w:val="auto"/>
        </w:rPr>
      </w:pPr>
    </w:p>
    <w:p>
      <w:pPr>
        <w:ind w:left="4" w:right="40" w:hanging="4"/>
        <w:spacing w:after="0" w:line="256"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 notice in writing of a meeting of shareholders stating the day, hour and place of meeting and if special business is to be transacted thereat, stating (i) the nature of that business in sufficient detail to permit the shareholder to form a reasoned judgment on that business and (ii) the text of any special resolution to be submitted to the meeting, shall be sent to each shareholder entitled to vote at the meeting, who on the record date for notice is registered on the records of the Corporation or its transfer agent as a shareholder, to each director of the Corporation and to the auditor of the Corporation not less than 21 days and not more than 50 days (exclusive of the day of mailing and of the day for which notice is given) before the date of the meeting.</w:t>
      </w:r>
    </w:p>
    <w:p>
      <w:pPr>
        <w:spacing w:after="0" w:line="187" w:lineRule="exact"/>
        <w:rPr>
          <w:rFonts w:ascii="Times New Roman" w:cs="Times New Roman" w:eastAsia="Times New Roman" w:hAnsi="Times New Roman"/>
          <w:sz w:val="18"/>
          <w:szCs w:val="18"/>
          <w:color w:val="auto"/>
        </w:rPr>
      </w:pPr>
    </w:p>
    <w:p>
      <w:pPr>
        <w:ind w:left="4" w:hanging="4"/>
        <w:spacing w:after="0" w:line="256"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Notice of any meeting of shareholders or the time for the giving of any such notice or any irregularity in any meeting or in the notice thereof may be waived by any shareholder, the duly appointed proxy of any shareholder, any director or the auditor of the Corporation in writing or by facsimile or other form of recorded electronic transmission addressed to the Corporation or in any other manner, and any such waiver may be validly given either before or after the meeting to which such waiver relates. Attendance of a shareholder or any other person entitled to attend a meeting of shareholders is a waiver of notice of such meeting, except when he or she attends a meeting for the express purpose of objecting to the transaction of any business on the grounds that the meeting is not lawfully called.</w:t>
      </w:r>
    </w:p>
    <w:p>
      <w:pPr>
        <w:spacing w:after="0" w:line="187" w:lineRule="exact"/>
        <w:rPr>
          <w:rFonts w:ascii="Times New Roman" w:cs="Times New Roman" w:eastAsia="Times New Roman" w:hAnsi="Times New Roman"/>
          <w:sz w:val="18"/>
          <w:szCs w:val="18"/>
          <w:color w:val="auto"/>
        </w:rPr>
      </w:pPr>
    </w:p>
    <w:p>
      <w:pPr>
        <w:ind w:left="4" w:right="260" w:hanging="4"/>
        <w:spacing w:after="0" w:line="282"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Omission of Notice</w:t>
      </w:r>
      <w:r>
        <w:rPr>
          <w:rFonts w:ascii="Times New Roman" w:cs="Times New Roman" w:eastAsia="Times New Roman" w:hAnsi="Times New Roman"/>
          <w:sz w:val="18"/>
          <w:szCs w:val="18"/>
          <w:color w:val="auto"/>
        </w:rPr>
        <w:t>. The accidental omission to give notice of any meeting of shareholders to or the non-receipt of any notice by any person shall not invalidate any resolution passed or any proceeding taken at any such meeting.</w:t>
      </w:r>
    </w:p>
    <w:p>
      <w:pPr>
        <w:spacing w:after="0" w:line="161" w:lineRule="exact"/>
        <w:rPr>
          <w:rFonts w:ascii="Times New Roman" w:cs="Times New Roman" w:eastAsia="Times New Roman" w:hAnsi="Times New Roman"/>
          <w:sz w:val="18"/>
          <w:szCs w:val="18"/>
          <w:color w:val="auto"/>
        </w:rPr>
      </w:pPr>
    </w:p>
    <w:p>
      <w:pPr>
        <w:ind w:left="4" w:right="140" w:hanging="4"/>
        <w:spacing w:after="0" w:line="266" w:lineRule="auto"/>
        <w:tabs>
          <w:tab w:leader="none" w:pos="27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Dates</w:t>
      </w:r>
      <w:r>
        <w:rPr>
          <w:rFonts w:ascii="Times New Roman" w:cs="Times New Roman" w:eastAsia="Times New Roman" w:hAnsi="Times New Roman"/>
          <w:sz w:val="18"/>
          <w:szCs w:val="18"/>
          <w:color w:val="auto"/>
        </w:rPr>
        <w:t>. The directors may fix in advance a date as the record date for the determination of shareholders (i) entitled to receive payment of a dividend, (ii) entitled to participate in a liquidation distribution or (iii) for any other purpose except the right to receive notice of or to vote at a meeting of shareholders, but such record date shall not precede by more than 50 days the particular action to be taken.</w:t>
      </w:r>
    </w:p>
    <w:p>
      <w:pPr>
        <w:spacing w:after="0" w:line="176" w:lineRule="exact"/>
        <w:rPr>
          <w:sz w:val="20"/>
          <w:szCs w:val="20"/>
          <w:color w:val="auto"/>
        </w:rPr>
      </w:pPr>
    </w:p>
    <w:p>
      <w:pPr>
        <w:ind w:left="4" w:right="20" w:firstLine="440"/>
        <w:spacing w:after="0" w:line="312" w:lineRule="auto"/>
        <w:rPr>
          <w:sz w:val="20"/>
          <w:szCs w:val="20"/>
          <w:color w:val="auto"/>
        </w:rPr>
      </w:pPr>
      <w:r>
        <w:rPr>
          <w:rFonts w:ascii="Times New Roman" w:cs="Times New Roman" w:eastAsia="Times New Roman" w:hAnsi="Times New Roman"/>
          <w:sz w:val="17"/>
          <w:szCs w:val="17"/>
          <w:color w:val="auto"/>
        </w:rPr>
        <w:t>The directors may also fix in advance a date as the record date for the determination of shareholders entitled to receive notice of or to vote at a meeting of shareholders, but such record date shall not precede by more than 50 days or by less than 21 days the date on which the meeting is to be held.</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63" w:name="page64"/>
    <w:bookmarkEnd w:id="6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no record date is fixed,</w:t>
      </w:r>
    </w:p>
    <w:p>
      <w:pPr>
        <w:spacing w:after="0" w:line="131"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determination of shareholders entitled to receive notice of or to vote at a meeting of shareholders shall be</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close of business on the last business day preceding the day on which the notice is sent; or</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notice is sent, the day on which the meeting is held; and</w:t>
      </w:r>
    </w:p>
    <w:p>
      <w:pPr>
        <w:spacing w:after="0" w:line="13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the determination of shareholders for any purpose other than to establish a shareholder’s right to receive notice of a meeting or to vote shall be at the close of business on the day on which the directors pass the resolution relating to that purpose.</w:t>
      </w:r>
    </w:p>
    <w:p>
      <w:pPr>
        <w:spacing w:after="0" w:line="162" w:lineRule="exact"/>
        <w:rPr>
          <w:sz w:val="20"/>
          <w:szCs w:val="20"/>
          <w:color w:val="auto"/>
        </w:rPr>
      </w:pPr>
    </w:p>
    <w:p>
      <w:pPr>
        <w:ind w:left="4" w:right="20" w:hanging="4"/>
        <w:spacing w:after="0" w:line="266" w:lineRule="auto"/>
        <w:tabs>
          <w:tab w:leader="none" w:pos="2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Chairman of the Meeting</w:t>
      </w:r>
      <w:r>
        <w:rPr>
          <w:rFonts w:ascii="Times New Roman" w:cs="Times New Roman" w:eastAsia="Times New Roman" w:hAnsi="Times New Roman"/>
          <w:sz w:val="18"/>
          <w:szCs w:val="18"/>
          <w:color w:val="auto"/>
        </w:rPr>
        <w:t>. In the absence of the Chairman of the Board (if any), the President (if any) and any Vice-President (who is a director), the shareholders present and entitled to vote shall elect a director of the Corporation as chairman of the meeting and if no director is present or if all the directors present decline to take the chair then the shareholders present shall elect one of their number to be chairman.</w:t>
      </w:r>
    </w:p>
    <w:p>
      <w:pPr>
        <w:spacing w:after="0" w:line="175" w:lineRule="exact"/>
        <w:rPr>
          <w:rFonts w:ascii="Times New Roman" w:cs="Times New Roman" w:eastAsia="Times New Roman" w:hAnsi="Times New Roman"/>
          <w:sz w:val="18"/>
          <w:szCs w:val="18"/>
          <w:color w:val="auto"/>
        </w:rPr>
      </w:pPr>
    </w:p>
    <w:p>
      <w:pPr>
        <w:ind w:left="4" w:hanging="4"/>
        <w:spacing w:after="0" w:line="254" w:lineRule="auto"/>
        <w:tabs>
          <w:tab w:leader="none" w:pos="2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Votes</w:t>
      </w:r>
      <w:r>
        <w:rPr>
          <w:rFonts w:ascii="Times New Roman" w:cs="Times New Roman" w:eastAsia="Times New Roman" w:hAnsi="Times New Roman"/>
          <w:sz w:val="18"/>
          <w:szCs w:val="18"/>
          <w:color w:val="auto"/>
        </w:rPr>
        <w:t>. Votes at meetings of shareholders may be cast either personally or by proxy. Subject to the Act and Paragraph 53, every question submitted to any meeting of shareholders shall be decided on a show of hands, except when a ballot is required by the chairman of the meeting or is demanded by a shareholder or proxyholder entitled to vote at the meeting or is otherwise required by the Act. A shareholder or proxyholder may demand a ballot either before or on the declaration of the result of any vote by show of hands. At every meeting at which shareholders are entitled to vote, each shareholder present in person and every proxyholder shall have one vote on a show of hands. Upon any ballot on which shareholders are entitled to vote, each shareholder present in person or by proxy shall (subject to the provisions, if any, of the articles) have one vote for every share registered in the name of such shareholder. In the case of an equality of votes the chairman of the meeting shall not, either on a show of hands or on a ballot, have a second or casting vote in addition to the vote or votes to which he or she may be entitled as a shareholder or proxyholder.</w:t>
      </w:r>
    </w:p>
    <w:p>
      <w:pPr>
        <w:spacing w:after="0" w:line="19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At any meeting, unless a ballot is demanded, an entry in the minutes for the applicable meeting, following a vote on the applicable resolution by a show of hands, that a resolution was carried or defeated is sufficient proof of the results of the vote, and no record need be kept of the number or proportion of votes for or against the resolution, although the chairman may direct that a record be kept of the number or proportion of votes for or against the resolution for any purpose the chairman of the meeting considers appropriate.</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If at any meeting a ballot is demanded on the election of a chairman or on the question of adjournment or termination, the ballot shall be taken forthwith without adjournment. If a ballot is demanded on any other question or as to the election of directors, the ballot shall be taken in such manner and either at once or later at the meeting or after adjournment as the chairman of the meeting directs. The result of a ballot shall be deemed to be the resolution of the meeting at which the ballot was demanded. A demand for a ballot may be withdrawn.</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70" w:right="499" w:bottom="1440" w:gutter="0" w:footer="0" w:header="0"/>
        </w:sectPr>
      </w:pPr>
    </w:p>
    <w:bookmarkStart w:id="64" w:name="page65"/>
    <w:bookmarkEnd w:id="64"/>
    <w:p>
      <w:pPr>
        <w:ind w:left="4" w:right="160" w:hanging="4"/>
        <w:spacing w:after="0" w:line="258" w:lineRule="auto"/>
        <w:tabs>
          <w:tab w:leader="none" w:pos="2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Electronic Voting</w:t>
      </w:r>
      <w:r>
        <w:rPr>
          <w:rFonts w:ascii="Times New Roman" w:cs="Times New Roman" w:eastAsia="Times New Roman" w:hAnsi="Times New Roman"/>
          <w:sz w:val="18"/>
          <w:szCs w:val="18"/>
          <w:color w:val="auto"/>
        </w:rPr>
        <w:t>. Any person participating in a meeting of shareholders by electronic means, telephone or other communication facilities under Paragraph 45 and entitled to vote at the meeting may vote, in accordance with the Act, by electronic means, telephone or other communication facility that the Corporation has made available for that purpose. Notwithstanding Paragraph 52, any vote referred to in Paragraph 52 may be held, in accordance with the Act, entirely by electronic means, telephone or other communication facility, if the Corporation makes available such a communication facility, in accordance with the Act.</w:t>
      </w:r>
    </w:p>
    <w:p>
      <w:pPr>
        <w:spacing w:after="0" w:line="183" w:lineRule="exact"/>
        <w:rPr>
          <w:rFonts w:ascii="Times New Roman" w:cs="Times New Roman" w:eastAsia="Times New Roman" w:hAnsi="Times New Roman"/>
          <w:sz w:val="18"/>
          <w:szCs w:val="18"/>
          <w:color w:val="auto"/>
        </w:rPr>
      </w:pPr>
    </w:p>
    <w:p>
      <w:pPr>
        <w:ind w:left="4" w:right="320" w:hanging="4"/>
        <w:spacing w:after="0" w:line="282" w:lineRule="auto"/>
        <w:tabs>
          <w:tab w:leader="none" w:pos="27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Vote</w:t>
      </w:r>
      <w:r>
        <w:rPr>
          <w:rFonts w:ascii="Times New Roman" w:cs="Times New Roman" w:eastAsia="Times New Roman" w:hAnsi="Times New Roman"/>
          <w:sz w:val="18"/>
          <w:szCs w:val="18"/>
          <w:color w:val="auto"/>
        </w:rPr>
        <w:t>. Subject to section 139 of the Act or unless the articles otherwise provide, each share of the Corporation entitles the holder of such share to one vote at a meeting of shareholders.</w:t>
      </w:r>
    </w:p>
    <w:p>
      <w:pPr>
        <w:spacing w:after="0" w:line="162"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Where a body corporate or a trust, association or other unincorporated organization is a shareholder of the Corporation, any individual authorized by a resolution of the directors of the body corporate or the directors, trustees or other governing body of the association, trust or unincorporated organization, to represent it at meetings of shareholders of the Corporation shall be recognized as the person entitled to vote at all such meetings of shareholders in respect of the shares held by such body corporate or by such trust, association or other unincorporated organization and the chairman of the meeting may establish or adopt rules or procedures in relation to the recognition of a person to so vote shares held by such body corporate or by such trust, association or other unincorporated organization.</w:t>
      </w:r>
    </w:p>
    <w:p>
      <w:pPr>
        <w:spacing w:after="0" w:line="187"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Where a person holds shares as a personal representative, such person or his or her proxy is the person entitled to vote at all meetings of shareholders in respect of the shares so held by him or her, and the chairman of the meeting may establish or adopt rules or procedures in relation to the recognition of such person to vote the shares in respect of which such person has been appointed as a personal representative.</w:t>
      </w:r>
    </w:p>
    <w:p>
      <w:pPr>
        <w:spacing w:after="0" w:line="176"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Where a person mortgages, pledges or hypothecates his or her shares, such person or such person’s proxy is the person entitled to vote at all meetings of shareholders in respect of such shares so long as such person remains the registered owner of such shares unless, in the instrument creating the mortgage, pledge or hypothec, the person has expressly empowered the person holding the mortgage, pledge or hypothec to vote in respect of such shares, in which case, subject to the articles, such holder or such holder’s proxy is the person entitled to vote in respect of the shares and the chairman of the meeting may establish or adopt rules or procedures in relation to the recognition of the person holding the mortgage, pledge or hypothec as the person entitled to vote in respect of the applicable shares.</w:t>
      </w:r>
    </w:p>
    <w:p>
      <w:pPr>
        <w:spacing w:after="0" w:line="187"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Where two or more persons hold shares jointly, one of those holders present at a meeting of shareholders may in the absence of the others vote the shares, but if two or more of those persons who are present, in person or by proxy, vote, they shall vote as one on the shares jointly held by them and the chairman of the meeting may establish or adopt rules or procedures in that regard.</w:t>
      </w:r>
    </w:p>
    <w:p>
      <w:pPr>
        <w:spacing w:after="0" w:line="176" w:lineRule="exact"/>
        <w:rPr>
          <w:sz w:val="20"/>
          <w:szCs w:val="20"/>
          <w:color w:val="auto"/>
        </w:rPr>
      </w:pPr>
    </w:p>
    <w:p>
      <w:pPr>
        <w:jc w:val="both"/>
        <w:ind w:left="4" w:right="200" w:hanging="4"/>
        <w:spacing w:after="0" w:line="289" w:lineRule="auto"/>
        <w:tabs>
          <w:tab w:leader="none" w:pos="274"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Every shareholder, including a shareholder that is a body corporate or a trust, association or other unincorporated organization, entitled to vote at a meeting of shareholders may by means of a proxy appoint a proxyholder and one or more alternate proxyholders, who are not required to be shareholders, to attend and act at the meeting in the manner and to the extent authorized by the proxy and with the authority conferred by the proxy.</w:t>
      </w:r>
    </w:p>
    <w:p>
      <w:pPr>
        <w:spacing w:after="0" w:line="90"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84"/>
          </w:cols>
          <w:pgMar w:left="436" w:top="270" w:right="479" w:bottom="1440" w:gutter="0" w:footer="0" w:header="0"/>
        </w:sectPr>
      </w:pPr>
    </w:p>
    <w:bookmarkStart w:id="65" w:name="page66"/>
    <w:bookmarkEnd w:id="65"/>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instrument appointing a proxyholder shall be in written or printed form and shall be executed by the shareholder or by such shareholder’s attorney authorized in writing and is valid only at the meeting in respect of which it is given or any adjournment of that meeting.</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An instrument appointing a proxyholder may be in the following form or in any other form which complies with the requirements of the Act:</w:t>
      </w:r>
    </w:p>
    <w:p>
      <w:pPr>
        <w:spacing w:after="0" w:line="131"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The undersigned shareholder of ____________________ hereby appoints ________________________ of</w:t>
      </w:r>
    </w:p>
    <w:p>
      <w:pPr>
        <w:spacing w:after="0" w:line="27"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______________________, whom failing, _____________________ of _____________________ as the nominee of the</w:t>
      </w:r>
    </w:p>
    <w:p>
      <w:pPr>
        <w:spacing w:after="0" w:line="9" w:lineRule="exact"/>
        <w:rPr>
          <w:sz w:val="20"/>
          <w:szCs w:val="20"/>
          <w:color w:val="auto"/>
        </w:rPr>
      </w:pPr>
    </w:p>
    <w:p>
      <w:pPr>
        <w:jc w:val="both"/>
        <w:ind w:left="1104" w:right="940"/>
        <w:spacing w:after="0" w:line="277" w:lineRule="auto"/>
        <w:rPr>
          <w:sz w:val="20"/>
          <w:szCs w:val="20"/>
          <w:color w:val="auto"/>
        </w:rPr>
      </w:pPr>
      <w:r>
        <w:rPr>
          <w:rFonts w:ascii="Times New Roman" w:cs="Times New Roman" w:eastAsia="Times New Roman" w:hAnsi="Times New Roman"/>
          <w:sz w:val="17"/>
          <w:szCs w:val="17"/>
          <w:color w:val="auto"/>
        </w:rPr>
        <w:t>undersigned to attend and act for and on behalf of the undersigned at the meeting of the shareholders of the said Corporation to be held on the ___ day of _______, 20__ and at any adjournment thereof in the same manner, to the same extent and with the same power as if the undersigned were personally present at the said meeting or such adjournment thereof.</w:t>
      </w:r>
    </w:p>
    <w:p>
      <w:pPr>
        <w:spacing w:after="0" w:line="74" w:lineRule="exact"/>
        <w:rPr>
          <w:sz w:val="20"/>
          <w:szCs w:val="20"/>
          <w:color w:val="auto"/>
        </w:rPr>
      </w:pPr>
    </w:p>
    <w:p>
      <w:pPr>
        <w:ind w:left="1104"/>
        <w:spacing w:after="0"/>
        <w:rPr>
          <w:sz w:val="20"/>
          <w:szCs w:val="20"/>
          <w:color w:val="auto"/>
        </w:rPr>
      </w:pPr>
      <w:r>
        <w:rPr>
          <w:rFonts w:ascii="Times New Roman" w:cs="Times New Roman" w:eastAsia="Times New Roman" w:hAnsi="Times New Roman"/>
          <w:sz w:val="18"/>
          <w:szCs w:val="18"/>
          <w:color w:val="auto"/>
        </w:rPr>
        <w:t>Dated the ___ day of _________, 20__.</w:t>
      </w:r>
    </w:p>
    <w:p>
      <w:pPr>
        <w:spacing w:after="0" w:line="200" w:lineRule="exact"/>
        <w:rPr>
          <w:sz w:val="20"/>
          <w:szCs w:val="20"/>
          <w:color w:val="auto"/>
        </w:rPr>
      </w:pPr>
    </w:p>
    <w:p>
      <w:pPr>
        <w:spacing w:after="0" w:line="295" w:lineRule="exact"/>
        <w:rPr>
          <w:sz w:val="20"/>
          <w:szCs w:val="20"/>
          <w:color w:val="auto"/>
        </w:rPr>
      </w:pPr>
    </w:p>
    <w:p>
      <w:pPr>
        <w:ind w:left="7284"/>
        <w:spacing w:after="0"/>
        <w:rPr>
          <w:sz w:val="20"/>
          <w:szCs w:val="20"/>
          <w:color w:val="auto"/>
        </w:rPr>
      </w:pPr>
      <w:r>
        <w:rPr>
          <w:rFonts w:ascii="Times New Roman" w:cs="Times New Roman" w:eastAsia="Times New Roman" w:hAnsi="Times New Roman"/>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-127635</wp:posOffset>
            </wp:positionV>
            <wp:extent cx="18859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directors may specify in a notice calling a meeting of shareholders a time not exceeding 48 hours, excluding Saturdays, Sundays and holidays, preceding the meeting or an adjournment of the meeting before which time proxies to be used at the meeting must be deposited with the Corporation or its agent.</w:t>
      </w:r>
    </w:p>
    <w:p>
      <w:pPr>
        <w:spacing w:after="0" w:line="176"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chairman shall conduct the proceedings at the meeting and the chairman’s decision in any matter or thing, including, without limitation, any question regarding the validity or invalidity of any instruments of proxy and any question as to the admission or rejection of a vote, shall be conclusive and binding upon the shareholders.</w:t>
      </w:r>
    </w:p>
    <w:p>
      <w:pPr>
        <w:spacing w:after="0" w:line="176" w:lineRule="exact"/>
        <w:rPr>
          <w:sz w:val="20"/>
          <w:szCs w:val="20"/>
          <w:color w:val="auto"/>
        </w:rPr>
      </w:pPr>
    </w:p>
    <w:p>
      <w:pPr>
        <w:ind w:left="4" w:right="20" w:hanging="4"/>
        <w:spacing w:after="0" w:line="258" w:lineRule="auto"/>
        <w:tabs>
          <w:tab w:leader="none" w:pos="27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The chairman of the meeting may with the consent of the meeting adjourn any meeting of shareholders from time to time to a fixed time and place and if the meeting is adjourned by one or more adjournments for an aggregate of less than 30 days it is not necessary to give notice of the adjourned meeting other than by announcement at the time of an adjournment. If a meeting of shareholders is adjourned by one or more adjournments for an aggregate of 30 days or more, notice of the adjourned meeting shall be given as for an original meeting but, unless the meeting is adjourned by one or more adjournments for an aggregate of more than 90 days, subsection (1) of section 149 of the Act does not apply.</w:t>
      </w:r>
    </w:p>
    <w:p>
      <w:pPr>
        <w:spacing w:after="0" w:line="183"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Any adjourned meeting shall be duly constituted if held in accordance with the terms of the adjournment and a quorum is present thereat. The persons who formed a quorum at the original meeting are not required to form the quorum at the adjourned meeting. If there is no quorum present at the adjourned meeting, the original meeting shall be deemed to have terminated forthwith after its adjournment. Any business may be brought before or dealt with at the adjourned meeting that might have been brought before or dealt with at the original meeting in accordance with the notice calling the same.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66" w:name="page67"/>
    <w:bookmarkEnd w:id="66"/>
    <w:p>
      <w:pPr>
        <w:ind w:left="4" w:hanging="4"/>
        <w:spacing w:after="0" w:line="274" w:lineRule="auto"/>
        <w:tabs>
          <w:tab w:leader="none" w:pos="27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Quorum</w:t>
      </w:r>
      <w:r>
        <w:rPr>
          <w:rFonts w:ascii="Times New Roman" w:cs="Times New Roman" w:eastAsia="Times New Roman" w:hAnsi="Times New Roman"/>
          <w:sz w:val="17"/>
          <w:szCs w:val="17"/>
          <w:color w:val="auto"/>
        </w:rPr>
        <w:t>. Two persons present and each holding or representing by proxy at least one issued share of the Corporation shall be a quorum at any meeting of shareholders for the election of a chairman of the meeting and for the adjournment of the meeting to a fixed time and place but not for the transaction of any other business; for all other purposes two persons present and holding or representing by proxy at least five per cent of the shares entitled to vote at the meeting shall be a quorum. If a quorum is present at the opening of a meeting of shareholders, the shareholders present may proceed with the business of the meeting, notwithstanding that a quorum is not present throughout the meeting. If a quorum is not present at the opening of any meeting of shareholders, the shareholders present may adjourn the meeting to a fixed time and place but may not transact any other business.</w:t>
      </w:r>
    </w:p>
    <w:p>
      <w:pPr>
        <w:spacing w:after="0" w:line="173"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if the Corporation has only one shareholder, or one shareholder holding a majority of the shares entitled to vote at the meeting, that shareholder present in person or by proxy constitutes a meeting and a quorum for such meeting.</w:t>
      </w:r>
    </w:p>
    <w:p>
      <w:pPr>
        <w:spacing w:after="0" w:line="162" w:lineRule="exact"/>
        <w:rPr>
          <w:sz w:val="20"/>
          <w:szCs w:val="20"/>
          <w:color w:val="auto"/>
        </w:rPr>
      </w:pPr>
    </w:p>
    <w:p>
      <w:pPr>
        <w:ind w:left="4" w:right="360" w:hanging="4"/>
        <w:spacing w:after="0" w:line="261"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 Present</w:t>
      </w:r>
      <w:r>
        <w:rPr>
          <w:rFonts w:ascii="Times New Roman" w:cs="Times New Roman" w:eastAsia="Times New Roman" w:hAnsi="Times New Roman"/>
          <w:sz w:val="18"/>
          <w:szCs w:val="18"/>
          <w:color w:val="auto"/>
        </w:rPr>
        <w:t>. The only persons entitled to be present at a meeting of shareholders shall be those entitled to vote thereat, the directors and auditor of the Corporation and others who, although not entitled to vote, are entitled or required under any provision of the Act or the articles or by-laws to be present at the meeting. Any other person may be admitted only on the invitation of the chairman of the meeting or with the consent of the meeting.</w:t>
      </w:r>
    </w:p>
    <w:p>
      <w:pPr>
        <w:spacing w:after="0" w:line="179" w:lineRule="exact"/>
        <w:rPr>
          <w:rFonts w:ascii="Times New Roman" w:cs="Times New Roman" w:eastAsia="Times New Roman" w:hAnsi="Times New Roman"/>
          <w:sz w:val="18"/>
          <w:szCs w:val="18"/>
          <w:color w:val="auto"/>
        </w:rPr>
      </w:pPr>
    </w:p>
    <w:p>
      <w:pPr>
        <w:ind w:left="4" w:right="100" w:hanging="4"/>
        <w:spacing w:after="0" w:line="261"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in Lieu of Meeting</w:t>
      </w:r>
      <w:r>
        <w:rPr>
          <w:rFonts w:ascii="Times New Roman" w:cs="Times New Roman" w:eastAsia="Times New Roman" w:hAnsi="Times New Roman"/>
          <w:sz w:val="18"/>
          <w:szCs w:val="18"/>
          <w:color w:val="auto"/>
        </w:rPr>
        <w:t>. A resolution in writing signed by all the shareholders entitled to vote on that resolution is as valid as if it had been passed at a meeting of the shareholders. A resolution in writing dealing with all matters required by the Act or this by-law to be dealt with at a meeting of shareholders, and signed by all the shareholders entitled to vote at that meeting, satisfies all the requirements of the Act or this by-law relating to meetings of shareholders.</w:t>
      </w:r>
    </w:p>
    <w:p>
      <w:pPr>
        <w:spacing w:after="0" w:line="39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SHARES AND TRANSFERS</w:t>
      </w:r>
    </w:p>
    <w:p>
      <w:pPr>
        <w:spacing w:after="0" w:line="225" w:lineRule="exact"/>
        <w:rPr>
          <w:sz w:val="20"/>
          <w:szCs w:val="20"/>
          <w:color w:val="auto"/>
        </w:rPr>
      </w:pPr>
    </w:p>
    <w:p>
      <w:pPr>
        <w:ind w:left="4" w:right="80" w:hanging="4"/>
        <w:spacing w:after="0" w:line="261" w:lineRule="auto"/>
        <w:tabs>
          <w:tab w:leader="none" w:pos="27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Subject to the articles, any unanimous shareholder agreement and to section 30 of the Act, shares in the Corporation may be issued at the times and to the persons and for the consideration that the directors determine; provided that a share shall not be issued until the consideration for the share is fully paid in money or in property or past service that is not less in value than the fair equivalent of the money that the Corporation would have received if the share had been issued for money.</w:t>
      </w:r>
    </w:p>
    <w:p>
      <w:pPr>
        <w:spacing w:after="0" w:line="179" w:lineRule="exact"/>
        <w:rPr>
          <w:rFonts w:ascii="Times New Roman" w:cs="Times New Roman" w:eastAsia="Times New Roman" w:hAnsi="Times New Roman"/>
          <w:sz w:val="18"/>
          <w:szCs w:val="18"/>
          <w:color w:val="auto"/>
        </w:rPr>
      </w:pPr>
    </w:p>
    <w:p>
      <w:pPr>
        <w:ind w:left="4" w:right="40" w:hanging="4"/>
        <w:spacing w:after="0" w:line="256" w:lineRule="auto"/>
        <w:tabs>
          <w:tab w:leader="none" w:pos="27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Certificates</w:t>
      </w:r>
      <w:r>
        <w:rPr>
          <w:rFonts w:ascii="Times New Roman" w:cs="Times New Roman" w:eastAsia="Times New Roman" w:hAnsi="Times New Roman"/>
          <w:sz w:val="18"/>
          <w:szCs w:val="18"/>
          <w:color w:val="auto"/>
        </w:rPr>
        <w:t>. Security certificates (if any) shall (subject to compliance with section 48 of the Act) be in such form as the directors may from time to time by resolution approve and such certificates shall be signed by at least one director or officer of the Corporation or by or on behalf of a registrar, transfer agent or branch transfer agent of the Corporation, or by a trustee who certifies it in accordance with a trust indenture. Any signatures required on a security certificate may be printed or otherwise mechanically reproduced on it. If a security certificate contains a printed or mechanically reproduced signature of a person, the Corporation may issue the security certificate, notwithstanding that the person has ceased to be a director or an officer of the Corporation, and the security certificate is as valid as if he or she were a director or an officer at the date of its issue.</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964"/>
          </w:cols>
          <w:pgMar w:left="436" w:top="270" w:right="499" w:bottom="1440" w:gutter="0" w:footer="0" w:header="0"/>
        </w:sectPr>
      </w:pPr>
    </w:p>
    <w:bookmarkStart w:id="67" w:name="page68"/>
    <w:bookmarkEnd w:id="67"/>
    <w:p>
      <w:pPr>
        <w:ind w:left="4" w:right="180" w:hanging="4"/>
        <w:spacing w:after="0" w:line="267" w:lineRule="auto"/>
        <w:tabs>
          <w:tab w:leader="none" w:pos="2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Agent</w:t>
      </w:r>
      <w:r>
        <w:rPr>
          <w:rFonts w:ascii="Times New Roman" w:cs="Times New Roman" w:eastAsia="Times New Roman" w:hAnsi="Times New Roman"/>
          <w:sz w:val="18"/>
          <w:szCs w:val="18"/>
          <w:color w:val="auto"/>
        </w:rPr>
        <w:t xml:space="preserve">. The directors may from time to time by resolution appoint or remove (i) one or more trust corporations registered under the </w:t>
      </w:r>
      <w:r>
        <w:rPr>
          <w:rFonts w:ascii="Times New Roman" w:cs="Times New Roman" w:eastAsia="Times New Roman" w:hAnsi="Times New Roman"/>
          <w:sz w:val="18"/>
          <w:szCs w:val="18"/>
          <w:i w:val="1"/>
          <w:iCs w:val="1"/>
          <w:color w:val="auto"/>
        </w:rPr>
        <w:t>Loan and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Corporations Act </w:t>
      </w:r>
      <w:r>
        <w:rPr>
          <w:rFonts w:ascii="Times New Roman" w:cs="Times New Roman" w:eastAsia="Times New Roman" w:hAnsi="Times New Roman"/>
          <w:sz w:val="18"/>
          <w:szCs w:val="18"/>
          <w:color w:val="auto"/>
        </w:rPr>
        <w:t>(Alberta) as its agent or agents to maintain a central securities register or registers or (ii) an agent or agents to maintain a branch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register or registers for the Corporation.</w:t>
      </w:r>
    </w:p>
    <w:p>
      <w:pPr>
        <w:spacing w:after="0" w:line="173" w:lineRule="exact"/>
        <w:rPr>
          <w:rFonts w:ascii="Times New Roman" w:cs="Times New Roman" w:eastAsia="Times New Roman" w:hAnsi="Times New Roman"/>
          <w:sz w:val="18"/>
          <w:szCs w:val="18"/>
          <w:color w:val="auto"/>
        </w:rPr>
      </w:pPr>
    </w:p>
    <w:p>
      <w:pPr>
        <w:ind w:left="4" w:right="60" w:hanging="4"/>
        <w:spacing w:after="0" w:line="267" w:lineRule="auto"/>
        <w:tabs>
          <w:tab w:leader="none" w:pos="2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Dealings with Registered Holder</w:t>
      </w:r>
      <w:r>
        <w:rPr>
          <w:rFonts w:ascii="Times New Roman" w:cs="Times New Roman" w:eastAsia="Times New Roman" w:hAnsi="Times New Roman"/>
          <w:sz w:val="18"/>
          <w:szCs w:val="18"/>
          <w:color w:val="auto"/>
        </w:rPr>
        <w:t xml:space="preserve">. Subject to the Act, the STA, the </w:t>
      </w:r>
      <w:r>
        <w:rPr>
          <w:rFonts w:ascii="Times New Roman" w:cs="Times New Roman" w:eastAsia="Times New Roman" w:hAnsi="Times New Roman"/>
          <w:sz w:val="18"/>
          <w:szCs w:val="18"/>
          <w:i w:val="1"/>
          <w:iCs w:val="1"/>
          <w:color w:val="auto"/>
        </w:rPr>
        <w:t>Civil Enforcement Act</w:t>
      </w:r>
      <w:r>
        <w:rPr>
          <w:rFonts w:ascii="Times New Roman" w:cs="Times New Roman" w:eastAsia="Times New Roman" w:hAnsi="Times New Roman"/>
          <w:sz w:val="18"/>
          <w:szCs w:val="18"/>
          <w:color w:val="auto"/>
        </w:rPr>
        <w:t xml:space="preserve"> (Alberta) and this by-law, the Corporation may treat the registered owner of a security as the person exclusively entitled to vote, to receive notices, to receive any interest, dividend or other payments in respect of the security, and otherwise to exercise all the rights and powers of an owner of the security.</w:t>
      </w:r>
    </w:p>
    <w:p>
      <w:pPr>
        <w:spacing w:after="0" w:line="175" w:lineRule="exact"/>
        <w:rPr>
          <w:rFonts w:ascii="Times New Roman" w:cs="Times New Roman" w:eastAsia="Times New Roman" w:hAnsi="Times New Roman"/>
          <w:sz w:val="18"/>
          <w:szCs w:val="18"/>
          <w:color w:val="auto"/>
        </w:rPr>
      </w:pPr>
    </w:p>
    <w:p>
      <w:pPr>
        <w:ind w:left="4" w:hanging="4"/>
        <w:spacing w:after="0" w:line="254" w:lineRule="auto"/>
        <w:tabs>
          <w:tab w:leader="none" w:pos="2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the Act and the STA, no transfer of a security shall be registered in a securities register except (i) upon presentation of the certificate (or, where applicable, other evidence of electronic, book-based, direct registration service or other non-certificated entry or position on the register of securityholders) representing such security with an endorsement or completed stock power of attorney which complies with the STA made thereon or delivered therewith duly executed by an appropriate person as provided by the STA, together with such reasonable assurance that the endorsement is genuine and authorized as the board or the Corporation’s transfer agent may from time to time prescribe, (ii) upon payment of all applicable taxes and any reasonable fees prescribed by the board, (iii) upon compliance with such restrictions on transfer as are imposed by statute or the articles of the Corporation, (iv) upon satisfaction of any lien referred to in Paragraph 66, and (v) upon compliance with and satisfaction of such other requirements as the Corporation or its transfer agent may reasonably impose.</w:t>
      </w:r>
    </w:p>
    <w:p>
      <w:pPr>
        <w:spacing w:after="0" w:line="191" w:lineRule="exact"/>
        <w:rPr>
          <w:rFonts w:ascii="Times New Roman" w:cs="Times New Roman" w:eastAsia="Times New Roman" w:hAnsi="Times New Roman"/>
          <w:sz w:val="18"/>
          <w:szCs w:val="18"/>
          <w:color w:val="auto"/>
        </w:rPr>
      </w:pPr>
    </w:p>
    <w:p>
      <w:pPr>
        <w:ind w:left="4" w:hanging="4"/>
        <w:spacing w:after="0" w:line="253" w:lineRule="auto"/>
        <w:tabs>
          <w:tab w:leader="none" w:pos="27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Defaced, Destroyed, Stolen or Lost Security Certificates</w:t>
      </w:r>
      <w:r>
        <w:rPr>
          <w:rFonts w:ascii="Times New Roman" w:cs="Times New Roman" w:eastAsia="Times New Roman" w:hAnsi="Times New Roman"/>
          <w:sz w:val="18"/>
          <w:szCs w:val="18"/>
          <w:color w:val="auto"/>
        </w:rPr>
        <w:t>. In case of the defacement, destruction, theft or loss of a security certificate, the fact of such defacement, destruction, theft or loss shall be reported by the owner to the Corporation or to an agent of the Corporation (if any), on behalf of the Corporation, with a statement verified by oath or statutory declaration as to the defacement, destruction, theft or loss and the circumstances concerning the same and with a request for the issuance of a new security certificate to replace the one so defaced (together with the surrender of the defaced security certificate), destroyed, stolen or lost. Upon the giving to the Corporation (or if there be an agent, hereinafter in this paragraph referred to as the “Corporation’s agent”, then to the Corporation and the Corporation’s agent) of a bond of a surety company (or other security approved by the directors) in such form as is approved by the directors or by any officer of the Corporation, indemnifying the Corporation (and the Corporation’s agent if any) against all loss, damage or expense, which the Corporation and/or the Corporation’s agent may suffer or be liable for by reason of the issuance of a new security certificate to such owner, and subject to compliance by such owner and the Corporation with sections 92 and 93 of the STA, a new security certificate shall be issued in replacement of the one defaced, destroyed, stolen or lost, and such issuance may be ordered and authorized by any officer or by the directors.</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1004"/>
          </w:cols>
          <w:pgMar w:left="436" w:top="268" w:right="459" w:bottom="1440" w:gutter="0" w:footer="0" w:header="0"/>
        </w:sectPr>
      </w:pPr>
    </w:p>
    <w:bookmarkStart w:id="68" w:name="page69"/>
    <w:bookmarkEnd w:id="68"/>
    <w:p>
      <w:pPr>
        <w:ind w:left="4" w:hanging="4"/>
        <w:spacing w:after="0" w:line="253" w:lineRule="auto"/>
        <w:tabs>
          <w:tab w:leader="none" w:pos="2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Enforcement of Lien for Indebtedness</w:t>
      </w:r>
      <w:r>
        <w:rPr>
          <w:rFonts w:ascii="Times New Roman" w:cs="Times New Roman" w:eastAsia="Times New Roman" w:hAnsi="Times New Roman"/>
          <w:sz w:val="18"/>
          <w:szCs w:val="18"/>
          <w:color w:val="auto"/>
        </w:rPr>
        <w:t>. Subject to section 66 of the STA, if the articles of the Corporation provide that the Corporation has a lien on the shares registered in the name of a shareholder or such shareholder’s legal representative for a debt of that shareholder to the Corporation, such lien may be enforced by the sale of the shares thereby affected or by any other action, suit, remedy or proceeding authorized or permitted by law or by equity and, pending such enforcement, the Corporation may refuse to register a transfer of the whole or any part of such shares. No such sale shall be made until such time as the debt ought to be paid and until a demand and notice in writing stating the amount due and demanding payment and giving notice of intention to sell on default shall have been served on the holder or such shareholder’s legal representative of the shares subject to the lien and default shall have been made in payment of such debt for seven days after service of such notice. Upon any such sale, the proceeds shall be applied, firstly, in payment of all costs of such sale, and, secondly, in satisfaction of such debt and the residue (if any) shall be paid to such shareholder or such shareholder’s legal representative or as such shareholder shall direct. Upon any such sale, the directors may enter or cause to be entered the purchaser’s name in the securities register of the Corporation as holder of the shares, and the purchaser shall not be bound to see to the regularity or validity of, or be affected by, any irregularity or invalidity in the proceedings, or be bound to see to the application of the purchase money, and after the purchaser’s name or the name of the purchaser’s legal representative has been entered in the securities register, the regularity and validity of the sale shall not be impeached by any person.</w:t>
      </w:r>
    </w:p>
    <w:p>
      <w:pPr>
        <w:spacing w:after="0" w:line="187" w:lineRule="exact"/>
        <w:rPr>
          <w:rFonts w:ascii="Times New Roman" w:cs="Times New Roman" w:eastAsia="Times New Roman" w:hAnsi="Times New Roman"/>
          <w:sz w:val="18"/>
          <w:szCs w:val="18"/>
          <w:color w:val="auto"/>
        </w:rPr>
      </w:pPr>
    </w:p>
    <w:p>
      <w:pPr>
        <w:ind w:left="4" w:right="20" w:hanging="4"/>
        <w:spacing w:after="0" w:line="254" w:lineRule="auto"/>
        <w:tabs>
          <w:tab w:leader="none" w:pos="27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Book-Based or Other Non-Certificated Registered Positions</w:t>
      </w:r>
      <w:r>
        <w:rPr>
          <w:rFonts w:ascii="Times New Roman" w:cs="Times New Roman" w:eastAsia="Times New Roman" w:hAnsi="Times New Roman"/>
          <w:sz w:val="18"/>
          <w:szCs w:val="18"/>
          <w:color w:val="auto"/>
        </w:rPr>
        <w:t>. For greater certainty but subject to subsection (1) of section 48 of the Act, a registered securityholder may have his holdings of securities of the Corporation evidenced by an electronic, book-based, direct registration service or other non-certificated entry or position on the register of securityholders to be kept by the Corporation in place of a physical security certificate pursuant to a registration system that may be adopted by the Corporation, in conjunction with its transfer agent (if any). This by-law shall be read such that a registered holder of securities of the Corporation pursuant to any such electronic, book-based, direct registration service or other non-certificated entry or position shall be entitled to all of the same benefits, rights, entitlements and shall incur the same duties and obligations as a registered holder of securities evidenced by a physical security certificate. The Corporation and its transfer agent may adopt such policies and procedures and require such documents and evidence as they may determine necessary or desirable in order to facilitate the adoption and maintenance of a security registration system by electronic, book-based, direct registration system or other non-certificated means.</w:t>
      </w:r>
    </w:p>
    <w:p>
      <w:pPr>
        <w:spacing w:after="0" w:line="200" w:lineRule="exact"/>
        <w:rPr>
          <w:sz w:val="20"/>
          <w:szCs w:val="20"/>
          <w:color w:val="auto"/>
        </w:rPr>
      </w:pPr>
    </w:p>
    <w:p>
      <w:pPr>
        <w:spacing w:after="0" w:line="2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left="4" w:right="360" w:hanging="4"/>
        <w:spacing w:after="0" w:line="282" w:lineRule="auto"/>
        <w:tabs>
          <w:tab w:leader="none" w:pos="27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directors may from time to time by resolution declare and the Corporation may pay dividends on its issued shares, subject to the provisions (if any) of the Corporation’s articles.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directors shall not declare and the Corporation shall not pay a dividend if there are reasonable grounds for believing that:</w:t>
      </w:r>
    </w:p>
    <w:p>
      <w:pPr>
        <w:spacing w:after="0" w:line="131" w:lineRule="exact"/>
        <w:rPr>
          <w:sz w:val="20"/>
          <w:szCs w:val="20"/>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or would after the payment be, unable to pay its liabilities as they become due; or</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realizable value of the Corporation’s assets would thereby be less than the aggregate of its liabilities and stated capital of all classes.</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Corporation may pay a dividend by issuing fully paid shares of the Corporation and, subject to section 43 of the Act, the Corporation may pay a dividend in money or property.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69" w:name="page70"/>
    <w:bookmarkEnd w:id="69"/>
    <w:p>
      <w:pPr>
        <w:ind w:left="4" w:right="80" w:hanging="4"/>
        <w:spacing w:after="0" w:line="312" w:lineRule="auto"/>
        <w:tabs>
          <w:tab w:leader="none" w:pos="27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Joint Shareholders</w:t>
      </w:r>
      <w:r>
        <w:rPr>
          <w:rFonts w:ascii="Times New Roman" w:cs="Times New Roman" w:eastAsia="Times New Roman" w:hAnsi="Times New Roman"/>
          <w:sz w:val="17"/>
          <w:szCs w:val="17"/>
          <w:color w:val="auto"/>
        </w:rPr>
        <w:t>. In case several persons are registered as the joint holders of any securities of the Corporation, any one of such persons may give effectual receipts for all dividends and payments on account of dividends, principal, interest and/or redemption payments in respect of such securities.</w:t>
      </w:r>
    </w:p>
    <w:p>
      <w:pPr>
        <w:spacing w:after="0" w:line="139" w:lineRule="exact"/>
        <w:rPr>
          <w:rFonts w:ascii="Times New Roman" w:cs="Times New Roman" w:eastAsia="Times New Roman" w:hAnsi="Times New Roman"/>
          <w:sz w:val="17"/>
          <w:szCs w:val="17"/>
          <w:color w:val="auto"/>
        </w:rPr>
      </w:pPr>
    </w:p>
    <w:p>
      <w:pPr>
        <w:ind w:left="4" w:right="40" w:hanging="4"/>
        <w:spacing w:after="0" w:line="253" w:lineRule="auto"/>
        <w:tabs>
          <w:tab w:leader="none" w:pos="2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Payments</w:t>
      </w:r>
      <w:r>
        <w:rPr>
          <w:rFonts w:ascii="Times New Roman" w:cs="Times New Roman" w:eastAsia="Times New Roman" w:hAnsi="Times New Roman"/>
          <w:sz w:val="18"/>
          <w:szCs w:val="18"/>
          <w:color w:val="auto"/>
        </w:rPr>
        <w:t>. A dividend payable in money shall be paid by cheque to the order of each registered holder of shares of the class or series in respect of which it has been declared and mailed by prepaid ordinary mail to such registered holder at the recorded address of such registered holder, or, paid by electronic funds transfer to the bank account designated by the registered holder, unless such holder otherwise directs. In the case of joint holders, the cheque or payment shall, unless such joint holders otherwise direct, be made payable to the order of all of such joint holders and, if more than one address is recorded in the Corporation’s security register in respect of such joint holding, the cheque shall be mailed to the first address so appearing. The mailing of such cheque as aforesaid, unless the same is not paid on due presentation, or the electronic funds transfer as aforesaid, shall satisfy and discharge the liability for the dividend to the extent of the sum represented thereby plus the amount of any tax which the Corporation is required to and does withhold. In the event of non-receipt of any dividend cheque or payment by the person to whom it is sent as aforesaid, the Corporation shall issue to such person a replacement cheque or payment for a like amount on such terms as to indemnity, reimbursement of expenses and evidence of non-receipt and of title as any officer or the directors may from time to time prescribe, whether generally or in any particular case.</w:t>
      </w:r>
    </w:p>
    <w:p>
      <w:pPr>
        <w:spacing w:after="0" w:line="200" w:lineRule="exact"/>
        <w:rPr>
          <w:sz w:val="20"/>
          <w:szCs w:val="20"/>
          <w:color w:val="auto"/>
        </w:rPr>
      </w:pPr>
    </w:p>
    <w:p>
      <w:pPr>
        <w:spacing w:after="0" w:line="21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VOTING SECURITIES IN OTHER BODIES CORPORATE</w:t>
      </w:r>
    </w:p>
    <w:p>
      <w:pPr>
        <w:spacing w:after="0" w:line="225" w:lineRule="exact"/>
        <w:rPr>
          <w:sz w:val="20"/>
          <w:szCs w:val="20"/>
          <w:color w:val="auto"/>
        </w:rPr>
      </w:pPr>
    </w:p>
    <w:p>
      <w:pPr>
        <w:ind w:left="4" w:right="160" w:hanging="4"/>
        <w:spacing w:after="0" w:line="255" w:lineRule="auto"/>
        <w:tabs>
          <w:tab w:leader="none" w:pos="27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of or other interests in (i) any other body corporate or (ii) any trust, association or other unincorporated organization carrying voting rights and held from time to time by the Corporation may be voted at all meetings of shareholders, unitholders, bondholders, debenture holders or holders of such securities or other interests, as the case may be, of such other (i) body corporate or (ii) trust, association or other unincorporated organization, and in such manner and by such person or persons as the directors of the Corporation shall from time to time determine and authorize by resolution. Any officer of the Corporation may also from time to time execute and deliver for and on behalf of the Corporation proxies and arrange for the issuance of voting certificates or other evidence of the right to vote in such names as such officer may determine, without the necessity of a resolution or other action by the directors.</w:t>
      </w:r>
    </w:p>
    <w:p>
      <w:pPr>
        <w:spacing w:after="0" w:line="200" w:lineRule="exact"/>
        <w:rPr>
          <w:sz w:val="20"/>
          <w:szCs w:val="20"/>
          <w:color w:val="auto"/>
        </w:rPr>
      </w:pPr>
    </w:p>
    <w:p>
      <w:pPr>
        <w:spacing w:after="0" w:line="20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NOTICES, ETC.</w:t>
      </w:r>
    </w:p>
    <w:p>
      <w:pPr>
        <w:spacing w:after="0" w:line="225" w:lineRule="exact"/>
        <w:rPr>
          <w:sz w:val="20"/>
          <w:szCs w:val="20"/>
          <w:color w:val="auto"/>
        </w:rPr>
      </w:pPr>
    </w:p>
    <w:p>
      <w:pPr>
        <w:ind w:left="4" w:right="100" w:hanging="4"/>
        <w:spacing w:after="0" w:line="282" w:lineRule="auto"/>
        <w:tabs>
          <w:tab w:leader="none" w:pos="2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Any notice or document required by the Act, the articles or the by-laws to be sent to any shareholder or director of the Corporation may be delivered personally to or sent by mail addressed to:</w:t>
      </w:r>
    </w:p>
    <w:p>
      <w:pPr>
        <w:spacing w:after="0" w:line="67" w:lineRule="exact"/>
        <w:rPr>
          <w:sz w:val="20"/>
          <w:szCs w:val="20"/>
          <w:color w:val="auto"/>
        </w:rPr>
      </w:pPr>
    </w:p>
    <w:p>
      <w:pPr>
        <w:ind w:left="424" w:hanging="424"/>
        <w:spacing w:after="0"/>
        <w:tabs>
          <w:tab w:leader="none" w:pos="4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 at the shareholder’s latest address as shown in the records of the Corporation or its transfer agent;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at the director’s latest address as shown in the records of the Corporation or in the last notice filed under section 106 or 113 of the Act.</w:t>
      </w:r>
    </w:p>
    <w:p>
      <w:pPr>
        <w:spacing w:after="0" w:line="169"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984"/>
          </w:cols>
          <w:pgMar w:left="436" w:top="270" w:right="479" w:bottom="1440" w:gutter="0" w:footer="0" w:header="0"/>
        </w:sectPr>
      </w:pPr>
    </w:p>
    <w:bookmarkStart w:id="70" w:name="page71"/>
    <w:bookmarkEnd w:id="70"/>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subsection (2) of section 134 of the Act, a notice or document sent by mail as contemplated by this Paragraph 72 to a shareholder or director of the Corporation shall be deemed to have been received by the shareholder or director (as the case may be) at the time it would be delivered in the ordinary course of mail, unless there are reasonable grounds for believing that the shareholder or director (as the case may be) did not receive the notice or document at that time or at all.</w:t>
      </w:r>
    </w:p>
    <w:p>
      <w:pPr>
        <w:spacing w:after="0" w:line="180"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notice or document required to be sent or delivered as noted above in this Paragraph 72 or pursuant to section 256 or section 257 of the Act may be sent by electronic means in accordance with the provisions of the </w:t>
      </w:r>
      <w:r>
        <w:rPr>
          <w:rFonts w:ascii="Times New Roman" w:cs="Times New Roman" w:eastAsia="Times New Roman" w:hAnsi="Times New Roman"/>
          <w:sz w:val="18"/>
          <w:szCs w:val="18"/>
          <w:i w:val="1"/>
          <w:iCs w:val="1"/>
          <w:color w:val="auto"/>
        </w:rPr>
        <w:t>Electronic Transactions Act</w:t>
      </w:r>
      <w:r>
        <w:rPr>
          <w:rFonts w:ascii="Times New Roman" w:cs="Times New Roman" w:eastAsia="Times New Roman" w:hAnsi="Times New Roman"/>
          <w:sz w:val="18"/>
          <w:szCs w:val="18"/>
          <w:color w:val="auto"/>
        </w:rPr>
        <w:t xml:space="preserve"> (Alberta).</w:t>
      </w:r>
    </w:p>
    <w:p>
      <w:pPr>
        <w:spacing w:after="0" w:line="162" w:lineRule="exact"/>
        <w:rPr>
          <w:sz w:val="20"/>
          <w:szCs w:val="20"/>
          <w:color w:val="auto"/>
        </w:rPr>
      </w:pPr>
    </w:p>
    <w:p>
      <w:pPr>
        <w:jc w:val="both"/>
        <w:ind w:left="4" w:right="660" w:hanging="4"/>
        <w:spacing w:after="0" w:line="266" w:lineRule="auto"/>
        <w:tabs>
          <w:tab w:leader="none" w:pos="2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Locate Shareholder</w:t>
      </w:r>
      <w:r>
        <w:rPr>
          <w:rFonts w:ascii="Times New Roman" w:cs="Times New Roman" w:eastAsia="Times New Roman" w:hAnsi="Times New Roman"/>
          <w:sz w:val="18"/>
          <w:szCs w:val="18"/>
          <w:color w:val="auto"/>
        </w:rPr>
        <w:t>. If the Corporation sends a notice or document to a shareholder and the notice or document is returned on two consecutive occasions because the shareholder cannot be found, the Corporation is not required to send any further notices or documents to the shareholder until such shareholder informs the Corporation in writing of the shareholder’s address.</w:t>
      </w:r>
    </w:p>
    <w:p>
      <w:pPr>
        <w:spacing w:after="0" w:line="175" w:lineRule="exact"/>
        <w:rPr>
          <w:rFonts w:ascii="Times New Roman" w:cs="Times New Roman" w:eastAsia="Times New Roman" w:hAnsi="Times New Roman"/>
          <w:sz w:val="18"/>
          <w:szCs w:val="18"/>
          <w:color w:val="auto"/>
        </w:rPr>
      </w:pPr>
    </w:p>
    <w:p>
      <w:pPr>
        <w:jc w:val="both"/>
        <w:ind w:left="4" w:right="180" w:hanging="4"/>
        <w:spacing w:after="0" w:line="266" w:lineRule="auto"/>
        <w:tabs>
          <w:tab w:leader="none" w:pos="2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Registered in More than one Name</w:t>
      </w:r>
      <w:r>
        <w:rPr>
          <w:rFonts w:ascii="Times New Roman" w:cs="Times New Roman" w:eastAsia="Times New Roman" w:hAnsi="Times New Roman"/>
          <w:sz w:val="18"/>
          <w:szCs w:val="18"/>
          <w:color w:val="auto"/>
        </w:rPr>
        <w:t>. All notices or documents shall, with respect to any shares in the capital of the Corporation registered in more than one name, be sent to whichever of such persons is named first in the records of the Corporation and any notice or document so sent shall be deemed to have been duly sent to all the holders of such shares.</w:t>
      </w:r>
    </w:p>
    <w:p>
      <w:pPr>
        <w:spacing w:after="0" w:line="175" w:lineRule="exact"/>
        <w:rPr>
          <w:rFonts w:ascii="Times New Roman" w:cs="Times New Roman" w:eastAsia="Times New Roman" w:hAnsi="Times New Roman"/>
          <w:sz w:val="18"/>
          <w:szCs w:val="18"/>
          <w:color w:val="auto"/>
        </w:rPr>
      </w:pPr>
    </w:p>
    <w:p>
      <w:pPr>
        <w:ind w:left="4" w:right="260" w:hanging="4"/>
        <w:spacing w:after="0" w:line="261" w:lineRule="auto"/>
        <w:tabs>
          <w:tab w:leader="none" w:pos="2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Becoming Entitled by Operation of Law</w:t>
      </w:r>
      <w:r>
        <w:rPr>
          <w:rFonts w:ascii="Times New Roman" w:cs="Times New Roman" w:eastAsia="Times New Roman" w:hAnsi="Times New Roman"/>
          <w:sz w:val="18"/>
          <w:szCs w:val="18"/>
          <w:color w:val="auto"/>
        </w:rPr>
        <w:t>. Every person who by operation of law, transfer or by any other means whatsoever shall become entitled to any shares in the capital of the Corporation shall be bound by every notice or document in respect of such shares which prior to his or her name and address being entered on the records of the Corporation in respect of such shares shall have been duly sent to the person or persons from whom such person derives his or her title to such shares.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Signatures upon Notices</w:t>
      </w:r>
      <w:r>
        <w:rPr>
          <w:rFonts w:ascii="Times New Roman" w:cs="Times New Roman" w:eastAsia="Times New Roman" w:hAnsi="Times New Roman"/>
          <w:sz w:val="18"/>
          <w:szCs w:val="18"/>
          <w:color w:val="auto"/>
        </w:rPr>
        <w:t>. The signature of any director or officer of the Corporation upon any notice need not be a manual signature.</w:t>
      </w:r>
    </w:p>
    <w:p>
      <w:pPr>
        <w:spacing w:after="0" w:line="225" w:lineRule="exact"/>
        <w:rPr>
          <w:rFonts w:ascii="Times New Roman" w:cs="Times New Roman" w:eastAsia="Times New Roman" w:hAnsi="Times New Roman"/>
          <w:sz w:val="18"/>
          <w:szCs w:val="18"/>
          <w:color w:val="auto"/>
        </w:rPr>
      </w:pPr>
    </w:p>
    <w:p>
      <w:pPr>
        <w:ind w:left="4" w:right="280" w:hanging="4"/>
        <w:spacing w:after="0" w:line="282" w:lineRule="auto"/>
        <w:tabs>
          <w:tab w:leader="none" w:pos="2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Computation of Time</w:t>
      </w:r>
      <w:r>
        <w:rPr>
          <w:rFonts w:ascii="Times New Roman" w:cs="Times New Roman" w:eastAsia="Times New Roman" w:hAnsi="Times New Roman"/>
          <w:sz w:val="18"/>
          <w:szCs w:val="18"/>
          <w:color w:val="auto"/>
        </w:rPr>
        <w:t xml:space="preserve">. All computations of time required to be made pursuant to the articles or by-laws of the Corporation shall, unless otherwise provided for thereunder or herein, be made in a manner consistent with the provisions of the </w:t>
      </w:r>
      <w:r>
        <w:rPr>
          <w:rFonts w:ascii="Times New Roman" w:cs="Times New Roman" w:eastAsia="Times New Roman" w:hAnsi="Times New Roman"/>
          <w:sz w:val="18"/>
          <w:szCs w:val="18"/>
          <w:i w:val="1"/>
          <w:iCs w:val="1"/>
          <w:color w:val="auto"/>
        </w:rPr>
        <w:t>Interpretation Act</w:t>
      </w:r>
      <w:r>
        <w:rPr>
          <w:rFonts w:ascii="Times New Roman" w:cs="Times New Roman" w:eastAsia="Times New Roman" w:hAnsi="Times New Roman"/>
          <w:sz w:val="18"/>
          <w:szCs w:val="18"/>
          <w:color w:val="auto"/>
        </w:rPr>
        <w:t xml:space="preserve"> (Alberta).</w:t>
      </w:r>
    </w:p>
    <w:p>
      <w:pPr>
        <w:spacing w:after="0" w:line="161"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7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Proof of Service</w:t>
      </w:r>
      <w:r>
        <w:rPr>
          <w:rFonts w:ascii="Times New Roman" w:cs="Times New Roman" w:eastAsia="Times New Roman" w:hAnsi="Times New Roman"/>
          <w:sz w:val="18"/>
          <w:szCs w:val="18"/>
          <w:color w:val="auto"/>
        </w:rPr>
        <w:t>. A certificate of any officer of the Corporation in office at the time of the making of the certificate or of an agent of the Corporation as to facts in relation to the mailing or delivery or sending of any notice or document to any shareholder, director, officer or auditor of the Corporation or any other person or publication of any notice or document shall be conclusive evidence thereof and shall be binding on every shareholder, director, officer or auditor of the Corporation or other person, as the case may be.</w:t>
      </w:r>
    </w:p>
    <w:p>
      <w:pPr>
        <w:spacing w:after="0" w:line="3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t>CUSTODY OF SECURITIES</w:t>
      </w:r>
    </w:p>
    <w:p>
      <w:pPr>
        <w:spacing w:after="0" w:line="225" w:lineRule="exact"/>
        <w:rPr>
          <w:sz w:val="20"/>
          <w:szCs w:val="20"/>
          <w:color w:val="auto"/>
        </w:rPr>
      </w:pPr>
    </w:p>
    <w:p>
      <w:pPr>
        <w:ind w:left="4" w:right="240" w:hanging="4"/>
        <w:spacing w:after="0" w:line="266" w:lineRule="auto"/>
        <w:tabs>
          <w:tab w:leader="none" w:pos="27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(including without limitation warrants) owned by the Corporation may be lodged (in the name of the Corporation) with a chartered bank or a trust company or in a safety deposit box or with such other depositaries or in such other manner as may be determined from time to time by any officer or the directors.</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04"/>
          </w:cols>
          <w:pgMar w:left="436" w:top="270" w:right="459" w:bottom="1440" w:gutter="0" w:footer="0" w:header="0"/>
        </w:sectPr>
      </w:pPr>
    </w:p>
    <w:bookmarkStart w:id="71" w:name="page72"/>
    <w:bookmarkEnd w:id="71"/>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securities (including without limitation warrants) belonging to the Corporation may be issued and held in the name of a nominee or nominees of the Corporation (and if issued or held in the names of more than one nominee shall be held in the names of the nominees jointly with right of survivorship) and shall be endorsed in blank with endorsement guaranteed in order to enable transfer thereof to be completed and registration thereof to be effected.</w:t>
      </w:r>
    </w:p>
    <w:p>
      <w:pPr>
        <w:spacing w:after="0" w:line="39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u w:val="single" w:color="auto"/>
          <w:color w:val="auto"/>
        </w:rPr>
        <w:t>EXECUTION OF CONTRACTS, ETC.</w:t>
      </w:r>
    </w:p>
    <w:p>
      <w:pPr>
        <w:spacing w:after="0" w:line="225" w:lineRule="exact"/>
        <w:rPr>
          <w:sz w:val="20"/>
          <w:szCs w:val="20"/>
          <w:color w:val="auto"/>
        </w:rPr>
      </w:pPr>
    </w:p>
    <w:p>
      <w:pPr>
        <w:ind w:left="4" w:right="160" w:hanging="4"/>
        <w:spacing w:after="0" w:line="281" w:lineRule="auto"/>
        <w:tabs>
          <w:tab w:leader="none" w:pos="274"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documents or instruments requiring the signature of the Corporation may be signed by any director or officer alone or any person or persons authorized by resolution of the directors and all contracts, documents or instruments so signed shall be binding upon the Corporation without any further authorization or formality. The directors are authorized from time to time by resolution to appoint any person or persons on behalf of the Corporation either to sign contracts, documents or instruments in writing generally or to sign specific contracts, documents or instruments.</w:t>
      </w:r>
    </w:p>
    <w:p>
      <w:pPr>
        <w:spacing w:after="0" w:line="164"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corporate seal (if any) of the Corporation may be affixed by any director or officer to contracts, documents or instruments signed by such director or officer as aforesaid or by the person or persons appointed as aforesaid by resolution of the directors.</w:t>
      </w:r>
    </w:p>
    <w:p>
      <w:pPr>
        <w:spacing w:after="0" w:line="162"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The term “contracts, documents or instruments” as used in this by-law shall include notices, deeds, mortgages, hypothecs, charges, cheques, drafts, orders for the payment of money, notes, acceptances, bills of exchange, conveyances, transfers and assignments of property, real or personal, immovable or movable, agreements, releases, receipts and discharges for the payment of money or other obligations, conveyances, transfers and assignments of securities and all paper writings.</w:t>
      </w:r>
    </w:p>
    <w:p>
      <w:pPr>
        <w:spacing w:after="0" w:line="180"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The signature or signatures of any director or officer or any other person or persons appointed as aforesaid by resolution of the directors may be printed, engraved, lithographed or otherwise mechanically reproduced upon all contracts, documents or instruments executed or issued by or on behalf of the Corporation and all contracts, documents or instruments on which the signature or signatures of any of the foregoing persons shall be so reproduced shall be as valid to all intents and purposes as if they had been signed manually and notwithstanding that the persons whose signature or signatures is or are so reproduced may have ceased to hold office at the date of the delivery or issue of such contracts, documents or instruments.</w:t>
      </w:r>
    </w:p>
    <w:p>
      <w:pPr>
        <w:spacing w:after="0" w:line="39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u w:val="single" w:color="auto"/>
          <w:color w:val="auto"/>
        </w:rPr>
        <w:t>FISCAL PERIOD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81. The fiscal period of the Corporation shall terminate on such day in each year as the board may from time to time by resolution determine.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MADE the 31st day of October, 2017.</w:t>
      </w:r>
    </w:p>
    <w:p>
      <w:pPr>
        <w:spacing w:after="0" w:line="15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04"/>
          </w:cols>
          <w:pgMar w:left="436" w:top="270" w:right="559" w:bottom="1440" w:gutter="0" w:footer="0" w:header="0"/>
        </w:sectPr>
      </w:pPr>
    </w:p>
    <w:bookmarkStart w:id="72" w:name="page73"/>
    <w:bookmarkEnd w:id="7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FINANCE CANADA LTD.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BY-LAW NO. 2</w:t>
      </w:r>
    </w:p>
    <w:p>
      <w:pPr>
        <w:spacing w:after="0" w:line="229"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A by-law respecting the borrowing of money, the giving of guarantees and the giving of security by SCHLUMBERGER FINANCE CANADA LTD. (hereinafter called the “Corporation”) is hereby made as follows: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directors of the Corporation may from time to time:</w:t>
      </w:r>
    </w:p>
    <w:p>
      <w:pPr>
        <w:spacing w:after="0" w:line="131" w:lineRule="exact"/>
        <w:rPr>
          <w:sz w:val="20"/>
          <w:szCs w:val="20"/>
          <w:color w:val="auto"/>
        </w:rPr>
      </w:pPr>
    </w:p>
    <w:p>
      <w:pPr>
        <w:ind w:left="424" w:hanging="424"/>
        <w:spacing w:after="0"/>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money on the credit of the Corporation;</w:t>
      </w:r>
    </w:p>
    <w:p>
      <w:pPr>
        <w:spacing w:after="0" w:line="130" w:lineRule="exact"/>
        <w:rPr>
          <w:rFonts w:ascii="Times New Roman" w:cs="Times New Roman" w:eastAsia="Times New Roman" w:hAnsi="Times New Roman"/>
          <w:sz w:val="18"/>
          <w:szCs w:val="18"/>
          <w:color w:val="auto"/>
        </w:rPr>
      </w:pPr>
    </w:p>
    <w:p>
      <w:pPr>
        <w:ind w:left="424" w:right="680" w:hanging="424"/>
        <w:spacing w:after="0" w:line="282"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reissue, sell or pledge debt obligations of the Corporation, including bonds, debentures, notes or other evidences of indebtedness or guarantees of the Corporation, whether secured or unsecured;</w:t>
      </w:r>
    </w:p>
    <w:p>
      <w:pPr>
        <w:spacing w:after="0" w:line="65" w:lineRule="exact"/>
        <w:rPr>
          <w:rFonts w:ascii="Times New Roman" w:cs="Times New Roman" w:eastAsia="Times New Roman" w:hAnsi="Times New Roman"/>
          <w:sz w:val="18"/>
          <w:szCs w:val="18"/>
          <w:color w:val="auto"/>
        </w:rPr>
      </w:pPr>
    </w:p>
    <w:p>
      <w:pPr>
        <w:ind w:left="424" w:hanging="424"/>
        <w:spacing w:after="0" w:line="315" w:lineRule="auto"/>
        <w:tabs>
          <w:tab w:leader="none" w:pos="42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45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(Alberta) , give a guarantee on behalf of the Corporation to secure performance of an obligation of any person, including any individual, partnership, association, body corporate, trustee, executor, administrator or legal representative;</w:t>
      </w:r>
    </w:p>
    <w:p>
      <w:pPr>
        <w:spacing w:after="0" w:line="42" w:lineRule="exact"/>
        <w:rPr>
          <w:rFonts w:ascii="Times New Roman" w:cs="Times New Roman" w:eastAsia="Times New Roman" w:hAnsi="Times New Roman"/>
          <w:sz w:val="17"/>
          <w:szCs w:val="17"/>
          <w:color w:val="auto"/>
        </w:rPr>
      </w:pPr>
    </w:p>
    <w:p>
      <w:pPr>
        <w:ind w:left="424" w:right="60" w:hanging="424"/>
        <w:spacing w:after="0" w:line="282"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hypothecate, pledge or otherwise create a security interest in all or any property of the Corporation, owned or subsequently acquired, to secure any obligation of the Corporation;</w:t>
      </w:r>
    </w:p>
    <w:p>
      <w:pPr>
        <w:spacing w:after="0" w:line="67" w:lineRule="exact"/>
        <w:rPr>
          <w:rFonts w:ascii="Times New Roman" w:cs="Times New Roman" w:eastAsia="Times New Roman" w:hAnsi="Times New Roman"/>
          <w:sz w:val="18"/>
          <w:szCs w:val="18"/>
          <w:color w:val="auto"/>
        </w:rPr>
      </w:pPr>
    </w:p>
    <w:p>
      <w:pPr>
        <w:jc w:val="both"/>
        <w:ind w:left="424" w:right="80" w:hanging="424"/>
        <w:spacing w:after="0" w:line="266" w:lineRule="auto"/>
        <w:tabs>
          <w:tab w:leader="none" w:pos="42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one or more directors, a committee of directors or one or more officers of the Corporation as may be designated by the directors, all or any of the powers conferred by the foregoing clauses of this by-law to such extent and in such manner as the directors shall determine at the time of each such delegation.</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In the event any provision of any other by-law of the Corporation now in force is inconsistent with or in conflict with any provision of this by-law, the provisions of this by-law shall prevail to the extent necessary to remove the inconsistency or conflict.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MADE the 31st day of October, 2017.</w:t>
      </w:r>
    </w:p>
    <w:p>
      <w:pPr>
        <w:sectPr>
          <w:pgSz w:w="11900" w:h="16838" w:orient="portrait"/>
          <w:cols w:equalWidth="0" w:num="1">
            <w:col w:w="11004"/>
          </w:cols>
          <w:pgMar w:left="436" w:top="266" w:right="4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Schlumberger Finance Canada Ltd.</w:t>
      </w:r>
    </w:p>
    <w:p>
      <w:pPr>
        <w:spacing w:after="0" w:line="2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9" w:lineRule="exact"/>
        <w:rPr>
          <w:sz w:val="20"/>
          <w:szCs w:val="20"/>
          <w:color w:val="auto"/>
        </w:rPr>
      </w:pPr>
    </w:p>
    <w:p>
      <w:pPr>
        <w:ind w:left="3840"/>
        <w:spacing w:after="0"/>
        <w:tabs>
          <w:tab w:leader="none" w:pos="5100" w:val="left"/>
        </w:tabs>
        <w:rPr>
          <w:sz w:val="20"/>
          <w:szCs w:val="20"/>
          <w:color w:val="auto"/>
        </w:rPr>
      </w:pPr>
      <w:r>
        <w:rPr>
          <w:rFonts w:ascii="Times New Roman" w:cs="Times New Roman" w:eastAsia="Times New Roman" w:hAnsi="Times New Roman"/>
          <w:sz w:val="18"/>
          <w:szCs w:val="18"/>
          <w:color w:val="auto"/>
        </w:rPr>
        <w:t>Dated as of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as Trustee, Registrar, Paying Agent</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SCHLUMBERGER FINANCE CANADA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and tie between Trust Indenture Act of 1939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ind w:left="4320"/>
              <w:spacing w:after="0"/>
              <w:rPr>
                <w:sz w:val="20"/>
                <w:szCs w:val="20"/>
                <w:color w:val="auto"/>
              </w:rPr>
            </w:pPr>
            <w:r>
              <w:rPr>
                <w:rFonts w:ascii="Times New Roman" w:cs="Times New Roman" w:eastAsia="Times New Roman" w:hAnsi="Times New Roman"/>
                <w:sz w:val="18"/>
                <w:szCs w:val="18"/>
                <w:b w:val="1"/>
                <w:bCs w:val="1"/>
                <w:color w:val="auto"/>
              </w:rPr>
              <w:t>and Indenture, dated as of [</w:t>
            </w:r>
          </w:p>
        </w:tc>
        <w:tc>
          <w:tcPr>
            <w:tcW w:w="250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6540" w:type="dxa"/>
            <w:vAlign w:val="bottom"/>
          </w:tcPr>
          <w:p>
            <w:pPr>
              <w:spacing w:after="0"/>
              <w:rPr>
                <w:sz w:val="20"/>
                <w:szCs w:val="20"/>
                <w:color w:val="auto"/>
              </w:rPr>
            </w:pPr>
            <w:r>
              <w:rPr>
                <w:rFonts w:ascii="Times New Roman" w:cs="Times New Roman" w:eastAsia="Times New Roman" w:hAnsi="Times New Roman"/>
                <w:sz w:val="14"/>
                <w:szCs w:val="14"/>
                <w:color w:val="auto"/>
              </w:rPr>
              <w:t>Section of</w:t>
            </w: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Section(s) of</w:t>
            </w:r>
          </w:p>
        </w:tc>
        <w:tc>
          <w:tcPr>
            <w:tcW w:w="0" w:type="dxa"/>
            <w:vAlign w:val="bottom"/>
          </w:tcPr>
          <w:p>
            <w:pPr>
              <w:spacing w:after="0"/>
              <w:rPr>
                <w:sz w:val="1"/>
                <w:szCs w:val="1"/>
                <w:color w:val="auto"/>
              </w:rPr>
            </w:pPr>
          </w:p>
        </w:tc>
      </w:tr>
      <w:tr>
        <w:trPr>
          <w:trHeight w:val="148"/>
        </w:trPr>
        <w:tc>
          <w:tcPr>
            <w:tcW w:w="65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Trust Indenture</w:t>
            </w: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Act of 1939</w:t>
            </w:r>
          </w:p>
        </w:tc>
        <w:tc>
          <w:tcPr>
            <w:tcW w:w="2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Indenture</w:t>
            </w:r>
          </w:p>
        </w:tc>
        <w:tc>
          <w:tcPr>
            <w:tcW w:w="0" w:type="dxa"/>
            <w:vAlign w:val="bottom"/>
          </w:tcPr>
          <w:p>
            <w:pPr>
              <w:spacing w:after="0"/>
              <w:rPr>
                <w:sz w:val="1"/>
                <w:szCs w:val="1"/>
                <w:color w:val="auto"/>
              </w:rPr>
            </w:pPr>
          </w:p>
        </w:tc>
      </w:tr>
      <w:tr>
        <w:trPr>
          <w:trHeight w:val="191"/>
        </w:trPr>
        <w:tc>
          <w:tcPr>
            <w:tcW w:w="6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§310 (a)(1)</w:t>
            </w: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(a)(3)</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(a)(4)</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(a)(5)</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7.8, 7.10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§311 (a)</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§312 (a)</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§313 (a)</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§314 (a)</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4.2, 4.7</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(c)(1)</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(c)(2)</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(c)(3)</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§315 (a)</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7.1(b)</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7.1(a)</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(d)(1)</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7.1(c)(1)</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(d)(2)</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7.1(c)(2)</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(d)(3)</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7.1(c)(3)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§316 (a)(1)(A)</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(a)(1)(B)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(a)(last sentence)</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§317 (a)(1)</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(a)(2)</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§318 (a)</w:t>
            </w:r>
          </w:p>
        </w:tc>
        <w:tc>
          <w:tcPr>
            <w:tcW w:w="4480" w:type="dxa"/>
            <w:vAlign w:val="bottom"/>
            <w:gridSpan w:val="3"/>
          </w:tcPr>
          <w:p>
            <w:pPr>
              <w:ind w:left="27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This reconciliation and tie shall not, for any purpose, be deemed to be a part of the Indenture.</w:t>
      </w:r>
    </w:p>
    <w:p>
      <w:pPr>
        <w:sectPr>
          <w:pgSz w:w="11900" w:h="16838" w:orient="portrait"/>
          <w:cols w:equalWidth="0" w:num="1">
            <w:col w:w="11020"/>
          </w:cols>
          <w:pgMar w:left="440" w:top="266" w:right="439" w:bottom="1440" w:gutter="0" w:footer="0" w:header="0"/>
        </w:sectPr>
      </w:pPr>
    </w:p>
    <w:bookmarkStart w:id="75" w:name="page76"/>
    <w:bookmarkEnd w:id="7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 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 THE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 Issuable in Series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 Establishment of Terms of Series of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 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 Paying Agent, Registrar and Transfer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 Paying Agent to Hold Money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 Securityholder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 Mutilated, Destroyed, Lost and Stolen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2.9. Outstanding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 Treasury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 Temporary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2.12. 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2.13. 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 Global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2.15. CUSIP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III.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 Notice to Trustee; No Liability for Calculations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 Selection of Securities to be Redeemed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 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 Deposit of Redemption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 Securities Redeemed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 Sinking Fund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 Satisfaction of Sinking Fund Payments with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 Redemption of Securities for Sinking Fund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 Redemption Upon Changes in Tax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 Payment of Principal, Premium and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 Compliance Certificate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 Stay, Extension and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 Corporate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4.5. Limitation on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4.6. Additional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4.7. Reports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680" w:type="dxa"/>
            <w:vAlign w:val="bottom"/>
          </w:tcPr>
          <w:p>
            <w:pPr>
              <w:spacing w:after="0"/>
              <w:rPr>
                <w:sz w:val="20"/>
                <w:szCs w:val="20"/>
                <w:color w:val="auto"/>
              </w:rPr>
            </w:pPr>
            <w:r>
              <w:rPr>
                <w:rFonts w:ascii="Times New Roman" w:cs="Times New Roman" w:eastAsia="Times New Roman" w:hAnsi="Times New Roman"/>
                <w:sz w:val="18"/>
                <w:szCs w:val="18"/>
                <w:color w:val="auto"/>
              </w:rPr>
              <w:t>ARTICLE V. SUCCESSORS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 Consolidation, Amalgamation, Merger and Sale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 Assumption by a Subsidiary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 Events of Default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 Acceleration of Maturity; Rescission and Annulment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 Collection of Indebtedness and Suits for Enforcement by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 Trustee May File Proofs of Claim</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 Trustee May Enforce Claims Without Possession of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 Application of Money Collected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 Limitation on Suits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 Unconditional Right of Holders to Receive Principal and Interest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 Restoration of Rights and Remedies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 Rights and Remedies Cumulative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6.11. Delay or Omission Not Waiver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6.12. Control by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6.13. Waiver of Past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 Undertaking for Costs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 Duties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7.2. Rights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7.3. May Hold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7.4. Trustee’s Disclaimer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7.5. Notice of Defaults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7.6. Reports by Trustee to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7.7. Compensation and Indemnity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7.8. Replacement of Trustee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7.9. Successor Trustee by Merger, etc.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 Eligibility; Disqualification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 Preferential Collection of Claims Against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DISCHARGE OF INDENTURE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 Termination of Company’s Obligations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 Application of Trust Money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8.3. Repayment to Company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8.4. Reinstatement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IX. AMENDMENTS AND WAIVERS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 Without Consent of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 With Consent of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 Limitations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9.4. Form of Amendments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9.5. Revocation and Effect of Consents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9.6. Notation on or Exchange of Securities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9.7. Trustee Protected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 Communication by Holders with Other Holders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 Certificate and Opinion as to Conditions Precedent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 Statements Required in Certificate or Opinion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8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10.5. Rules by Trustee and Agents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10.6. Legal Holidays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10.7. No Personal Liability of Directors, Officers, Employees and Certain Others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10.8. FATCA.</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10.9. Counterparts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10.10. Governing Laws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10.11. No Adverse Interpretation of Other Agreements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10.12. Successors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10.13. Severability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10.14. Table of Contents, Headings,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10.15. Judgment Currency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10.16. English Language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10.17. Submission to Jurisdiction; Appointment of Agent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10.18. Waiver of Immunity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10.19. Interest Act (Canada)</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10.20. Waiver of Jury Trial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Section 10.21. Trust Indenture Act Controls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00"/>
          </w:cols>
          <w:pgMar w:left="800" w:top="270" w:right="499" w:bottom="1440" w:gutter="0" w:footer="0" w:header="0"/>
        </w:sectPr>
      </w:pPr>
    </w:p>
    <w:bookmarkStart w:id="78" w:name="page79"/>
    <w:bookmarkEnd w:id="78"/>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Indenture dated as of [ ] by and among Schlumberger Finance Canada Ltd., a corporation incorporated under the laws of the Province of Alberta, Canada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Schlumberger Limited, a company organized under the laws of Curaçao (the “</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and The Bank of New York Mellon,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registrar, paying agent and transfer agent.</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(as defined below) of the Securities (as defined below) issued under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Paying Agent or Transfer Agent or any other agent appointed pursuant to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 or the Guarantor, or any duly authorized committee thereof.</w:t>
      </w:r>
    </w:p>
    <w:p>
      <w:pPr>
        <w:spacing w:after="0" w:line="225" w:lineRule="exact"/>
        <w:rPr>
          <w:sz w:val="20"/>
          <w:szCs w:val="20"/>
          <w:color w:val="auto"/>
        </w:rPr>
      </w:pPr>
    </w:p>
    <w:p>
      <w:pPr>
        <w:jc w:val="both"/>
        <w:ind w:right="1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or the Guarantor, as applicable, to have been adopted by its Board of Directors or pursuant to authorization by its Board of Directors and to be in full force and effect on the date of the certification and delivered to the Trustee.</w:t>
      </w:r>
    </w:p>
    <w:p>
      <w:pPr>
        <w:spacing w:after="0" w:line="173" w:lineRule="exact"/>
        <w:rPr>
          <w:sz w:val="20"/>
          <w:szCs w:val="20"/>
          <w:color w:val="auto"/>
        </w:rPr>
      </w:pPr>
    </w:p>
    <w:p>
      <w:pPr>
        <w:ind w:right="46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means, unless otherwise provided by Board Resolution and Officer’s Certificate or by supplemental indenture for a particular Series, any day except a Saturday, a Sunday or a day on which banking institutions in any of The City of New York, New York, Toronto, Ontario or a place of payment are authorized or obligated by law, regulation or executive order to remain closed.</w:t>
      </w:r>
    </w:p>
    <w:p>
      <w:pPr>
        <w:spacing w:after="0" w:line="17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(1) in the case of a corporation, corporate stock or shares in the capital of the corporation; (2) in the case of an association or business entity, any and all shares, interests, participations, rights or other equivalents (however designated) of corporate stock; (3) in the case of a partnership or limited liability company, partnership interests (whether general or limited) or membership interests; and (4)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ectPr>
          <w:pgSz w:w="11900" w:h="16838" w:orient="portrait"/>
          <w:cols w:equalWidth="0" w:num="1">
            <w:col w:w="11020"/>
          </w:cols>
          <w:pgMar w:left="440" w:top="270" w:right="439" w:bottom="1440" w:gutter="0" w:footer="0" w:header="0"/>
        </w:sectPr>
      </w:pPr>
    </w:p>
    <w:bookmarkStart w:id="79" w:name="page80"/>
    <w:bookmarkEnd w:id="7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Certificated Securities</w:t>
      </w:r>
      <w:r>
        <w:rPr>
          <w:rFonts w:ascii="Times New Roman" w:cs="Times New Roman" w:eastAsia="Times New Roman" w:hAnsi="Times New Roman"/>
          <w:sz w:val="18"/>
          <w:szCs w:val="18"/>
          <w:color w:val="auto"/>
        </w:rPr>
        <w:t>” means definitive Securities in registered non-global certificated form.</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Schlumberger Finance Canada Ltd. until a successor replaces it and thereafter means the successor.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 Order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Company Request</w:t>
      </w:r>
      <w:r>
        <w:rPr>
          <w:rFonts w:ascii="Times New Roman" w:cs="Times New Roman" w:eastAsia="Times New Roman" w:hAnsi="Times New Roman"/>
          <w:sz w:val="18"/>
          <w:szCs w:val="18"/>
          <w:color w:val="auto"/>
        </w:rPr>
        <w:t>” means a written order signed in the name of the Company by one of the Company’s Officers.</w:t>
      </w:r>
    </w:p>
    <w:p>
      <w:pPr>
        <w:spacing w:after="0" w:line="225" w:lineRule="exact"/>
        <w:rPr>
          <w:sz w:val="20"/>
          <w:szCs w:val="20"/>
          <w:color w:val="auto"/>
        </w:rPr>
      </w:pPr>
    </w:p>
    <w:p>
      <w:pPr>
        <w:ind w:right="24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Worth</w:t>
      </w:r>
      <w:r>
        <w:rPr>
          <w:rFonts w:ascii="Times New Roman" w:cs="Times New Roman" w:eastAsia="Times New Roman" w:hAnsi="Times New Roman"/>
          <w:sz w:val="18"/>
          <w:szCs w:val="18"/>
          <w:color w:val="auto"/>
        </w:rPr>
        <w:t>” means the amount of total stockholders’ equity shown in the Guarantor’s most recent quarterly consolidated statement of financial position.</w:t>
      </w:r>
    </w:p>
    <w:p>
      <w:pPr>
        <w:spacing w:after="0" w:line="158"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as of the date hereof is the address set forth in Section 10.1.</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w:t>
      </w:r>
      <w:r>
        <w:rPr>
          <w:rFonts w:ascii="Times New Roman" w:cs="Times New Roman" w:eastAsia="Times New Roman" w:hAnsi="Times New Roman"/>
          <w:sz w:val="18"/>
          <w:szCs w:val="18"/>
          <w:i w:val="1"/>
          <w:iCs w:val="1"/>
          <w:color w:val="auto"/>
        </w:rPr>
        <w:t>Depositary</w:t>
      </w:r>
      <w:r>
        <w:rPr>
          <w:rFonts w:ascii="Times New Roman" w:cs="Times New Roman" w:eastAsia="Times New Roman" w:hAnsi="Times New Roman"/>
          <w:sz w:val="18"/>
          <w:szCs w:val="18"/>
          <w:color w:val="auto"/>
        </w:rPr>
        <w:t>” as used with respect to the Securities of any Series shall mean the Depositary with respect to the Securities of such Series.</w:t>
      </w:r>
    </w:p>
    <w:p>
      <w:pPr>
        <w:spacing w:after="0" w:line="180"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Security</w:t>
      </w:r>
      <w:r>
        <w:rPr>
          <w:rFonts w:ascii="Times New Roman" w:cs="Times New Roman" w:eastAsia="Times New Roman" w:hAnsi="Times New Roman"/>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currency of The United States of America.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accounting principles generally accepted in the United States of America set forth in the opinions and pronouncements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80" w:lineRule="exact"/>
        <w:rPr>
          <w:sz w:val="20"/>
          <w:szCs w:val="20"/>
          <w:color w:val="auto"/>
        </w:rPr>
      </w:pPr>
    </w:p>
    <w:p>
      <w:pPr>
        <w:ind w:right="2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Global Security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Global Securities</w:t>
      </w:r>
      <w:r>
        <w:rPr>
          <w:rFonts w:ascii="Times New Roman" w:cs="Times New Roman" w:eastAsia="Times New Roman" w:hAnsi="Times New Roman"/>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80" w:name="page81"/>
    <w:bookmarkEnd w:id="80"/>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Government Obligations</w:t>
      </w:r>
      <w:r>
        <w:rPr>
          <w:rFonts w:ascii="Times New Roman" w:cs="Times New Roman" w:eastAsia="Times New Roman" w:hAnsi="Times New Roman"/>
          <w:sz w:val="18"/>
          <w:szCs w:val="18"/>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Government Obligation evidenced by such depository receipt.</w:t>
      </w:r>
    </w:p>
    <w:p>
      <w:pPr>
        <w:spacing w:after="0" w:line="185"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by the Guarantor of the Company’s obligations under this Indenture and any Securities and as provided in the applicable Board Resolution and Officer’s Certificate or the applicable supplemental indenture establishing the terms of such Series of Securities.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Securityholder</w:t>
      </w:r>
      <w:r>
        <w:rPr>
          <w:rFonts w:ascii="Times New Roman" w:cs="Times New Roman" w:eastAsia="Times New Roman" w:hAnsi="Times New Roman"/>
          <w:sz w:val="18"/>
          <w:szCs w:val="18"/>
          <w:color w:val="auto"/>
        </w:rPr>
        <w:t>” means a Person in whose name a Security is registered in the register maintained by the Registrar.</w:t>
      </w:r>
    </w:p>
    <w:p>
      <w:pPr>
        <w:spacing w:after="0" w:line="225"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means this Indenture as amended or supplemented from time to time and shall include the form and terms of particular Series of Securities established as contemplated hereunder.</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 securities</w:t>
      </w:r>
      <w:r>
        <w:rPr>
          <w:rFonts w:ascii="Times New Roman" w:cs="Times New Roman" w:eastAsia="Times New Roman" w:hAnsi="Times New Roman"/>
          <w:sz w:val="18"/>
          <w:szCs w:val="18"/>
          <w:color w:val="auto"/>
        </w:rPr>
        <w:t>” means the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 with respect to any Security, the date of original issuance of such Security.</w:t>
      </w:r>
    </w:p>
    <w:p>
      <w:pPr>
        <w:spacing w:after="0" w:line="225" w:lineRule="exact"/>
        <w:rPr>
          <w:sz w:val="20"/>
          <w:szCs w:val="20"/>
          <w:color w:val="auto"/>
        </w:rPr>
      </w:pPr>
    </w:p>
    <w:p>
      <w:pPr>
        <w:ind w:right="18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8" w:lineRule="exact"/>
        <w:rPr>
          <w:sz w:val="20"/>
          <w:szCs w:val="20"/>
          <w:color w:val="auto"/>
        </w:rPr>
      </w:pPr>
    </w:p>
    <w:p>
      <w:pPr>
        <w:ind w:right="20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and includes any mortgage, pledge, lien, security interest, conditional sale or other title retention agreement or other similar encumbrance.</w:t>
      </w:r>
    </w:p>
    <w:p>
      <w:pPr>
        <w:spacing w:after="0" w:line="158" w:lineRule="exact"/>
        <w:rPr>
          <w:sz w:val="20"/>
          <w:szCs w:val="20"/>
          <w:color w:val="auto"/>
        </w:rPr>
      </w:pPr>
    </w:p>
    <w:p>
      <w:pPr>
        <w:jc w:val="both"/>
        <w:ind w:right="30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Non-recourse Debt</w:t>
      </w:r>
      <w:r>
        <w:rPr>
          <w:rFonts w:ascii="Times New Roman" w:cs="Times New Roman" w:eastAsia="Times New Roman" w:hAnsi="Times New Roman"/>
          <w:sz w:val="18"/>
          <w:szCs w:val="18"/>
          <w:color w:val="auto"/>
        </w:rPr>
        <w:t>” means indebtedness as to which (a) none of the Company, the Guarantor and its Subsidiaries (x) provides credit support of any kind or (y) is directly or indirectly liable as a guarantor or otherwise and (b) as to which the lenders have been notified in writing that they will not have any recourse to the stock or assets of the Company, the Guarantor or any of its other Subsidiaries.</w:t>
      </w:r>
    </w:p>
    <w:p>
      <w:pPr>
        <w:spacing w:after="0" w:line="173" w:lineRule="exact"/>
        <w:rPr>
          <w:sz w:val="20"/>
          <w:szCs w:val="20"/>
          <w:color w:val="auto"/>
        </w:rPr>
      </w:pPr>
    </w:p>
    <w:p>
      <w:pPr>
        <w:ind w:right="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obligor</w:t>
      </w:r>
      <w:r>
        <w:rPr>
          <w:rFonts w:ascii="Times New Roman" w:cs="Times New Roman" w:eastAsia="Times New Roman" w:hAnsi="Times New Roman"/>
          <w:sz w:val="18"/>
          <w:szCs w:val="18"/>
          <w:color w:val="auto"/>
        </w:rPr>
        <w:t>” on the indenture securities means the Company issuing the Securities and any successor to such obligor upon the Securities, and the Guarantor, and its successor.</w:t>
      </w:r>
    </w:p>
    <w:p>
      <w:pPr>
        <w:spacing w:after="0" w:line="158" w:lineRule="exact"/>
        <w:rPr>
          <w:sz w:val="20"/>
          <w:szCs w:val="20"/>
          <w:color w:val="auto"/>
        </w:rPr>
      </w:pPr>
    </w:p>
    <w:p>
      <w:pPr>
        <w:ind w:right="180" w:firstLine="991"/>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Officer</w:t>
      </w:r>
      <w:r>
        <w:rPr>
          <w:rFonts w:ascii="Times New Roman" w:cs="Times New Roman" w:eastAsia="Times New Roman" w:hAnsi="Times New Roman"/>
          <w:sz w:val="17"/>
          <w:szCs w:val="17"/>
          <w:color w:val="auto"/>
        </w:rPr>
        <w:t>” means the Chief Executive Officer, Chief Operating Officer, Chief Financial Officer, President, any Vice-President, the Treasurer, a Director, the Chairman, the Secretary, any Assistant Treasurer or any Assistant Secretary of the Company or the Guarantor, as applicable.</w:t>
      </w:r>
    </w:p>
    <w:p>
      <w:pPr>
        <w:spacing w:after="0" w:line="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8" w:right="499" w:bottom="1440" w:gutter="0" w:footer="0" w:header="0"/>
        </w:sectPr>
      </w:pPr>
    </w:p>
    <w:bookmarkStart w:id="81" w:name="page82"/>
    <w:bookmarkEnd w:id="8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a certificate signed by an Officer of the Company or the Guarantor, as applicable.</w:t>
      </w:r>
    </w:p>
    <w:p>
      <w:pPr>
        <w:spacing w:after="0" w:line="225" w:lineRule="exact"/>
        <w:rPr>
          <w:sz w:val="20"/>
          <w:szCs w:val="20"/>
          <w:color w:val="auto"/>
        </w:rPr>
      </w:pPr>
    </w:p>
    <w:p>
      <w:pPr>
        <w:ind w:right="22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of legal counsel who is acceptable to the Trustee. The counsel may be a direct or indirect employee of or counsel to the Company or the Guarantor.</w:t>
      </w:r>
    </w:p>
    <w:p>
      <w:pPr>
        <w:spacing w:after="0" w:line="158"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any individual, corporation, partnership, limited liability company, association, joint venture, trust, joint stock company or any other entity or organization, including a government or political subdivision or an agency or instrumentality thereof.</w:t>
      </w:r>
    </w:p>
    <w:p>
      <w:pPr>
        <w:spacing w:after="0" w:line="158" w:lineRule="exact"/>
        <w:rPr>
          <w:sz w:val="20"/>
          <w:szCs w:val="20"/>
          <w:color w:val="auto"/>
        </w:rPr>
      </w:pPr>
    </w:p>
    <w:p>
      <w:pPr>
        <w:ind w:right="60"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w:t>
      </w:r>
      <w:r>
        <w:rPr>
          <w:rFonts w:ascii="Times New Roman" w:cs="Times New Roman" w:eastAsia="Times New Roman" w:hAnsi="Times New Roman"/>
          <w:sz w:val="18"/>
          <w:szCs w:val="18"/>
          <w:color w:val="auto"/>
        </w:rPr>
        <w:t>” of a Security means the principal of the Security plus, when appropriate, the premium, if any, on, and any Additional Amounts in respect of, the Security.</w:t>
      </w:r>
    </w:p>
    <w:p>
      <w:pPr>
        <w:spacing w:after="0" w:line="158"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Responsible Officer</w:t>
      </w:r>
      <w:r>
        <w:rPr>
          <w:rFonts w:ascii="Times New Roman" w:cs="Times New Roman" w:eastAsia="Times New Roman" w:hAnsi="Times New Roman"/>
          <w:sz w:val="18"/>
          <w:szCs w:val="18"/>
          <w:color w:val="auto"/>
        </w:rPr>
        <w:t>” means any officer of the Trustee in its Corporate Trust Office responsible for the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Property</w:t>
      </w:r>
      <w:r>
        <w:rPr>
          <w:rFonts w:ascii="Times New Roman" w:cs="Times New Roman" w:eastAsia="Times New Roman" w:hAnsi="Times New Roman"/>
          <w:sz w:val="18"/>
          <w:szCs w:val="18"/>
          <w:color w:val="auto"/>
        </w:rPr>
        <w:t>” means any real property, manufacturing plant, warehouse, office building or other physical facility, or any item of marine, transportation or construction equipment or other like depreciable assets of the Guarantor or any of its Restricted Subsidiaries, whether owned on or acquired after the Issue Date of the Securities of any Series, unless, in the opinion of the Board of Directors of the Guarantor, such plant or facility or other asset is not of material importance to the total business conducted by the Guarantor and its Restricted Subsidiaries taken as a whole.</w:t>
      </w:r>
    </w:p>
    <w:p>
      <w:pPr>
        <w:spacing w:after="0" w:line="180" w:lineRule="exact"/>
        <w:rPr>
          <w:sz w:val="20"/>
          <w:szCs w:val="20"/>
          <w:color w:val="auto"/>
        </w:rPr>
      </w:pPr>
    </w:p>
    <w:p>
      <w:pPr>
        <w:ind w:right="4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Security</w:t>
      </w:r>
      <w:r>
        <w:rPr>
          <w:rFonts w:ascii="Times New Roman" w:cs="Times New Roman" w:eastAsia="Times New Roman" w:hAnsi="Times New Roman"/>
          <w:sz w:val="18"/>
          <w:szCs w:val="18"/>
          <w:color w:val="auto"/>
        </w:rPr>
        <w:t>”, with respect to any Series of Securities, means a Security of such Series, unless or until it has been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any Subsidiary of the Guarantor which owns a Restricted Property.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means any debentures, notes or other debt instruments of the Company of any Series authenticated and delivered under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jc w:val="center"/>
        <w:ind w:left="740" w:right="680"/>
        <w:spacing w:after="0" w:line="4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Series of Securities</w:t>
      </w:r>
      <w:r>
        <w:rPr>
          <w:rFonts w:ascii="Times New Roman" w:cs="Times New Roman" w:eastAsia="Times New Roman" w:hAnsi="Times New Roman"/>
          <w:sz w:val="18"/>
          <w:szCs w:val="18"/>
          <w:color w:val="auto"/>
        </w:rPr>
        <w:t>” means each series of Securities of the Company created pursuant to Sections 2.1 and 2.2 hereof. 4</w:t>
      </w:r>
    </w:p>
    <w:p>
      <w:pPr>
        <w:sectPr>
          <w:pgSz w:w="11900" w:h="16838" w:orient="portrait"/>
          <w:cols w:equalWidth="0" w:num="1">
            <w:col w:w="11000"/>
          </w:cols>
          <w:pgMar w:left="440" w:top="268" w:right="459" w:bottom="1440" w:gutter="0" w:footer="0" w:header="0"/>
        </w:sectPr>
      </w:pPr>
    </w:p>
    <w:bookmarkStart w:id="82" w:name="page83"/>
    <w:bookmarkEnd w:id="82"/>
    <w:p>
      <w:pPr>
        <w:ind w:right="620" w:firstLine="991"/>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Stated Maturity</w:t>
      </w:r>
      <w:r>
        <w:rPr>
          <w:rFonts w:ascii="Times New Roman" w:cs="Times New Roman" w:eastAsia="Times New Roman" w:hAnsi="Times New Roman"/>
          <w:sz w:val="18"/>
          <w:szCs w:val="18"/>
          <w:color w:val="auto"/>
        </w:rPr>
        <w:t>” when used with respect to any Security, means the date specified in such Security as the fixed date on which the principal of such Security or interest is due and payable.</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specified Person, (a)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(b) any partnership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TIA</w:t>
      </w:r>
      <w:r>
        <w:rPr>
          <w:rFonts w:ascii="Times New Roman" w:cs="Times New Roman" w:eastAsia="Times New Roman" w:hAnsi="Times New Roman"/>
          <w:sz w:val="18"/>
          <w:szCs w:val="18"/>
          <w:color w:val="auto"/>
        </w:rPr>
        <w:t>” means the Trust Indenture Act of 1939, as amended, as in effect on the date hereof.</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the Person named as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in the first paragraph of this instrument until a successor Trustee shall have become such pursuant to the applicable provisions of this Indenture, and thereafter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shall mean or include each Person who is then a Trustee hereunder, and if at any time there is more than one such Person,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used with respect to the Securities of any Series shall mean the Trustee with respect to Securities of that Series.</w:t>
      </w:r>
    </w:p>
    <w:p>
      <w:pPr>
        <w:spacing w:after="0" w:line="180" w:lineRule="exact"/>
        <w:rPr>
          <w:sz w:val="20"/>
          <w:szCs w:val="20"/>
          <w:color w:val="auto"/>
        </w:rPr>
      </w:pPr>
    </w:p>
    <w:p>
      <w:pPr>
        <w:ind w:right="1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Securities</w:t>
      </w:r>
      <w:r>
        <w:rPr>
          <w:rFonts w:ascii="Times New Roman" w:cs="Times New Roman" w:eastAsia="Times New Roman" w:hAnsi="Times New Roman"/>
          <w:sz w:val="18"/>
          <w:szCs w:val="18"/>
          <w:color w:val="auto"/>
        </w:rPr>
        <w:t>”, with respect to any Series of Securities, means a Security (i) effectively registered under the Securities Act and disposed of in accordance with a registration statement with respect to such Series or (ii) distributed to the public pursuant to Rule 144 under the Securities Act or any similar provision then in force.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85"/>
        </w:trPr>
        <w:tc>
          <w:tcPr>
            <w:tcW w:w="2780" w:type="dxa"/>
            <w:vAlign w:val="bottom"/>
            <w:gridSpan w:val="2"/>
            <w:vMerge w:val="continue"/>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w:t>
            </w:r>
          </w:p>
        </w:tc>
        <w:tc>
          <w:tcPr>
            <w:tcW w:w="3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4.6(a)</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Bankruptcy Law”</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Canadian Taxes</w:t>
            </w:r>
            <w:r>
              <w:rPr>
                <w:rFonts w:ascii="Times New Roman" w:cs="Times New Roman" w:eastAsia="Times New Roman" w:hAnsi="Times New Roman"/>
                <w:sz w:val="18"/>
                <w:szCs w:val="18"/>
                <w:color w:val="auto"/>
              </w:rPr>
              <w:t>”</w:t>
            </w:r>
          </w:p>
        </w:tc>
        <w:tc>
          <w:tcPr>
            <w:tcW w:w="37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4.6(b)</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w:t>
            </w:r>
          </w:p>
        </w:tc>
        <w:tc>
          <w:tcPr>
            <w:tcW w:w="37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8.1(b)</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w:t>
            </w:r>
          </w:p>
        </w:tc>
        <w:tc>
          <w:tcPr>
            <w:tcW w:w="37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8.1(c)</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w:t>
            </w:r>
          </w:p>
        </w:tc>
        <w:tc>
          <w:tcPr>
            <w:tcW w:w="4700" w:type="dxa"/>
            <w:vAlign w:val="bottom"/>
            <w:gridSpan w:val="3"/>
          </w:tcPr>
          <w:p>
            <w:pPr>
              <w:ind w:left="39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740" w:type="dxa"/>
            <w:vAlign w:val="bottom"/>
          </w:tcPr>
          <w:p>
            <w:pPr>
              <w:jc w:val="right"/>
              <w:ind w:right="265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68" w:right="459" w:bottom="1440" w:gutter="0" w:footer="0" w:header="0"/>
        </w:sectPr>
      </w:pPr>
    </w:p>
    <w:bookmarkStart w:id="83" w:name="page84"/>
    <w:bookmarkEnd w:id="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 Agent</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Related Proceeding</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Tax Jurisdiction</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4"/>
              </w:rPr>
              <w:t>4.6(a)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4"/>
              </w:rPr>
              <w:t>4.6(a)</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4"/>
              </w:rPr>
              <w:t>4.6(a)</w:t>
            </w:r>
          </w:p>
        </w:tc>
      </w:t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w:t>
            </w:r>
          </w:p>
        </w:tc>
        <w:tc>
          <w:tcPr>
            <w:tcW w:w="274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2.4</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is not exclusive;</w:t>
      </w:r>
    </w:p>
    <w:p>
      <w:pPr>
        <w:spacing w:after="0" w:line="11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08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this Indenture or in any Security, the words “execute,” “execution,” “signed” and “signature” and words of similar import used in or related to any document to be signed in connection with this Indenture, any Security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the Trustee pursuant to procedures approved by the Trustee.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SECURITIES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Issuable in Series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8" w:right="439" w:bottom="1440" w:gutter="0" w:footer="0" w:header="0"/>
        </w:sectPr>
      </w:pPr>
    </w:p>
    <w:bookmarkStart w:id="84" w:name="page85"/>
    <w:bookmarkEnd w:id="84"/>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Securities of a Series shall be identical except as may be set forth in, or pursuant to a Board Resolution and Officer’s Certificate or as may be set forth in, or pursuant to a supplemental indenture establishing the terms of such Series of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Establishment of Terms of Series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991"/>
        <w:spacing w:after="0" w:line="266" w:lineRule="auto"/>
        <w:rPr>
          <w:sz w:val="20"/>
          <w:szCs w:val="20"/>
          <w:color w:val="auto"/>
        </w:rPr>
      </w:pPr>
      <w:r>
        <w:rPr>
          <w:rFonts w:ascii="Times New Roman" w:cs="Times New Roman" w:eastAsia="Times New Roman" w:hAnsi="Times New Roman"/>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2.2.29) by or pursuant to a Board Resolution and Officer’s Certificate or by or pursuant to a supplemental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 the title of the Series (which shall distinguish the Securities of that particular Series from the Securities of any other Series);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 the aggregate principal amount of the Securities of the Series to be issued;</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 the date or dates on which the principal and premium, if any, of the Securities of the Series is payable;</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2.2.5. the rate or rates, which may be fixed or variable, at which the Securities of the Series shall bear interest or the manner of calculation of such rate or rates, if any, including any procedures to vary or reset such rate or rates, and the basis upon which interest will be calculated if other than that of a 360-day year of twelve 30-day months;</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with respect to the Securities of such Series and this Indenture may be served, and the method of such payment, if by wire transfer, mail or other means if other than as set forth in this Indenture;</w:t>
      </w:r>
    </w:p>
    <w:p>
      <w:pPr>
        <w:spacing w:after="0" w:line="180" w:lineRule="exact"/>
        <w:rPr>
          <w:sz w:val="20"/>
          <w:szCs w:val="20"/>
          <w:color w:val="auto"/>
        </w:rPr>
      </w:pPr>
    </w:p>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t>2.2.7. 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2.2.8. the right, if any, to extend the interest payment periods or defer the payment of interest and the duration of such extension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deferral;</w:t>
      </w:r>
    </w:p>
    <w:p>
      <w:pPr>
        <w:spacing w:after="0" w:line="20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2.2.9. if applicable, the period or periods within which, the price or prices at which and the terms and conditions upon which the Securities of the Series may be redeemed, in whole or in part, at the option of the Company;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85" w:name="page86"/>
    <w:bookmarkEnd w:id="85"/>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2.2.10. the obligation, if any, of the Company to redeem or purchase, if other than as set forth herein, the Securities of the Series pursuant to any sinking fund or analogous provisions, including payments made in cash in anticipation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2.2.11. the terms of any repurchase or remarketing rights;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2.2.12. if other than denominations of $2,000 or integral multiples of $1,000 in excess thereof, the denominations in which the Securities of the Series shall be issuable;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2.2.13. the forms of the Securities of the Series including the form of the Trustee’s certificate of authentication for such Series;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2.2.14. any trustees, authenticating agents or Agents with respect to the Securities of the Series, if different from those set forth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207"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2.2.15. if the Securities of the Series shall be issued in whole or in part in the form of a Global Security or Securities, the type of Global Security to be issued; the terms and conditions, if different from those contained in this Indenture, upon which such Global Security or Securities may be exchanged in whole or in part for other individual Securities in definitive registered form; the Depositary for such Global Security or Securities; and the form of any legend or legends to be borne by any such Global Security or Securities in addition to or in lieu of the legend referred to in Section 2.14.3;</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2.2.16. any provisions granting special rights to Holders when a specified event occurs;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2.2.17. if the amount of principal or any premium or interest on Securities of any Series may be determined with reference to an index or pursuant to a formula, the manner in which such amounts will be determined;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2.2.18. any special tax implications of the Securities, including provisions for original issue discount securities, if offered;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2.2.19. whether and upon what terms Securities of the Series may be defeased if different from the provisions set forth in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2.2.20. with regard to the Securities of any Series that do not bear interest, the dates for certain required reports to the Trustee;</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2.2.21. whether the Securities of any Series will be issued as Unrestricted Securities or Restricted Securities, and, if issued as Restricted Securities, the rule or regulation promulgated under the Securities Act in reliance on which they will be sold;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2.2.22. any guarantees on the Securities of the Series, if different from, or in addition to, the Guarantee provided pursuant to this Indenture;</w:t>
      </w:r>
    </w:p>
    <w:p>
      <w:pPr>
        <w:spacing w:after="0" w:line="16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86" w:name="page87"/>
    <w:bookmarkEnd w:id="8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2.2.23. the currency or currencies in which payment of the principal of, premium, if any, and interest on, the Securities of the Series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payable;</w:t>
      </w:r>
    </w:p>
    <w:p>
      <w:pPr>
        <w:spacing w:after="0" w:line="20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2.2.24. if other than the principal amount thereof, the portion of the principal amount of the Securities of the Series that shall be payable upon declaration of acceleration of the Maturity thereof pursuant to Section 6.2;</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2.2.25. the provisions, if any, relating to any security provided for the Securities of the Series;</w:t>
      </w:r>
    </w:p>
    <w:p>
      <w:pPr>
        <w:spacing w:after="0" w:line="225"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2.2.26. any additional covenants or Events of Default that will apply to the Securities of the Series, or any changes to the covenants set forth in Article IV or the Events of Default set forth in Section 6.1 that will apply to the Securities of the Series, which may consist of establishing different terms or provisions from those set forth in Article IV or Section 6.1 or eliminating any such covenant or Event of Default with respect to the Securities of the Series;</w:t>
      </w:r>
    </w:p>
    <w:p>
      <w:pPr>
        <w:spacing w:after="0" w:line="180"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2.2.27. any Depositaries, interest rate calculation agents, exchange rate calculation agents or other agents with respect to Securities of such Series if other than those appointed herein;</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2.2.28. whether the Securities of the Series will be convertible into or exchangeable for other Securities, common shares or other securities of any kind of the Company or another obligor, and, if so, the terms and conditions upon which such Securities will be so convertible or exchangeable, including the initial conversion or exchange price or rate or the method of calculation, how and when the conversion price or exchange ratio may be adjusted, whether conversion or exchange is mandatory, at the option of the Holder or at the Company’s option, the conversion or exchange period, and any other provision in addition to or in lieu of those described herein; and</w:t>
      </w:r>
    </w:p>
    <w:p>
      <w:pPr>
        <w:spacing w:after="0" w:line="183" w:lineRule="exact"/>
        <w:rPr>
          <w:sz w:val="20"/>
          <w:szCs w:val="20"/>
          <w:color w:val="auto"/>
        </w:rPr>
      </w:pPr>
    </w:p>
    <w:p>
      <w:pPr>
        <w:jc w:val="both"/>
        <w:ind w:right="60" w:firstLine="991"/>
        <w:spacing w:after="0" w:line="266" w:lineRule="auto"/>
        <w:rPr>
          <w:sz w:val="20"/>
          <w:szCs w:val="20"/>
          <w:color w:val="auto"/>
        </w:rPr>
      </w:pPr>
      <w:r>
        <w:rPr>
          <w:rFonts w:ascii="Times New Roman" w:cs="Times New Roman" w:eastAsia="Times New Roman" w:hAnsi="Times New Roman"/>
          <w:sz w:val="18"/>
          <w:szCs w:val="18"/>
          <w:color w:val="auto"/>
        </w:rPr>
        <w:t>2.2.29. any and all additional, eliminated or changed terms that shall apply to the Securities of the Series, including any terms that may be required by or advisable under United States laws or regulations, including the Securities Act and the rules and regulations promulgated thereunder, or advisable in connection with the marketing of Securities of that Series.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need not be issued at the same time and may be issued from time to time, consistent with the terms of this Indenture, if so provided by or pursuant to the Board Resolution and Officer’s Certificate or by or pursuant to the supplemental indenture referred to above.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 Officer of the Company shall sign the Securities for the Company by manual, facsimile or electronic signature.</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Security no longer holds that office at the time the Security is authenticated, the Security shall nevertheless be valid.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87" w:name="page88"/>
    <w:bookmarkEnd w:id="8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Security shall not be valid until authenticated by the manual, facsimile or electronic signature of the Trustee or an authenticating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signature shall be conclusive evidence that the Security has been authenticated under this Indenture.</w:t>
      </w:r>
    </w:p>
    <w:p>
      <w:pPr>
        <w:spacing w:after="0" w:line="20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at any time, and from time to time, authenticate Securities for original issue in the principal amount provided in the Board Resolution and Officer’s Certificate or in the supplemental indenture, upon receipt by the Trustee of a Company Order. Each Security shall be dated the date of its authentication unless otherwise provided by the relevant Board Resolution and Officer’s Certificate or the relevant supplemental indenture.</w:t>
      </w:r>
    </w:p>
    <w:p>
      <w:pPr>
        <w:spacing w:after="0" w:line="180" w:lineRule="exact"/>
        <w:rPr>
          <w:sz w:val="20"/>
          <w:szCs w:val="20"/>
          <w:color w:val="auto"/>
        </w:rPr>
      </w:pPr>
    </w:p>
    <w:p>
      <w:pPr>
        <w:ind w:firstLine="991"/>
        <w:spacing w:after="0" w:line="312" w:lineRule="auto"/>
        <w:rPr>
          <w:sz w:val="20"/>
          <w:szCs w:val="20"/>
          <w:color w:val="auto"/>
        </w:rPr>
      </w:pPr>
      <w:r>
        <w:rPr>
          <w:rFonts w:ascii="Times New Roman" w:cs="Times New Roman" w:eastAsia="Times New Roman" w:hAnsi="Times New Roman"/>
          <w:sz w:val="17"/>
          <w:szCs w:val="17"/>
          <w:color w:val="auto"/>
        </w:rPr>
        <w:t>The aggregate principal amount of Securities of any Series outstanding at any time may not exceed any limit upon the maximum principal amount for such Series set forth in the Board Resolution and Officer’s Certificate or in the supplemental indenture delivered pursuant to Section 2.2.</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Prior to the issuance of Securities of any Series, the Trustee shall have received and (subject to Section 7.2) shall be fully protected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relying on: (a) the Board Resolution and Officer’s Certificate or the supplemental indenture establishing the form of the Securities of that Series 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within that Series and the terms of the Securities of that Series or of Securities within that Series, (b) an Officer’s Certificate complying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10.4, and (c) an Opinion of Counsel complying with Section 10.4.</w:t>
      </w:r>
    </w:p>
    <w:p>
      <w:pPr>
        <w:spacing w:after="0" w:line="207"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committee of Responsible Officers shall determine that such action would expose the Trustee to personal liability.</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The Trustee may appoint an authenticating agent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Paying Agent, Registrar and Transfer Agent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The Company will maintain one or more paying agents (each, a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for the Securities in the Borough of Manhattan, City of New York. The initial Paying Agent will be The Bank of New York Mellon and thereafter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shall mean or include each Person who is then a Paying Agent hereunder, and if at any time there is more than one such Person, “</w:t>
      </w:r>
      <w:r>
        <w:rPr>
          <w:rFonts w:ascii="Times New Roman" w:cs="Times New Roman" w:eastAsia="Times New Roman" w:hAnsi="Times New Roman"/>
          <w:sz w:val="18"/>
          <w:szCs w:val="18"/>
          <w:i w:val="1"/>
          <w:iCs w:val="1"/>
          <w:color w:val="auto"/>
        </w:rPr>
        <w:t>Paying Agent</w:t>
      </w:r>
      <w:r>
        <w:rPr>
          <w:rFonts w:ascii="Times New Roman" w:cs="Times New Roman" w:eastAsia="Times New Roman" w:hAnsi="Times New Roman"/>
          <w:sz w:val="18"/>
          <w:szCs w:val="18"/>
          <w:color w:val="auto"/>
        </w:rPr>
        <w:t>” as used with respect to the Securities of any Series shall mean the Paying Agent with respect to Securities of that Series.</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The Company will also maintain one or more registrars (each, a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with an office in the Borough of Manhattan, City of New York. The Company will also maintain a transfer agent (each a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in the Borough of Manhattan, City of New York. The initial Registrar will be The Bank of New York Mellon and thereafter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shall mean or include each Person who is then a Registrar hereunder, and if at any time there is more than one</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88" w:name="page89"/>
    <w:bookmarkEnd w:id="8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Person, “</w:t>
      </w:r>
      <w:r>
        <w:rPr>
          <w:rFonts w:ascii="Times New Roman" w:cs="Times New Roman" w:eastAsia="Times New Roman" w:hAnsi="Times New Roman"/>
          <w:sz w:val="18"/>
          <w:szCs w:val="18"/>
          <w:i w:val="1"/>
          <w:iCs w:val="1"/>
          <w:color w:val="auto"/>
        </w:rPr>
        <w:t>Registrar</w:t>
      </w:r>
      <w:r>
        <w:rPr>
          <w:rFonts w:ascii="Times New Roman" w:cs="Times New Roman" w:eastAsia="Times New Roman" w:hAnsi="Times New Roman"/>
          <w:sz w:val="18"/>
          <w:szCs w:val="18"/>
          <w:color w:val="auto"/>
        </w:rPr>
        <w:t>” as used with respect to the Securities of any Series shall mean the Registrar with respect to Securities of that Series. The initial Transfer Agent will be The Bank of New York Mellon and thereafter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shall mean or include each Person who is then a Transfer Agent hereunder, and if at any time there is more than one such Person, “</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as used with respect to the Securities of any Series shall mean the Transfer Agent with respect to Securities of that Series. The Registrar will maintain a register reflecting ownership of Securities outstanding from time to time and the Paying Agent will make payments on, and the Transfer Agents will facilitate transfer of Securities, on the behalf of the Company. The Company shall maintain an up-to-date copy of such register of its Securities at its registered office, and the Registrar shall provide upon written request by the Company an up-to-date copy thereof. Each Transfer Agent shall perform the functions of a transfer agent.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change any Paying Agent, Registrar or Transfer Agent for its Securities without prior notice to the 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Company shall require each Paying Agent appointed by it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Securityholder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 and the Company shall otherwise comply with TIA § 312(a).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for such transactions set forth in this Indenture are met. To permit registrations of transfers and exchanges, the Trustee shall authenticate Securities at the Registrar’s request upon the Trustee’s receipt of a Company Order from the Company. No service charge shall be made for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89" w:name="page90"/>
    <w:bookmarkEnd w:id="8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Neither the Company nor the Registrar shall be required (a) to issue, register the transfer of, or exchange Securities of any Series for the period beginning at the opening of business fifteen days immediately preceding the delivery of a notice of redemption of Securities of that Series selected for redemption and ending at the close of business on the day of such delivery, or (b) to register the transfer of or exchange Securities of any Series selected, called or being called for redemption as a whole or the portion being redeemed of any such Securities selected, called or being called for redemption in part.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Mutilated, Destroyed, Lost and Stolen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If any mutilated Security is surrendered to the Trustee, the Company shall execute and upon receipt of a Company Order, the Trustee shall authenticate and deliver in exchange therefor a new Security of the same Series and of like tenor and principal amount and bearing a number not contemporaneously outstanding.</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83"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Upon the issuance of any new Security under this Section 2.8, the Company may require the payment of a sum sufficient to cover any tax or other governmental charge that may be imposed in relation thereto and any other expenses (including the fees and expenses of the Trustee) connected therewith.</w:t>
      </w:r>
    </w:p>
    <w:p>
      <w:pPr>
        <w:spacing w:after="0" w:line="176"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Every new Security of any Series issued pursuant to this Section 2.8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80"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this Section 2.8 are exclusive and shall preclude (to the extent lawful) all other rights and remedies with respect to the replacement or payment of mutilated, destroyed, lost or stolen Securities.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90" w:name="page91"/>
    <w:bookmarkEnd w:id="9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2.9. </w:t>
      </w: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The Securities outstanding at any time are all the Securities authenticated by the Trustee except for those canceled by it, those delivered to it for cancellation, those reductions in the interest on a Security, if applicable, effected by the Trustee in accordance with the provisions hereof and those described in this Section 2.9 as not outstanding.</w:t>
      </w:r>
    </w:p>
    <w:p>
      <w:pPr>
        <w:spacing w:after="0" w:line="176"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If a Security is replaced pursuant to Section 2.8, it ceases to be outstanding until the Trustee receives proof satisfactory to it that the replaced Security is held by a protected purchaser.</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may purchase or otherwise acquire the Securities, whether by open market purchases, negotiated transactions or otherwise.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does not cease to be outstanding because the Company or an Affiliate of the Company holds the Security.</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1" w:name="page92"/>
    <w:bookmarkEnd w:id="9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The Company at any time may deliver Securities to the Trustee for cancellation. The Agents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deliver a certificate of such destruction to the Company unless the Company otherwise directs the Trustee in writing. The Company may not issue new Securities to replace Securities that it has paid or delivered to the Trustee for cancellation.</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deliver to the Trustee and to each Securityholder of the Series a notice that states the record date, the payment date and the amount of interest to be paid. The Company may pay defaulted interest in any other lawful manner.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Global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2.14.1. </w:t>
      </w:r>
      <w:r>
        <w:rPr>
          <w:rFonts w:ascii="Times New Roman" w:cs="Times New Roman" w:eastAsia="Times New Roman" w:hAnsi="Times New Roman"/>
          <w:sz w:val="18"/>
          <w:szCs w:val="18"/>
          <w:u w:val="single" w:color="auto"/>
          <w:color w:val="auto"/>
        </w:rPr>
        <w:t>Terms of Securities</w:t>
      </w:r>
      <w:r>
        <w:rPr>
          <w:rFonts w:ascii="Times New Roman" w:cs="Times New Roman" w:eastAsia="Times New Roman" w:hAnsi="Times New Roman"/>
          <w:sz w:val="18"/>
          <w:szCs w:val="18"/>
          <w:color w:val="auto"/>
        </w:rPr>
        <w:t>. Either (i) a Board Resolution and an Officer’s Certificate or (ii) a supplemental indenture shall establish whether the Securities of a Series shall be issued in whole or in part in the form of one or more Global Securities and the Depositary for such Global Security or Securities.</w:t>
      </w:r>
    </w:p>
    <w:p>
      <w:pPr>
        <w:spacing w:after="0" w:line="176"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2.14.2.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 Notwithstanding any provisions to the contrary contained in Section 2.7 of this Indenture and in addition thereto, any Global Security shall be exchangeable pursuant to Section 2.7 of this Indenture for Certificated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w:t>
      </w:r>
    </w:p>
    <w:p>
      <w:pPr>
        <w:spacing w:after="0" w:line="3" w:lineRule="exact"/>
        <w:rPr>
          <w:sz w:val="20"/>
          <w:szCs w:val="20"/>
          <w:color w:val="auto"/>
        </w:rPr>
      </w:pPr>
    </w:p>
    <w:p>
      <w:pPr>
        <w:ind w:left="4" w:right="20" w:hanging="4"/>
        <w:spacing w:after="0" w:line="255" w:lineRule="auto"/>
        <w:tabs>
          <w:tab w:leader="none" w:pos="2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executes and delivers to the Trustee an Officer’s Certificate to the effect that such Global Security shall be so exchangeable. Any Global Security that is exchangeable pursuant to the preceding sentence shall be exchangeable for Certificated Securities registered in such names as the Depositary shall direct in writing in an aggregate principal amount equal to the principal amount of the Global Security with like tenor and terms.</w:t>
      </w:r>
    </w:p>
    <w:p>
      <w:pPr>
        <w:spacing w:after="0" w:line="186"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92" w:name="page93"/>
    <w:bookmarkEnd w:id="92"/>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Neither the Trustee nor any Agent shall have any obligation or duty to monitor, determine or inquire as to compliance with any tax or securities laws with respect to any restrictions on transfer imposed under this Indenture or under applicable law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2.14.3. </w:t>
      </w: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Any Global Security issued hereunder shall bear a legend in substantially the following form:</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8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2.14.4. </w:t>
      </w:r>
      <w:r>
        <w:rPr>
          <w:rFonts w:ascii="Times New Roman" w:cs="Times New Roman" w:eastAsia="Times New Roman" w:hAnsi="Times New Roman"/>
          <w:sz w:val="18"/>
          <w:szCs w:val="18"/>
          <w:u w:val="single" w:color="auto"/>
          <w:color w:val="auto"/>
        </w:rPr>
        <w:t>Acts of Holders</w:t>
      </w:r>
      <w:r>
        <w:rPr>
          <w:rFonts w:ascii="Times New Roman" w:cs="Times New Roman" w:eastAsia="Times New Roman" w:hAnsi="Times New Roman"/>
          <w:sz w:val="18"/>
          <w:szCs w:val="18"/>
          <w:color w:val="auto"/>
        </w:rPr>
        <w:t>. The Depositary, as a Holder, may appoint agents and otherwise authorize participants to give or take any request, demand, authorization, direction, notice, consent, waiver or other action which a Holder is entitled to give or take under this Indenture.</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2.14.5.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Notwithstanding the other provisions of this Indenture, unless otherwise specified as contemplated by Section 2.2, payment of the principal of and interest, if any, on any Global Security shall be made to the Holder thereof, which in the case of a Depositary therefor will be made in accordance with its applicable procedures.</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2.14.6.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The Company, the Trustee and each Agent shall treat the Person in whose name any Security is registered in the register maintained by the Registrar as the Holder for all purposes including for purposes of obtaining any consents, declarations, waivers or directions permitted or required to be given by the Holders pursuant to this Indenture.</w:t>
      </w:r>
    </w:p>
    <w:p>
      <w:pPr>
        <w:spacing w:after="0" w:line="176"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2.14.7. None of the Trustee or any Agent shall have any responsibility or obligation to any beneficial owner of an interest in a Global Security, a member of, or a participant in, the Depositary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or delivery of any Securities (or other security or property) under or with respect to such Securities. All notices and communications to be given to the Holders and all payments to be made to Holders in respect of the Securities shall be given or made only to or upon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93" w:name="page94"/>
    <w:bookmarkEnd w:id="93"/>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order of the registered Holders (which shall be the Depositary or its nominee in the case of a Global Security). The rights of beneficial owners in any Global Security shall be exercised only through the Depositary subject to the applicable rules and procedures of the Depositary. The Trustee and each Agent may rely and shall be fully protected in relying upon information furnished by the Depositary with respect to its members, participants and any beneficial owners.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Company in issuing the Securities may use “CUSIP,” “ISIN” and or “Common Code” numbers (if then generally in use), and, if so, the Trustee shall use “CUSIP,” “ISIN” and or “Common Code” numbers in notices of redemption as a convenience to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to Trustee; No Liability for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may, with respect to any Series of Securities, reserve the right to redeem and pay such Series of Securities or may covenant to redeem and pay such Series of Securities or any part thereof prior to the Stated Maturity thereof at such time and on such terms as provided for in Sections 3.7, 3.8, 3.9 and 3.10 hereof and, as applicable, in the Board Resolution and Officer’s Certificate or in the supplemental indenture relating to such Series.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at least five days before the date that notice of redemption is to be given to the Holders of the Securities (or such shorter notice as may be acceptable to the Trustee). The Trustee shall have no liability with respect to or obligation to calculate the redemption price of any Securities to be redeemed pursuant to this Indenture.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Selection of Securities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Unless otherwise indicated for a particular Series by a Board Resolution and Officer’s Certificate or by a supplemental indenture, if fewer than all of the Securities of a Series are to be redeemed at any time, the Trustee will select the Securities of such Series to be redeemed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in the case of Securities issued in global form, such Securities of such Series to be redeemed shall be selected in accordance with the procedures of the Depositary therefor) unless otherwise required by law or applicable stock exchange. The Trustee will not be liable for selections made as contemplated in this section.</w:t>
      </w:r>
    </w:p>
    <w:p>
      <w:pPr>
        <w:spacing w:after="0" w:line="1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No Securities of a Series in principal amount of less than the minimum authorized denomination can be redeemed in part.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94" w:name="page95"/>
    <w:bookmarkEnd w:id="9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 of purchase or redemption will be given to each Holder pursuant to Section 3.3 and Section 10.1.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and Officer’s Certificate or by supplemental indenture, at least 10 days but not more than 60 days before a redemption date, the Company will deliver a notice of redemption to each Holder whose Securities are to be redeemed in accordance with Section 10.1, except that redemption notices may be given more than 60 days prior to a redemption date if the notice is issued in connection with a defeasance of the Securities or a satisfaction and discharge of this Indenture pursuant to Article VIII 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Securities to be redeemed and corresponding CUSIP, ISIN or Common Code numbers, as applicable, and will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99" w:lineRule="exact"/>
        <w:rPr>
          <w:sz w:val="20"/>
          <w:szCs w:val="20"/>
          <w:color w:val="auto"/>
        </w:rPr>
      </w:pPr>
    </w:p>
    <w:p>
      <w:pPr>
        <w:ind w:left="1100" w:hanging="241"/>
        <w:spacing w:after="0"/>
        <w:tabs>
          <w:tab w:leader="none" w:pos="11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accrued interest, if any, and Additional Amounts, if any, to be paid;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Global Security is being redeemed in part, the portion of the principal amount of such Global Security to be redeemed and that, after the redemption date upon surrender of such Global Security, the principal amount thereof will be decreased by the portion thereof redeemed pursuant thereto;</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Certificated Security is being redeemed in part, the portion of the principal amount of such Security to be redeemed, and that, after the redemption date, upon surrender of such Security, a new Certificated Security or Certificated Securities in principal amount equal to the unredeemed portion thereof will be issued in the name of the Holder thereof upon cancellation of the original Certificated Security;</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Agent(s) to which the Securities are to be surrendered for redemption;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8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called for redemption must be surrendered to the relevant Paying Agent to collect the redemption price, plus accrued and unpaid interest, if any, and Additional Amounts, if any;</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redemption payment, interest and Additional Amounts, if any, on Securities called for redemption cease to accrue on and after the redemption date;</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Securities of the Series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0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Securities and/or Section of this Indenture pursuant to which the Securities called for redemption are being redeemed; and</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07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ISIN or Common Code numbers, if any, listed in such notice or printed on the Securities.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95" w:name="page96"/>
    <w:bookmarkEnd w:id="95"/>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At the Company’s written request, the Trustee shall give the notice of redemption in the Company’s name and at its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has delivered to the Trustee, at least five days prior to the date that notice of redemption is to be given to the Holders of the Securities (or such shorter notice as may be acceptable to the Trustee), an Officer’s Certificate requesting that the Trustee give such notice and setting forth the information to be stated in such notice as provided in the preceding paragraph.</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Once notice of redemption is given as provided in Section 3.3, Securities of a Series called for redemption become due and payable on the redemption date and at the redemption price. Unless otherwise indicated for a particular Series by Board Resolution and Officer’s Certificate or by supplemental indenture, a notice of redemption may not be conditional. Upon surrender to the Paying Agent, such Securities shall be paid at the redemption price plus accrued interest to the redemption date.</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On or after any purchase or redemption date, unless the Company or the Guarantor defaults in payment of the purchase or redemption price, interest shall cease to accrue on Securities or portions thereof tendered for purchase or called for redemption.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312" w:lineRule="auto"/>
        <w:rPr>
          <w:sz w:val="20"/>
          <w:szCs w:val="20"/>
          <w:color w:val="auto"/>
        </w:rPr>
      </w:pPr>
      <w:r>
        <w:rPr>
          <w:rFonts w:ascii="Times New Roman" w:cs="Times New Roman" w:eastAsia="Times New Roman" w:hAnsi="Times New Roman"/>
          <w:sz w:val="17"/>
          <w:szCs w:val="17"/>
          <w:color w:val="auto"/>
        </w:rPr>
        <w:t>On or before 10:00 a.m., New York City time, on the redemption date, the Company shall deposit with the Paying Agent money in immediately available funds sufficient to pay the redemption price of and accrued interest, if any, on all Securities to be redeemed on that date.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Securities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Upon surrender of a Certificated Security that is redeemed in part, upon receipt of a Company Order, the Trustee shall authenticate for the Holder a new Certificated Security of the same Series and the same Maturity equal in principal amount to the unredeemed portion of the Security surrendered.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Unless otherwise indicated for a particular Series by Board Resolution and Officer’s Certificate or by supplemental indenture, the provisions of Sections 3.8 and 3.9 shall be applicable to any sinking fund for the retirement of Securities of a Series.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Satisfaction of Sinking Fund Payments with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Redemption of Securities for Sinking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Not less than 40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payment of cash in the currency in which the Securities of such Series are denominated (except as provided pursuant to Section 2.2), the portion thereof, if any, that is to be satisfied by delivering and crediting Securities of that Series pursuant to Section 3.8 and the basis for such credit. Together with such Officer’s Certificate, the Company will deliver to the Trustee any Securities to be so delivered. Not less than 30 days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Redemption Upon Changes in Tax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Company may redeem the Securities of any Series (and the Guarantor may redeem the Securities of any Series for which it has provided a Guarantee), in whole but not in part, at its discretion at any time upon giving notice to the Holders of such Securities in accordance with Section 3.3 (which notice will be irrevocable), at a redemption price equal to 100% of the aggregate principal amount thereof, together with accrued and unpaid interest, if any, to (but not including) the date fixed by the Company or the Guarantor, as applicable, for redemption (a “</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 and all Additional Amounts (if any) then due and which will become due on the Tax Redemption Date as a result of the redemption or otherwise (subject to the right of Holders of such Securities on the relevant record date to receive interest due on the relevant interest payment date and Additional Amounts (if any) in respect thereof), if on the next date on which any amount would be payable in respect of such Securities, the Company or the Guarantor, as applicable, is or would be required to pay Additional Amounts, and the Company or Guarantor cannot avoid any such payment obligation by taking reasonable measures available to it (for avoidance of doubt, in the case of the Guarantor, by causing the payment to be made by the Company), and the requirement arises as a result of:</w:t>
      </w:r>
    </w:p>
    <w:p>
      <w:pPr>
        <w:spacing w:after="0" w:line="86" w:lineRule="exact"/>
        <w:rPr>
          <w:sz w:val="20"/>
          <w:szCs w:val="20"/>
          <w:color w:val="auto"/>
        </w:rPr>
      </w:pPr>
    </w:p>
    <w:p>
      <w:pPr>
        <w:jc w:val="both"/>
        <w:ind w:left="440" w:right="180" w:firstLine="419"/>
        <w:spacing w:after="0" w:line="289" w:lineRule="auto"/>
        <w:tabs>
          <w:tab w:leader="none" w:pos="110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or change in, or change in the enforcement or interpretation of, the laws (or any regulations or rulings promulgated thereunder) of a Relevant Tax Jurisdiction which change or amendment becomes effective on or after the Issue Date of such Securities (or, if the applicable Relevant Tax Jurisdiction became a Relevant Tax Jurisdiction on a date after the Issue Date of such Securities, such later date),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97" w:name="page98"/>
    <w:bookmarkEnd w:id="97"/>
    <w:p>
      <w:pPr>
        <w:ind w:left="440" w:right="160" w:firstLine="419"/>
        <w:spacing w:after="0" w:line="261" w:lineRule="auto"/>
        <w:tabs>
          <w:tab w:leader="none" w:pos="11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amendment to, or change in, an official interpretation or application of such laws, regulations or rulings (including by virtue of a holding, judgment, order by a court of competent jurisdiction, action taken by any legislative body or taxing authority or change in published administrative practice) which amendment or change becomes effective on or after the Issue Date (or, if the applicable Relevant Tax Jurisdiction became a Relevant Tax Jurisdiction on a date after the Issue Date, such later date).</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Neither the Company nor the Guarantor, as applicable, will give any such notice of redemption earlier than 90 days prior to the earliest date on which the Company or the Guarantor, as applicable, would be obligated to make such payment or withholding if a payment in respect of the applicable Securities was then due, and the obligation to pay Additional Amounts must be in effect at the time such notice is given. Prior to the giving of any notice of redemption of the Securities pursuant to the foregoing, the Company or the Guarantor, as applicable, will deliver to the Trustee an opinion of independent tax counsel to the effect that there has been such amendment or change which would entitle the Company or the Guarantor to redeem such Securities hereunder. In addition, before the Company or the Guarantor, as applicable, gives notice of redemption of such Securities as described above, it will deliver to the Trustee an Officer’s Certificate to the effect that it cannot avoid its obligation to pay Additional Amounts by the Company or the Guarantor, as applicable, taking reasonable measures available to it.</w:t>
      </w:r>
    </w:p>
    <w:p>
      <w:pPr>
        <w:spacing w:after="0" w:line="192" w:lineRule="exact"/>
        <w:rPr>
          <w:sz w:val="20"/>
          <w:szCs w:val="20"/>
          <w:color w:val="auto"/>
        </w:rPr>
      </w:pPr>
    </w:p>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t>The Trustee will accept and shall be entitled to rely on such Officer’s Certificate and Opinion of Counsel as sufficient evidence of the existence and satisfaction of the conditions precedent as described above, in which event it will be conclusive and binding on the Holders of the Securities.</w:t>
      </w:r>
    </w:p>
    <w:p>
      <w:pPr>
        <w:spacing w:after="0" w:line="174" w:lineRule="exact"/>
        <w:rPr>
          <w:sz w:val="20"/>
          <w:szCs w:val="20"/>
          <w:color w:val="auto"/>
        </w:rPr>
      </w:pPr>
    </w:p>
    <w:p>
      <w:pPr>
        <w:ind w:right="80" w:firstLine="991"/>
        <w:spacing w:after="0" w:line="267" w:lineRule="auto"/>
        <w:rPr>
          <w:sz w:val="20"/>
          <w:szCs w:val="20"/>
          <w:color w:val="auto"/>
        </w:rPr>
      </w:pPr>
      <w:r>
        <w:rPr>
          <w:rFonts w:ascii="Times New Roman" w:cs="Times New Roman" w:eastAsia="Times New Roman" w:hAnsi="Times New Roman"/>
          <w:sz w:val="18"/>
          <w:szCs w:val="18"/>
          <w:color w:val="auto"/>
        </w:rPr>
        <w:t xml:space="preserve">The foregoing will also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any jurisdiction in which any successor Person to the Company or the Guarantor is incorporated, organized or resident for tax purposes, or any jurisdiction from or through which payment is made by or on behalf of such Person on such Securities or Guarantee, and any political subdivision thereof or therein.</w:t>
      </w:r>
    </w:p>
    <w:p>
      <w:pPr>
        <w:spacing w:after="0" w:line="39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Payment of Principal, Premium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The Company covenants and agrees for the benefit of the Holders of each Series of Securities that it will duly and punctually pay the principal of, premium, if any, and interest on the Securities of that Series in accordance with the terms of such Securities and this Indenture. Unless otherwise provided by Board Resolution and Officer’s Certificate or by supplemental indenture for a particular Series, on or before 10:00 a.m., New York City time, on the applicable payment date, the Company shall deposit with the Paying Agent money sufficient to pay the principal of, premium, if any, and interest, if any, on the Securities of each such Series in accordance with the terms of such Securities and this Indenture.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100" w:firstLine="419"/>
        <w:spacing w:after="0" w:line="254" w:lineRule="auto"/>
        <w:tabs>
          <w:tab w:leader="none" w:pos="110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within 120 days after the end of its fiscal year (which as of the date of this Indenture is December 31, or if the fiscal year with respect to the Company is changed so that it ends on a date other than December 31, such other fiscal year end date as the Company shall notify to the Trustee in writing) of the Company, an Officer’s Certificate complying with TIA § 314(a)(4) and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 and what action the Company is taking or proposes to take with respect thereto).</w:t>
      </w:r>
    </w:p>
    <w:p>
      <w:pPr>
        <w:spacing w:after="0" w:line="80" w:lineRule="exact"/>
        <w:rPr>
          <w:rFonts w:ascii="Times New Roman" w:cs="Times New Roman" w:eastAsia="Times New Roman" w:hAnsi="Times New Roman"/>
          <w:sz w:val="18"/>
          <w:szCs w:val="18"/>
          <w:color w:val="auto"/>
        </w:rPr>
      </w:pPr>
    </w:p>
    <w:p>
      <w:pPr>
        <w:jc w:val="both"/>
        <w:ind w:left="440" w:right="560" w:firstLine="419"/>
        <w:spacing w:after="0" w:line="266" w:lineRule="auto"/>
        <w:tabs>
          <w:tab w:leader="none" w:pos="111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Subject to Article V, the Company will do or cause to be done all things necessary to preserve and keep in full force and effect its corporate existence and rights (charter and statutory);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preserve any such right if its Board of Directors shall determine that the preservation thereof is no longer desirable in the conduct of its business and its Subsidiaries taken as a whole and that the loss thereof is not adverse in any material respect to the Holders of the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Guarantor will not, and will not permit any of its respective Subsidiaries to, incur, issue, assume or guarantee any notes, bonds, debentures or other similar evidences of indebtedness for money borrowed, secured by a Mortgage on any Restricted Property, or on any shares of stock, ownership interests in, or indebtedness of a Restricted Subsidiary, without effectively providing concurrently with the incurrence, issuance, assumption or guarantee of such secured indebtedness that the Securities (together with, if the Company or the Guarantor shall so determine, any of its other indebtedness or the indebtedness of any such Restricted Subsidiary then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99" w:name="page100"/>
    <w:bookmarkEnd w:id="9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existing or thereafter created ranking on a parity with the Securities or Guarantees) shall be secured equally and ratably with (or prior to) such secured indebtedness, so long as such secured indebtedness shall be so secured, unless, after giving effect thereto, the aggregate amount of all such secured indebtedness (excluding any indebtedness secured by Mortgages of the types referred to in clauses (a) through (j) below) would not exceed 20% of Consolidated Net Worth as shown on the Guarantor’s most recent consolidated quarterly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these provisions shall not apply to:</w:t>
      </w:r>
    </w:p>
    <w:p>
      <w:pPr>
        <w:spacing w:after="0" w:line="75" w:lineRule="exact"/>
        <w:rPr>
          <w:sz w:val="20"/>
          <w:szCs w:val="20"/>
          <w:color w:val="auto"/>
        </w:rPr>
      </w:pPr>
    </w:p>
    <w:p>
      <w:pPr>
        <w:ind w:left="1100" w:hanging="241"/>
        <w:spacing w:after="0"/>
        <w:tabs>
          <w:tab w:leader="none" w:pos="11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the date of original issuance of the Securities;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of, or on any shares of stock, ownership interests in or indebtedness of, any Person existing at the time such Person becomes a Subsidiary (including a Restricted Subsidiary) of the Company or the Guarantor;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or assets existing at the time of acquisition thereof (including acquisition through merger or consolidation) or to secure the payment of all or any part of the purchase price or cost of construction, development, expansion or improvement thereof or to secure any indebtedness incurred prior to, at the time of, or within 12 months after, the acquisition or completion of construction, development, expansion or improvement of such property or assets or its commencement of commercial operations for the purpose of financing all or any part of the purchase price or cost of construction, development, expansion or improvement thereof;</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Company, the Guarantor or any other Subsidiary of the Guarantor;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of the Guarantor’s property or assets or any property or assets of any of its Restricted Subsidiaries in favor of the United States of America, Canada or any other sovereign entity, or any state, province or other political subdivision thereof, or any entity, department, agency, instrumentality or comparable authority thereof, to secure partial, progress, advance or other payments pursuant to the provisions of any contract, statute, law, rule or regulation;</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of any property or assets to secure indebtedness of the pollution control, industrial revenue or other revenue bond type;</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incurred or deposits made (including Mortgages and deposits securing letters of credit or similar financial assurance) to secure the performance of or in connection with bids, tenders, statutory, governmental or private contractual or other obligations, surety, performance, completion, appeal or similar bonds, leases, return-of-money bonds and other obligations similar to any of the foregoing, in each case in the ordinary course of business;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arising by operation of law, including but not limited to Mortgages for taxes, assessments or similar charges that are not yet due or the validity of which is being contested in good faith by appropriate proceedings;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60"/>
          </w:cols>
          <w:pgMar w:left="440" w:top="270" w:right="599" w:bottom="1440" w:gutter="0" w:footer="0" w:header="0"/>
        </w:sectPr>
      </w:pPr>
    </w:p>
    <w:bookmarkStart w:id="100" w:name="page101"/>
    <w:bookmarkEnd w:id="100"/>
    <w:p>
      <w:pPr>
        <w:ind w:left="640" w:hanging="221"/>
        <w:spacing w:after="0"/>
        <w:tabs>
          <w:tab w:leader="none" w:pos="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Mortgages created in connection with the acquisition of property or assets, or a project financed with, Non-recourse Debt; and</w:t>
      </w:r>
    </w:p>
    <w:p>
      <w:pPr>
        <w:spacing w:after="0" w:line="117" w:lineRule="exact"/>
        <w:rPr>
          <w:rFonts w:ascii="Times New Roman" w:cs="Times New Roman" w:eastAsia="Times New Roman" w:hAnsi="Times New Roman"/>
          <w:sz w:val="18"/>
          <w:szCs w:val="18"/>
          <w:color w:val="auto"/>
        </w:rPr>
      </w:pPr>
    </w:p>
    <w:p>
      <w:pPr>
        <w:ind w:right="140" w:firstLine="419"/>
        <w:spacing w:after="0" w:line="266" w:lineRule="auto"/>
        <w:tabs>
          <w:tab w:leader="none" w:pos="63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as a whole or in part, of any Mortgage referred to in the foregoing clauses, inclusive; provided, that such extension, renewal or replacement Mortgage shall be limited to all or a part of the same property or assets that secured the Mortgage extended, renewed or replaced, plus improvements on such property or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Additional Amounts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419"/>
        <w:spacing w:after="0" w:line="252" w:lineRule="auto"/>
        <w:tabs>
          <w:tab w:leader="none" w:pos="66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by the Company under or with respect to the Securities, or by the Guarantor with respect to its Guarantee, will be made free and clear of and without withholding or deduction for, or on account of, any present or future tax, duty, levy, assessment or other governmental charge, including any related interest, penalties or additions to tax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unless the withholding or deduction of such Taxes is then required by law or by interpretation or administration of law. If any deduction or withholding for, or on account of, any Taxes imposed or levied by or on behalf of (1) any jurisdiction in which the Company (or a successor), or the Guarantor (or a successor), is then incorporated, organized or resident for tax purposes or any political subdivision thereof or therein (each, a “</w:t>
      </w:r>
      <w:r>
        <w:rPr>
          <w:rFonts w:ascii="Times New Roman" w:cs="Times New Roman" w:eastAsia="Times New Roman" w:hAnsi="Times New Roman"/>
          <w:sz w:val="18"/>
          <w:szCs w:val="18"/>
          <w:i w:val="1"/>
          <w:iCs w:val="1"/>
          <w:color w:val="auto"/>
        </w:rPr>
        <w:t>Relevant Tax Jurisdiction</w:t>
      </w:r>
      <w:r>
        <w:rPr>
          <w:rFonts w:ascii="Times New Roman" w:cs="Times New Roman" w:eastAsia="Times New Roman" w:hAnsi="Times New Roman"/>
          <w:sz w:val="18"/>
          <w:szCs w:val="18"/>
          <w:color w:val="auto"/>
        </w:rPr>
        <w:t>”) or (2) any jurisdiction from or through which payment is made or deemed made by or on behalf of the Company, or the Guarantor (including the jurisdiction of any Paying Agent for the applicable Securities) or any political subdivision thereof or therein (each, together with each Relevant Tax Jurisdiction, a “</w:t>
      </w:r>
      <w:r>
        <w:rPr>
          <w:rFonts w:ascii="Times New Roman" w:cs="Times New Roman" w:eastAsia="Times New Roman" w:hAnsi="Times New Roman"/>
          <w:sz w:val="18"/>
          <w:szCs w:val="18"/>
          <w:i w:val="1"/>
          <w:iCs w:val="1"/>
          <w:color w:val="auto"/>
        </w:rPr>
        <w:t>Tax Jurisdiction</w:t>
      </w:r>
      <w:r>
        <w:rPr>
          <w:rFonts w:ascii="Times New Roman" w:cs="Times New Roman" w:eastAsia="Times New Roman" w:hAnsi="Times New Roman"/>
          <w:sz w:val="18"/>
          <w:szCs w:val="18"/>
          <w:color w:val="auto"/>
        </w:rPr>
        <w:t>”) will at any time be required to be made from any payments made or deemed made by or on behalf of the Company under or with respect to the Securities, or the Guarantor under or with respect to the applicable Guarantee, including payments of principal, redemption price, interest or premium, the Company or the Guarantor, as applicable, will pay such additional amounts (the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as may be necessary in order that the net amounts received in respect of such payments by each beneficial owner of the applicable Securities after such withholding, deduction or imposition (including any such withholding, deduction or imposition from such Additional Amounts) will equal the respective amounts that would have been received in respect of such payments in the absence of such withholding or deduction;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Additional Amounts will be payable with respect to:</w:t>
      </w:r>
    </w:p>
    <w:p>
      <w:pPr>
        <w:spacing w:after="0" w:line="87" w:lineRule="exact"/>
        <w:rPr>
          <w:rFonts w:ascii="Times New Roman" w:cs="Times New Roman" w:eastAsia="Times New Roman" w:hAnsi="Times New Roman"/>
          <w:sz w:val="18"/>
          <w:szCs w:val="18"/>
          <w:color w:val="auto"/>
        </w:rPr>
      </w:pPr>
    </w:p>
    <w:p>
      <w:pPr>
        <w:ind w:left="540" w:firstLine="408"/>
        <w:spacing w:after="0" w:line="256" w:lineRule="auto"/>
        <w:tabs>
          <w:tab w:leader="none" w:pos="119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would not have been imposed but for the existence of any actual or deemed present or former connection between the Holder or the beneficial owner of such Securities or Guarantees, as applicable, and the applicable Tax Jurisdiction (including, without limitation, being or having been a national, resident or citizen of, being or having been engaged in a trade or business in, being or having been physically present in, or having or having had a permanent establishment in, such jurisdiction for Tax purposes), other than the holding of such Security, the enforcement of rights under such Security or under the Guarantee or the receipt of any payments in respect of such Securities or Guarantee;</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20"/>
          </w:cols>
          <w:pgMar w:left="880" w:top="270" w:right="499" w:bottom="1440" w:gutter="0" w:footer="0" w:header="0"/>
        </w:sectPr>
      </w:pPr>
    </w:p>
    <w:bookmarkStart w:id="101" w:name="page102"/>
    <w:bookmarkEnd w:id="101"/>
    <w:p>
      <w:pPr>
        <w:ind w:left="-20" w:right="20" w:firstLine="408"/>
        <w:spacing w:after="0" w:line="289" w:lineRule="auto"/>
        <w:tabs>
          <w:tab w:leader="none" w:pos="636"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Taxes, to the extent such Taxes were imposed as a result of the presentation of such Security for payment (where presentation is required) more than 30 days after the relevant payment is first made available for payment to the Holder (except to the extent that the Holder would have been entitled to Additional Amounts had such Security been presented on the last day of such 30-day period);</w:t>
      </w:r>
    </w:p>
    <w:p>
      <w:pPr>
        <w:spacing w:after="0" w:line="49" w:lineRule="exact"/>
        <w:rPr>
          <w:rFonts w:ascii="Times New Roman" w:cs="Times New Roman" w:eastAsia="Times New Roman" w:hAnsi="Times New Roman"/>
          <w:sz w:val="17"/>
          <w:szCs w:val="17"/>
          <w:color w:val="auto"/>
        </w:rPr>
      </w:pPr>
    </w:p>
    <w:p>
      <w:pPr>
        <w:ind w:left="640" w:hanging="252"/>
        <w:spacing w:after="0"/>
        <w:tabs>
          <w:tab w:leader="none" w:pos="6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transfer, personal property or similar Taxes;</w:t>
      </w:r>
    </w:p>
    <w:p>
      <w:pPr>
        <w:spacing w:after="0" w:line="117" w:lineRule="exact"/>
        <w:rPr>
          <w:rFonts w:ascii="Times New Roman" w:cs="Times New Roman" w:eastAsia="Times New Roman" w:hAnsi="Times New Roman"/>
          <w:sz w:val="18"/>
          <w:szCs w:val="18"/>
          <w:color w:val="auto"/>
        </w:rPr>
      </w:pPr>
    </w:p>
    <w:p>
      <w:pPr>
        <w:ind w:left="-20" w:right="100" w:firstLine="408"/>
        <w:spacing w:after="0" w:line="266" w:lineRule="auto"/>
        <w:tabs>
          <w:tab w:leader="none" w:pos="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on or with respect to any payment by the Company or Guarantor to the Holder if such Holder is a fiduciary, partnership, limited liability company or other Person other than the sole beneficial owner of such payment to the extent that Taxes would not have been imposed on such payment had such Holder been the sole beneficial owner of such Security;</w:t>
      </w:r>
    </w:p>
    <w:p>
      <w:pPr>
        <w:spacing w:after="0" w:line="67" w:lineRule="exact"/>
        <w:rPr>
          <w:rFonts w:ascii="Times New Roman" w:cs="Times New Roman" w:eastAsia="Times New Roman" w:hAnsi="Times New Roman"/>
          <w:sz w:val="18"/>
          <w:szCs w:val="18"/>
          <w:color w:val="auto"/>
        </w:rPr>
      </w:pPr>
    </w:p>
    <w:p>
      <w:pPr>
        <w:ind w:left="-20" w:right="500" w:firstLine="408"/>
        <w:spacing w:after="0" w:line="282" w:lineRule="auto"/>
        <w:tabs>
          <w:tab w:leader="none" w:pos="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or with respect to a payment made to a Holder of such Security who would have been able to avoid such withholding or deduction by presenting such Security (where presentation is required) to another Paying Agent;</w:t>
      </w:r>
    </w:p>
    <w:p>
      <w:pPr>
        <w:spacing w:after="0" w:line="53" w:lineRule="exact"/>
        <w:rPr>
          <w:rFonts w:ascii="Times New Roman" w:cs="Times New Roman" w:eastAsia="Times New Roman" w:hAnsi="Times New Roman"/>
          <w:sz w:val="18"/>
          <w:szCs w:val="18"/>
          <w:color w:val="auto"/>
        </w:rPr>
      </w:pPr>
    </w:p>
    <w:p>
      <w:pPr>
        <w:ind w:left="-20" w:right="620" w:firstLine="408"/>
        <w:spacing w:after="0" w:line="282" w:lineRule="auto"/>
        <w:tabs>
          <w:tab w:leader="none" w:pos="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other than by deduction or withholding from payments under, or with respect to, such Securities or the Guarantee;</w:t>
      </w:r>
    </w:p>
    <w:p>
      <w:pPr>
        <w:spacing w:after="0" w:line="53" w:lineRule="exact"/>
        <w:rPr>
          <w:rFonts w:ascii="Times New Roman" w:cs="Times New Roman" w:eastAsia="Times New Roman" w:hAnsi="Times New Roman"/>
          <w:sz w:val="18"/>
          <w:szCs w:val="18"/>
          <w:color w:val="auto"/>
        </w:rPr>
      </w:pPr>
    </w:p>
    <w:p>
      <w:pPr>
        <w:ind w:left="-20" w:firstLine="408"/>
        <w:spacing w:after="0" w:line="255" w:lineRule="auto"/>
        <w:tabs>
          <w:tab w:leader="none" w:pos="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to the extent such Taxes are imposed or withheld by reason of the failure of the Holder or beneficial owner of such Security, to comply with any written request of the Company or the Guarantor addressed to the Holder to satisfy any certification, identification, information or other reporting requirements, whether required by statute, treaty, regulation or administrative practice of the applicable Tax Jurisdiction, as a precondition to exemption from, or reduction in the rate of deduction or withholding of, Taxes imposed by the applicable Tax Jurisdiction (including, without limitation, a certification that the Holder or beneficial owner is not resident in such Tax Jurisdiction), but in each case, only to the extent the Holder or beneficial owner is legally entitled to provide such certification or documentation;</w:t>
      </w:r>
    </w:p>
    <w:p>
      <w:pPr>
        <w:spacing w:after="0" w:line="80" w:lineRule="exact"/>
        <w:rPr>
          <w:rFonts w:ascii="Times New Roman" w:cs="Times New Roman" w:eastAsia="Times New Roman" w:hAnsi="Times New Roman"/>
          <w:sz w:val="18"/>
          <w:szCs w:val="18"/>
          <w:color w:val="auto"/>
        </w:rPr>
      </w:pPr>
    </w:p>
    <w:p>
      <w:pPr>
        <w:ind w:left="-20" w:firstLine="408"/>
        <w:spacing w:after="0" w:line="266" w:lineRule="auto"/>
        <w:tabs>
          <w:tab w:leader="none" w:pos="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applicable to a payment made to any Holder or beneficial owner of the Securities with which the Company, the Guarantor or a transferee of the Securities do not deal at arm’s length (within the meaning of the Income Tax Act (Canada)) at the time of making such payment;</w:t>
      </w:r>
    </w:p>
    <w:p>
      <w:pPr>
        <w:spacing w:after="0" w:line="67" w:lineRule="exact"/>
        <w:rPr>
          <w:rFonts w:ascii="Times New Roman" w:cs="Times New Roman" w:eastAsia="Times New Roman" w:hAnsi="Times New Roman"/>
          <w:sz w:val="18"/>
          <w:szCs w:val="18"/>
          <w:color w:val="auto"/>
        </w:rPr>
      </w:pPr>
    </w:p>
    <w:p>
      <w:pPr>
        <w:ind w:left="-20" w:right="220" w:firstLine="408"/>
        <w:spacing w:after="0" w:line="282" w:lineRule="auto"/>
        <w:tabs>
          <w:tab w:leader="none" w:pos="6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Canadian withholding Taxes imposed on a payment under or with respect to the Securities or the Guarantee that is deemed under subsection 214(6) of the Income Tax Act (Canada) to be a dividend; or</w:t>
      </w:r>
    </w:p>
    <w:p>
      <w:pPr>
        <w:spacing w:after="0" w:line="53"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items (1) through (9) of this Section 4.6(a).</w:t>
      </w:r>
    </w:p>
    <w:p>
      <w:pPr>
        <w:spacing w:after="0" w:line="15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00"/>
          </w:cols>
          <w:pgMar w:left="1440" w:top="270" w:right="459" w:bottom="1440" w:gutter="0" w:footer="0" w:header="0"/>
        </w:sectPr>
      </w:pPr>
    </w:p>
    <w:bookmarkStart w:id="102" w:name="page103"/>
    <w:bookmarkEnd w:id="102"/>
    <w:p>
      <w:pPr>
        <w:ind w:left="4" w:firstLine="419"/>
        <w:spacing w:after="0" w:line="252" w:lineRule="auto"/>
        <w:tabs>
          <w:tab w:leader="none" w:pos="681"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the Guarantor, jointly and severally, will indemnify and hold harmless the Holders and beneficial owners of the Securities, and, upon written request of any Holder or beneficial owner, reimburse such Holder or beneficial owner for the amount of (i) any Taxes levied or imposed under the laws of Canada or any political subdivision thereof (“Canadian Taxes”) and payable by such Holder or beneficial owner in connection with payments made under or with respect to the Securities held by such Holder or beneficial owner or under the Guarantee (including, for greater certainty, any Taxes payable under Section 803 of the regulations under the Income Tax Act (Canada)); and (ii) any Canadian Taxes levied or imposed with respect to any reimbursement under the foregoing clause (i) or this clause (ii), so that the net amount received by such Holder or beneficial owner after such reimbursement will not be less than the net amount such Holder or beneficial owner would have received if the Canadian Taxes giving rise to the reimbursement described in clauses (i) and/or (ii) had not been imposed; provided, however, that the indemnification or reimbursement obligations provided for in this paragraph shall not extend to Canadian Taxes (a) for which the applicable Holder or beneficial owner would not have been eligible to receive payment of Additional Amounts hereunder by virtue of clauses</w:t>
      </w:r>
    </w:p>
    <w:p>
      <w:pPr>
        <w:spacing w:after="0" w:line="5" w:lineRule="exact"/>
        <w:rPr>
          <w:rFonts w:ascii="Times New Roman" w:cs="Times New Roman" w:eastAsia="Times New Roman" w:hAnsi="Times New Roman"/>
          <w:sz w:val="18"/>
          <w:szCs w:val="18"/>
          <w:color w:val="auto"/>
        </w:rPr>
      </w:pPr>
    </w:p>
    <w:p>
      <w:pPr>
        <w:ind w:left="4" w:right="120" w:hanging="4"/>
        <w:spacing w:after="0" w:line="255" w:lineRule="auto"/>
        <w:tabs>
          <w:tab w:leader="none" w:pos="25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(5) and (7) through (9) above (or any combination thereof) if the Company or the Guarantor had been required to withhold from such payments, (b) to the extent such Holder or beneficial owner received Additional Amounts with respect to such payments or (c) to the extent any such Canadian Taxes are computed by reference to such Holder or beneficial owner’s net income, revenue, profits or capital.</w:t>
      </w:r>
    </w:p>
    <w:p>
      <w:pPr>
        <w:spacing w:after="0" w:line="7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7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the Company and the Guarantor, as the case may be, will also pay and indemnify each beneficial owner for any present or future stamp, issue, registration, court or documentary Taxes, or any other excise or property Taxes, charges or similar levies (including penalties, interest and any other reasonable expenses related thereto) which are levied by an applicable Tax Jurisdiction on the execution, delivery, issuance, or registration of the Securities, or this Indenture or the related supplement, Guarantee or any other document or instrument referred to herein or therein.</w:t>
      </w:r>
    </w:p>
    <w:p>
      <w:pPr>
        <w:spacing w:after="0" w:line="75"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the Guarantor, as the case may be, becomes aware that it will be obligated to pay Additional Amounts with respect to any payment under or with respect to the Securities, or the Guarantee, the Company or the Guarantor, as the case may be, will deliver to the Trustee on a date that is at least 30 days prior to the date of that payment (unless the obligation to pay Additional Amounts arises fewer than 45 days prior to that payment date, in which case the Company or Guarantor shall notify the Trustee promptly thereafter but no later than the Business Day prior to the relevant payment date) an Officer’s Certificate stating the fact that Additional Amounts will be payable and the amount estimated to be so payable. The Officer’s Certificate(s) must also set forth any other information reasonably necessary to enable the Paying Agents to pay such Additional Amounts to Holders on the relevant payment date. The Trustee shall be entitled to rely solely on such Officer’s Certificate as conclusive proof that such payments are necessary.</w:t>
      </w:r>
    </w:p>
    <w:p>
      <w:pPr>
        <w:spacing w:after="0" w:line="8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Guarantor, as the case may be, will make all withholdings and deductions required by law in respect of the</w:t>
      </w:r>
    </w:p>
    <w:p>
      <w:pPr>
        <w:spacing w:after="0" w:line="27"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and will remit the full amount deducted or withheld to the applicable Tax authority in accordance with applicable law. The Company or the Guarantor will use its reasonable efforts to obtain Tax receipts from each Tax authority evidencing the payment of any Taxes so deducted</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4"/>
          </w:cols>
          <w:pgMar w:left="876" w:top="270" w:right="459" w:bottom="1440" w:gutter="0" w:footer="0" w:header="0"/>
        </w:sectPr>
      </w:pPr>
    </w:p>
    <w:bookmarkStart w:id="103" w:name="page104"/>
    <w:bookmarkEnd w:id="103"/>
    <w:p>
      <w:pPr>
        <w:ind w:left="440"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withheld. Upon reasonable written request, the Company or the Guarantor will furnish to the Trustee (or to a holder or beneficial owner upon written request), within a reasonable time after the date the payment of any Taxes so deducted or withheld is made, certified copies of Tax receipts evidencing payment by the Company or Guarantor, as the case may be, or if, notwithstanding such entity’s efforts to obtain receipts, receipts are not obtained, other evidence of payments (reasonably satisfactory to the Trustee) by such entity.</w:t>
      </w:r>
    </w:p>
    <w:p>
      <w:pPr>
        <w:spacing w:after="0" w:line="72" w:lineRule="exact"/>
        <w:rPr>
          <w:sz w:val="20"/>
          <w:szCs w:val="20"/>
          <w:color w:val="auto"/>
        </w:rPr>
      </w:pPr>
    </w:p>
    <w:p>
      <w:pPr>
        <w:ind w:left="440" w:right="40" w:firstLine="419"/>
        <w:spacing w:after="0" w:line="261" w:lineRule="auto"/>
        <w:tabs>
          <w:tab w:leader="none" w:pos="10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this Indenture there is mentioned, in any context, the payment of amounts based upon the principal amount of the Securities or of principal, interest or of any other amount payable under, or with respect to, any of the Securities or any Guarantee, such mention shall be deemed to include mention of the payment of Additional Amounts to the extent that, in such context, Additional Amounts are, were or would be payable in respect thereof.</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obligations in this Section 4.6 will survive any termination, defeasance or discharge of this Indenture, any transfer by a Holder or beneficial owner of the Securities, and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to any jurisdiction in which any successor Person to the Company or the Guarantor is incorporated, organized or resident for tax purposes or any jurisdiction from or through which payment is made by or on behalf of such Person on the applicable Securities (or any Guarantee) and any political subdivision thereof or therein.</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Notwithstanding any provision herein or in the Securities or the Guarantee to the contrary, none of the Trustee or any Agent shall be required to determine the identity of a beneficial owner or be liable for any determination thereof by the Company or the Guarantor.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6"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Securities are outstanding, the Guarantor shall file with the Trustee, within 15 days after the Guarantor files with the SEC, copies of the annual reports and of the information, documents and other reports (or copies of such portions of any of the foregoing as the SEC may from time to time by rules and regulations prescribe) that the Guarantor may be required to file with the SEC pursuant to Section 13 or Section 15(d) of the Exchange Act. The Guarantor shall be deemed to have complied with the previous sentence to the extent that such information, documents and reports are filed with the SEC via EDGAR (or any successor electronic delivery procedure). The Company shall also comply with the provisions of TIA § 314(a).</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obligation to determine if and when the Guarantor’s information is available on the SEC’s (EDGAR) website. The Guarantor shall either (i) provide the Trustee with prompt written notification of such time as the Guarantor becomes or ceases to be a reporting company or (ii) continue to provide the Trustee with the foregoing information.</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actual or constructive notice of any information contained therein or determinable from information contained therein, including the Company’s or the Guarantor’s compliance with any of their respective covenants hereunder (as to which the Trustee is entitled to rely exclusively on Officer’s Certificates).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SUCCESSORS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Consolidation, Amalgamation, Merger and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Neither the Company nor the Guarantor may consolidate, amalgamate or merge with or into any other Person or transfer or lease all or substantially all of its assets to any Person unless any successor or purchaser (if the Company or the Guarantor, as applicable, is not the surviving entity) expressly assumes its obligations under this Indenture and the Securities or its Guarantees, as applicable, by an indenture supplemental to this Indenture to which the Company or the Guarantor is a party, and immediately after which, no Default or Event of Default, shall have happened and be continuing. An Officer’s Certificate and an Opinion of Counsel will be delivered to the Trustee, which will serve as conclusive evidence of compliance with this Section 5.1.</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Assumption by a Subsidiary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Any Subsidiary of the Guarantor may, at its option, assume the obligations of the Company under this Indenture and the Securities, provided that:</w:t>
      </w:r>
    </w:p>
    <w:p>
      <w:pPr>
        <w:spacing w:after="0" w:line="54" w:lineRule="exact"/>
        <w:rPr>
          <w:sz w:val="20"/>
          <w:szCs w:val="20"/>
          <w:color w:val="auto"/>
        </w:rPr>
      </w:pPr>
    </w:p>
    <w:p>
      <w:pPr>
        <w:ind w:left="440" w:right="80" w:firstLine="419"/>
        <w:spacing w:after="0" w:line="282"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expressly assumes such obligations in an assumption agreement or supplemental indenture duly executed and delivered to the Trustee,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assumption, no Default or Event of Default, shall have occurred and be continuing.</w:t>
      </w:r>
    </w:p>
    <w:p>
      <w:pPr>
        <w:spacing w:after="0" w:line="225" w:lineRule="exact"/>
        <w:rPr>
          <w:sz w:val="20"/>
          <w:szCs w:val="20"/>
          <w:color w:val="auto"/>
        </w:rPr>
      </w:pPr>
    </w:p>
    <w:p>
      <w:pPr>
        <w:jc w:val="both"/>
        <w:ind w:right="240" w:firstLine="991"/>
        <w:spacing w:after="0" w:line="270" w:lineRule="auto"/>
        <w:rPr>
          <w:sz w:val="20"/>
          <w:szCs w:val="20"/>
          <w:color w:val="auto"/>
        </w:rPr>
      </w:pPr>
      <w:r>
        <w:rPr>
          <w:rFonts w:ascii="Times New Roman" w:cs="Times New Roman" w:eastAsia="Times New Roman" w:hAnsi="Times New Roman"/>
          <w:sz w:val="17"/>
          <w:szCs w:val="17"/>
          <w:color w:val="auto"/>
        </w:rPr>
        <w:t>Upon any such assumption, the Person so assuming the Company’s obligations under this Indenture and the Securities shall succeed to, and be substituted for, and may exercise any right and power of, the Company under the Securities and this Indenture with the same effect as if such Person had been the issuer thereof and party hereto, and the Company shall be released from its liability as obligor under the Securities. An Officer’s Certificate and an Opinion of Counsel will be delivered to the Trustee, which will serve as conclusive evidence of compliance with this Section 5.2.</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Upon any such assumption, such Person so assuming the Company’s obligations under this Indenture and the Securities (or upon the written request of such Person, the Trustee), shall give notice to the Holders of such assumption.</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60" w:firstLine="991"/>
        <w:spacing w:after="0" w:line="315" w:lineRule="auto"/>
        <w:rPr>
          <w:sz w:val="20"/>
          <w:szCs w:val="20"/>
          <w:color w:val="auto"/>
        </w:rPr>
      </w:pPr>
      <w:r>
        <w:rPr>
          <w:rFonts w:ascii="Times New Roman" w:cs="Times New Roman" w:eastAsia="Times New Roman" w:hAnsi="Times New Roman"/>
          <w:sz w:val="17"/>
          <w:szCs w:val="17"/>
          <w:color w:val="auto"/>
        </w:rPr>
        <w:t>The following are “</w:t>
      </w:r>
      <w:r>
        <w:rPr>
          <w:rFonts w:ascii="Times New Roman" w:cs="Times New Roman" w:eastAsia="Times New Roman" w:hAnsi="Times New Roman"/>
          <w:sz w:val="17"/>
          <w:szCs w:val="17"/>
          <w:i w:val="1"/>
          <w:iCs w:val="1"/>
          <w:color w:val="auto"/>
        </w:rPr>
        <w:t>Events of Default</w:t>
      </w:r>
      <w:r>
        <w:rPr>
          <w:rFonts w:ascii="Times New Roman" w:cs="Times New Roman" w:eastAsia="Times New Roman" w:hAnsi="Times New Roman"/>
          <w:sz w:val="17"/>
          <w:szCs w:val="17"/>
          <w:color w:val="auto"/>
        </w:rPr>
        <w:t>” with respect to the Company’s Securities of any Series, unless in the establishing Board Resolution and Officer’s Certificate or the establishing supplemental indenture, it is provided that such Series shall not have the benefit of said Event of Default:</w:t>
      </w:r>
    </w:p>
    <w:p>
      <w:pPr>
        <w:spacing w:after="0" w:line="29" w:lineRule="exact"/>
        <w:rPr>
          <w:sz w:val="20"/>
          <w:szCs w:val="20"/>
          <w:color w:val="auto"/>
        </w:rPr>
      </w:pPr>
    </w:p>
    <w:p>
      <w:pPr>
        <w:jc w:val="center"/>
        <w:ind w:left="5420" w:right="1280" w:hanging="4561"/>
        <w:spacing w:after="0" w:line="454" w:lineRule="auto"/>
        <w:tabs>
          <w:tab w:leader="none" w:pos="111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interest on the Securities within 30 days after such interest becomes due and payable; 27</w:t>
      </w:r>
    </w:p>
    <w:p>
      <w:pPr>
        <w:sectPr>
          <w:pgSz w:w="11900" w:h="16838" w:orient="portrait"/>
          <w:cols w:equalWidth="0" w:num="1">
            <w:col w:w="10960"/>
          </w:cols>
          <w:pgMar w:left="440" w:top="270" w:right="499" w:bottom="1440" w:gutter="0" w:footer="0" w:header="0"/>
        </w:sectPr>
      </w:pPr>
    </w:p>
    <w:bookmarkStart w:id="105" w:name="page106"/>
    <w:bookmarkEnd w:id="105"/>
    <w:p>
      <w:pPr>
        <w:ind w:right="220" w:firstLine="419"/>
        <w:spacing w:after="0" w:line="282" w:lineRule="auto"/>
        <w:tabs>
          <w:tab w:leader="none" w:pos="6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Company’s failure to pay principal of the Securities at Maturity, or if applicable, the redemption price, when the same become due and payable;</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pay any sinking fund installment as and when the same becomes due and payable by the terms of the Securities, and continuance of such default for a period of 30 days;</w:t>
      </w:r>
    </w:p>
    <w:p>
      <w:pPr>
        <w:spacing w:after="0" w:line="53"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comply with any of the covenants or agreements in the Securities or this Indenture (other than an agreement or covenant that the Company has included in this Indenture solely for the benefit of another Series of Securities that does not constitute part of the Company’s Securities of such Series) for 90 days after written notice by the Trustee or by the Holders of at least 25% in principal amount of all outstanding Securities of such Series affected by that failure;</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66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the Guarantee of the Company’s Securities is held in any judicial proceeding to be unenforceable or invalid or ceases for any reason to be in full force and effect, or the Guarantor, or any authorized Person acting on behalf of the Guarantor, denies or disaffirms the Guarantor’s obligations under the Guarantee;</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the Guarantor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unable to pay its debts as the same become due;</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the Guarantor, as applicable, in an involuntary case,</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the Guarantor, as applicable, or for all or substantially all of its property, or</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0"/>
          </w:cols>
          <w:pgMar w:left="880" w:top="270" w:right="479" w:bottom="1440" w:gutter="0" w:footer="0" w:header="0"/>
        </w:sectPr>
      </w:pPr>
    </w:p>
    <w:bookmarkStart w:id="106" w:name="page107"/>
    <w:bookmarkEnd w:id="106"/>
    <w:p>
      <w:pPr>
        <w:ind w:left="980" w:right="120" w:firstLine="408"/>
        <w:spacing w:after="0" w:line="282" w:lineRule="auto"/>
        <w:tabs>
          <w:tab w:leader="none" w:pos="163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orders the liquidation of the Company or the Guarantor, as applicable, and the order or decree remains unstayed and in effect for 60 days;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Officer’s Certificate, supplemental indenture or Board Resolution under which such Series of Securities is issued.</w:t>
      </w:r>
    </w:p>
    <w:p>
      <w:pPr>
        <w:spacing w:after="0" w:line="16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i w:val="1"/>
          <w:iCs w:val="1"/>
          <w:color w:val="auto"/>
        </w:rPr>
        <w:t>Bankruptcy Law</w:t>
      </w:r>
      <w:r>
        <w:rPr>
          <w:rFonts w:ascii="Times New Roman" w:cs="Times New Roman" w:eastAsia="Times New Roman" w:hAnsi="Times New Roman"/>
          <w:sz w:val="18"/>
          <w:szCs w:val="18"/>
          <w:color w:val="auto"/>
        </w:rPr>
        <w:t xml:space="preserve">” means title 11, U.S. Code,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Companies’ Creditors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Arrangement Act </w:t>
      </w:r>
      <w:r>
        <w:rPr>
          <w:rFonts w:ascii="Times New Roman" w:cs="Times New Roman" w:eastAsia="Times New Roman" w:hAnsi="Times New Roman"/>
          <w:sz w:val="18"/>
          <w:szCs w:val="18"/>
          <w:color w:val="auto"/>
        </w:rPr>
        <w:t>(Canada), the</w:t>
      </w:r>
      <w:r>
        <w:rPr>
          <w:rFonts w:ascii="Times New Roman" w:cs="Times New Roman" w:eastAsia="Times New Roman" w:hAnsi="Times New Roman"/>
          <w:sz w:val="18"/>
          <w:szCs w:val="18"/>
          <w:i w:val="1"/>
          <w:iCs w:val="1"/>
          <w:color w:val="auto"/>
        </w:rPr>
        <w:t xml:space="preserve"> Winding-Up and Restructuring Act </w:t>
      </w:r>
      <w:r>
        <w:rPr>
          <w:rFonts w:ascii="Times New Roman" w:cs="Times New Roman" w:eastAsia="Times New Roman" w:hAnsi="Times New Roman"/>
          <w:sz w:val="18"/>
          <w:szCs w:val="18"/>
          <w:color w:val="auto"/>
        </w:rPr>
        <w:t>(Canada), the Curaçao Bankruptcy Decree 1931 (</w:t>
      </w:r>
      <w:r>
        <w:rPr>
          <w:rFonts w:ascii="Times New Roman" w:cs="Times New Roman" w:eastAsia="Times New Roman" w:hAnsi="Times New Roman"/>
          <w:sz w:val="18"/>
          <w:szCs w:val="18"/>
          <w:i w:val="1"/>
          <w:iCs w:val="1"/>
          <w:u w:val="single" w:color="auto"/>
          <w:color w:val="auto"/>
        </w:rPr>
        <w:t>Faillissementsbesluit</w:t>
      </w:r>
      <w:r>
        <w:rPr>
          <w:rFonts w:ascii="Times New Roman" w:cs="Times New Roman" w:eastAsia="Times New Roman" w:hAnsi="Times New Roman"/>
          <w:sz w:val="18"/>
          <w:szCs w:val="18"/>
          <w:color w:val="auto"/>
        </w:rPr>
        <w:t>), in each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amended, or any similar Federal or State law for the relief of debtors or similar law in Canada or Curaçao. The term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18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A Default under one Series of Securities issued under this Indenture will not necessarily be a default under another Series of Securities under this Indenture.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 of Maturity; Rescission and Annulment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If an Event of Default for a Series of Securities occurs and is continuing (other than an Event of Default referred to in Section 6.1(f) or (g)), the Trustee or the Holders of at least 25% in principal amount of such Series of outstanding Securities may require the Company to pay immediately the principal amount plus accrued and unpaid interest on such Securities. If an Event of Default relating to certain events of bankruptcy, insolvency or reorganization referred to in Section 6.1(f) or (g) occurs with respect to the Company (or with respect to the Guarantor), the principal amount plus accrued and unpaid interest on the Company’s Securities of that Series (or in the case of the Guarantor, all Securities) will become immediately due and payable without any action on the part of the Trustee or any Holder.</w:t>
      </w:r>
    </w:p>
    <w:p>
      <w:pPr>
        <w:spacing w:after="0" w:line="18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At any time after such a declaration of acceleration with respect to any Series has been made and before a judgment or decree for payment of the money due has been obtained by the Trustee as hereinafter in this Article VI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Collection of Indebtedness and Suits for Enforcement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covenants that if</w:t>
      </w:r>
    </w:p>
    <w:p>
      <w:pPr>
        <w:spacing w:after="0" w:line="117" w:lineRule="exact"/>
        <w:rPr>
          <w:sz w:val="20"/>
          <w:szCs w:val="20"/>
          <w:color w:val="auto"/>
        </w:rPr>
      </w:pPr>
    </w:p>
    <w:p>
      <w:pPr>
        <w:ind w:left="440" w:right="200" w:firstLine="419"/>
        <w:spacing w:after="0" w:line="282"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payment of any interest on any Security when such interest becomes due and payable and such default continues for a period of 30 days,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07" w:name="page108"/>
    <w:bookmarkEnd w:id="107"/>
    <w:p>
      <w:pPr>
        <w:ind w:left="1120" w:hanging="261"/>
        <w:spacing w:after="0"/>
        <w:tabs>
          <w:tab w:leader="none" w:pos="11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is made in the payment of principal of any Security at the Maturity thereof, or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is made in the deposit of any sinking fund payment when and as due by the terms of a Security,</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then, </w:t>
      </w:r>
      <w:r>
        <w:rPr>
          <w:rFonts w:ascii="Times New Roman" w:cs="Times New Roman" w:eastAsia="Times New Roman" w:hAnsi="Times New Roman"/>
          <w:sz w:val="18"/>
          <w:szCs w:val="18"/>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such Securities for principal, premium, if any,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8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80"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75" w:lineRule="exact"/>
        <w:rPr>
          <w:sz w:val="20"/>
          <w:szCs w:val="20"/>
          <w:color w:val="auto"/>
        </w:rPr>
      </w:pPr>
    </w:p>
    <w:p>
      <w:pPr>
        <w:jc w:val="both"/>
        <w:ind w:left="440" w:right="360" w:firstLine="419"/>
        <w:spacing w:after="0" w:line="261" w:lineRule="auto"/>
        <w:tabs>
          <w:tab w:leader="none" w:pos="110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moneys or other property payable or deliverable on any such claims and to distribute the same,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108" w:name="page109"/>
    <w:bookmarkEnd w:id="108"/>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80"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Trustee May Enforce Claims Without Possession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Application of Money Collected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Any money collected by the Trustee pursuant to this Article VI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First: To the payment of all amounts due the Trustee under Section 7.7; and</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for principal of, premium, if any,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Third: To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Holder of Securities of any Series may pursue any remedy under this Indenture applicable to such Securities only if:</w:t>
      </w:r>
    </w:p>
    <w:p>
      <w:pPr>
        <w:spacing w:after="0" w:line="117" w:lineRule="exact"/>
        <w:rPr>
          <w:sz w:val="20"/>
          <w:szCs w:val="20"/>
          <w:color w:val="auto"/>
        </w:rPr>
      </w:pPr>
    </w:p>
    <w:p>
      <w:pPr>
        <w:ind w:left="1100" w:hanging="241"/>
        <w:spacing w:after="0"/>
        <w:tabs>
          <w:tab w:leader="none" w:pos="11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 for such Series of Securities;</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such outstanding Series of Securities make a written request to the Trustee to pursue the remedy;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09" w:name="page110"/>
    <w:bookmarkEnd w:id="109"/>
    <w:p>
      <w:pPr>
        <w:ind w:left="440" w:right="180" w:firstLine="419"/>
        <w:spacing w:after="0" w:line="282" w:lineRule="auto"/>
        <w:tabs>
          <w:tab w:leader="none" w:pos="110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Holders furnish to the Trustee indemnity or security reasonably satisfactory to the Trustee against the costs, expenses and liabilities which might be incurred by it in compliance with such request;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act for a period of 60 days after receipt of notice and furnishing of indemnity or security; and</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that 60-day period, the Holders of a majority in principal amount of the outstanding Securities of such Series do not give the Trustee a direction inconsistent with the request.</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This provision does not, however, affect the right of a Holder of Securities to sue for enforcement of any overdue payment with respect to such Securities.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Unconditional Right of Holders to Receive Principal and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Restoration of Rights and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1"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Rights and Remedies Cumulative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Delay or Omission Not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VI or by law to the Trustee or to the Holders may be exercised from time to time, and as often as may be deemed expedient, by the Trustee or by the Holders, as the case may be.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Control by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68" w:lineRule="exact"/>
        <w:rPr>
          <w:sz w:val="20"/>
          <w:szCs w:val="20"/>
          <w:color w:val="auto"/>
        </w:rPr>
      </w:pPr>
    </w:p>
    <w:p>
      <w:pPr>
        <w:ind w:left="1100" w:hanging="241"/>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direction shall not be in conflict with any rule of law or with this Indenture,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which is not inconsistent with such direction, and</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the right to decline to follow any such direction if the Trustee in good faith shall, by a Responsible Officer of the Trustee, determine that the proceeding so directed would involve the Trustee in personal liability or that it will not be adequately indemnified against the costs, expenses and liabilities which might be incurred by it in complying with such direction.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(i) a Default in the payment of the principal of or interest on any Security of such Series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Holders of a majority in principal amount of the outstanding Securities of any Series may rescind an acceleration and its consequences, including any related payment default that resulted from such acceleration), or (ii) a Default in respect of a provision contained in this Indenture that cannot be modified or amended without the consent of the Holder of each outstanding Security affected thereby.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0" w:right="479" w:bottom="1440" w:gutter="0" w:footer="0" w:header="0"/>
        </w:sectPr>
      </w:pPr>
    </w:p>
    <w:bookmarkStart w:id="111" w:name="page112"/>
    <w:bookmarkEnd w:id="111"/>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300" w:firstLine="419"/>
        <w:spacing w:after="0" w:line="266" w:lineRule="auto"/>
        <w:tabs>
          <w:tab w:leader="none" w:pos="11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such exercise, as a prudent person would exercise or use under the circumstances in the conduct of his or her own affairs.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with respect to the Securities of any Series: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that are specifically set forth in this Indenture and no others, and no implied covenants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shall examine such certificates and opinions to determine whether, on their face, they appear to conform to the requirements of this Indenture.</w:t>
      </w:r>
    </w:p>
    <w:p>
      <w:pPr>
        <w:spacing w:after="0" w:line="71" w:lineRule="exact"/>
        <w:rPr>
          <w:rFonts w:ascii="Times New Roman" w:cs="Times New Roman" w:eastAsia="Times New Roman" w:hAnsi="Times New Roman"/>
          <w:sz w:val="18"/>
          <w:szCs w:val="18"/>
          <w:color w:val="auto"/>
        </w:rPr>
      </w:pPr>
    </w:p>
    <w:p>
      <w:pPr>
        <w:ind w:left="440" w:right="840" w:firstLine="419"/>
        <w:spacing w:after="0" w:line="282" w:lineRule="auto"/>
        <w:tabs>
          <w:tab w:leader="none" w:pos="11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negligent action, its own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7.1;</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unless it is proved that the Trustee was negligent in ascertaining the pertinent facts; and</w:t>
      </w:r>
    </w:p>
    <w:p>
      <w:pPr>
        <w:spacing w:after="0" w:line="53"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63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Section 6.12.</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the provisions of this Article VII.</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112" w:name="page113"/>
    <w:bookmarkEnd w:id="112"/>
    <w:p>
      <w:pPr>
        <w:ind w:right="160" w:firstLine="419"/>
        <w:spacing w:after="0" w:line="312" w:lineRule="auto"/>
        <w:tabs>
          <w:tab w:leader="none" w:pos="668"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provision of this Indenture shall require the Trustee to expend or risk its own funds or incur any liability. The Trustee may refuse to perform any duty or exercise any right or power unless it receives indemnity reasonably satisfactory to it against any loss, liability or expense.</w:t>
      </w:r>
    </w:p>
    <w:p>
      <w:pPr>
        <w:spacing w:after="0" w:line="31" w:lineRule="exact"/>
        <w:rPr>
          <w:rFonts w:ascii="Times New Roman" w:cs="Times New Roman" w:eastAsia="Times New Roman" w:hAnsi="Times New Roman"/>
          <w:sz w:val="17"/>
          <w:szCs w:val="17"/>
          <w:color w:val="auto"/>
        </w:rPr>
      </w:pPr>
    </w:p>
    <w:p>
      <w:pPr>
        <w:ind w:firstLine="419"/>
        <w:spacing w:after="0" w:line="261" w:lineRule="auto"/>
        <w:tabs>
          <w:tab w:leader="none" w:pos="64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or investment of any money received by it except as the Trustee may agree in writing with the Company. Money held in trust by the Trustee need not be segregated from other funds except to the extent required by law. All money received by the Trustee shall, until applied as herein provided, be held in trust for the payment of the principal of, premium (if any) and interest on and Additional Amounts with respect to the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419"/>
        <w:spacing w:after="0" w:line="281" w:lineRule="auto"/>
        <w:tabs>
          <w:tab w:leader="none" w:pos="66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conclusively rely and shall be fully protected in acting or refraining from acting, upon any resolution, certificate, statement, instrument, opinion, report, notice, request, direction, consent, order, note, debenture or other paper or document believed by it to be genuine and to have been signed or presented by the proper Person. The Trustee need not investigate any fact or matter stated in any resolution, certificate, statement, instrument, opinion, report, notice, request, direction, consent, order, bond, security or other paper or document.</w:t>
      </w:r>
    </w:p>
    <w:p>
      <w:pPr>
        <w:spacing w:after="0" w:line="56" w:lineRule="exact"/>
        <w:rPr>
          <w:rFonts w:ascii="Times New Roman" w:cs="Times New Roman" w:eastAsia="Times New Roman" w:hAnsi="Times New Roman"/>
          <w:sz w:val="17"/>
          <w:szCs w:val="17"/>
          <w:color w:val="auto"/>
        </w:rPr>
      </w:pPr>
    </w:p>
    <w:p>
      <w:pPr>
        <w:ind w:right="40" w:firstLine="419"/>
        <w:spacing w:after="0" w:line="281" w:lineRule="auto"/>
        <w:tabs>
          <w:tab w:leader="none" w:pos="67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instruction, an Officer’s Certificate or an Opinion of Counsel or both to be provided. The Trustee shall not be liable for any action it takes or omits to take in good faith in reliance on such instruction, Officer’s Certificate or Opinion of Counsel. 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56" w:lineRule="exact"/>
        <w:rPr>
          <w:rFonts w:ascii="Times New Roman" w:cs="Times New Roman" w:eastAsia="Times New Roman" w:hAnsi="Times New Roman"/>
          <w:sz w:val="17"/>
          <w:szCs w:val="17"/>
          <w:color w:val="auto"/>
        </w:rPr>
      </w:pPr>
    </w:p>
    <w:p>
      <w:pPr>
        <w:ind w:right="120" w:firstLine="419"/>
        <w:spacing w:after="0" w:line="282" w:lineRule="auto"/>
        <w:tabs>
          <w:tab w:leader="none" w:pos="66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agents, attorneys, custodians or nominees and shall not be responsible for the misconduct or negligence of any agent, attorney, custodian or nominee appointed with due care.</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conferred upon it by this Indenture or with respect to any action it takes or omits to take in good faith in accordance with a direction received by it from the Holders of a majority in aggregate principal amount of the relevant Series of Securities outstanding.</w:t>
      </w:r>
    </w:p>
    <w:p>
      <w:pPr>
        <w:spacing w:after="0" w:line="67" w:lineRule="exact"/>
        <w:rPr>
          <w:rFonts w:ascii="Times New Roman" w:cs="Times New Roman" w:eastAsia="Times New Roman" w:hAnsi="Times New Roman"/>
          <w:sz w:val="18"/>
          <w:szCs w:val="18"/>
          <w:color w:val="auto"/>
        </w:rPr>
      </w:pPr>
    </w:p>
    <w:p>
      <w:pPr>
        <w:ind w:firstLine="419"/>
        <w:spacing w:after="0" w:line="282" w:lineRule="auto"/>
        <w:tabs>
          <w:tab w:leader="none" w:pos="66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or the Guarantor, as applicable, shall be sufficient if signed by an Officer of the Company or the Guarantor, as applicable.</w:t>
      </w:r>
    </w:p>
    <w:p>
      <w:pPr>
        <w:spacing w:after="0" w:line="53" w:lineRule="exact"/>
        <w:rPr>
          <w:rFonts w:ascii="Times New Roman" w:cs="Times New Roman" w:eastAsia="Times New Roman" w:hAnsi="Times New Roman"/>
          <w:sz w:val="18"/>
          <w:szCs w:val="18"/>
          <w:color w:val="auto"/>
        </w:rPr>
      </w:pPr>
    </w:p>
    <w:p>
      <w:pPr>
        <w:ind w:right="280" w:firstLine="419"/>
        <w:spacing w:after="0" w:line="261" w:lineRule="auto"/>
        <w:tabs>
          <w:tab w:leader="none" w:pos="63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Indenture to the contrary notwithstanding, in no event shall the Trustee be liable under or in connection with this Indenture for indirect, special, incidental, punitive or consequential losses or damages of any kind whatsoever, including but not limited to lost profits, whether or not foreseeable, even if the Trustee has been advised of the possibility thereof and regardless of the form of action in which such damages are sought.</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0"/>
          </w:cols>
          <w:pgMar w:left="880" w:top="270" w:right="479" w:bottom="1440" w:gutter="0" w:footer="0" w:header="0"/>
        </w:sectPr>
      </w:pPr>
    </w:p>
    <w:bookmarkStart w:id="113" w:name="page114"/>
    <w:bookmarkEnd w:id="113"/>
    <w:p>
      <w:pPr>
        <w:ind w:left="440" w:firstLine="419"/>
        <w:spacing w:after="0" w:line="261"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be under no obligation to exercise any of the trusts or powers vested in it by this Indenture at the request, order or direction of any of the Holders of Securities pursuant to the provisions of this Indenture, unless such Holders of Securities shall have offered to the Trustee, security or indemnity reasonably satisfactory to the Trustee against the costs, expenses and liabilities which might be incurred therein or thereby.</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Event of Default with respect to the Securities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0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request, and the Company and the Guarantor shall each deliver an Officer’s Certificate setting forth the specimen signatures and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herein to the contrary, in no event shall the Trustee be liable for any failure or delay in the performance of its obligations under this Indenture because of circumstances beyond its control, including, but not limited to, pandemic, acts of God, flood, war (whether declared or undeclared), terrorism, fire, riot, strikes or work stoppages for any reason, embargo, government action, including any laws, ordinances, regulations or the like which restrict or prohibit the providing of the services contemplated by this Indenture, inability to obtain material, equipment, or communications or computer facilities, or the failure of equipment or interruption of communications or computer facilities, and other causes beyond its control whether or not of the same class or kind as specifically named above.</w:t>
      </w:r>
    </w:p>
    <w:p>
      <w:pPr>
        <w:spacing w:after="0" w:line="79"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each Agent, and each other agent, custodian and other Person employed to act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May Hold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500" w:firstLine="991"/>
        <w:spacing w:after="0" w:line="266"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Securities and may otherwise deal with the Company or any of its Affiliates with the same rights it would have if it were not Trustee. Any Agent may do the same with like rights and duties. However, the Trustee is subject to Sections 7.10 and 7.11.</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114" w:name="page115"/>
    <w:bookmarkEnd w:id="1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The Trustee makes no representation as to the validity, sufficiency or adequacy of any offering materials, this Indenture, the Securities or the Guarantees, it shall not be accountable for the Company’s use of the proceeds from the Securities or any money paid to the Company or upon the Company’s direction under any provision hereof, and it shall not be responsible for any statement or recital herein or any statement in any offering materials or the Securities other than its certificate of authentication.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with respect to the Securities of any Series occurs and is continuing and it is actually known to the Trustee, the Trustee shall give to Holders of Securities of such Series a notice of the Default or Event of Default within 90 days after the Trustee has knowledge of such Default or Event of Default in accordance with Section 7.2(h). Except in the case of a Default or Event of Default in payment of principal of, premium (if any) and interest on and Additional Amounts or any sinking fund installment with respect to the Securities of such Series, the Trustee may withhold the notice if and so long as a Responsible Officer in good faith determines that withholding the notice is in the interests of Holders of Securities of such Series to do so.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Within 60 days after May 15 of each year after the execution of this Indenture, the Trustee shall give to Holders of each Series of Securities and the Company a brief report dated as of such reporting date that complies with TIA § 313(a);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event described in TIA § 313(a) has occurred within the twelve months preceding the reporting date with respect to any Series of Securities, no report need be transmitted to Holders of such Series or the Company. The Trustee also shall comply with TIA § 313(b). The Trustee shall also transmit by mail all reports if and as required by TIA §§ 313(c) and 313(d).</w:t>
      </w:r>
    </w:p>
    <w:p>
      <w:pPr>
        <w:spacing w:after="0" w:line="183" w:lineRule="exact"/>
        <w:rPr>
          <w:sz w:val="20"/>
          <w:szCs w:val="20"/>
          <w:color w:val="auto"/>
        </w:rPr>
      </w:pPr>
    </w:p>
    <w:p>
      <w:pPr>
        <w:ind w:right="340" w:firstLine="991"/>
        <w:spacing w:after="0" w:line="266" w:lineRule="auto"/>
        <w:rPr>
          <w:sz w:val="20"/>
          <w:szCs w:val="20"/>
          <w:color w:val="auto"/>
        </w:rPr>
      </w:pPr>
      <w:r>
        <w:rPr>
          <w:rFonts w:ascii="Times New Roman" w:cs="Times New Roman" w:eastAsia="Times New Roman" w:hAnsi="Times New Roman"/>
          <w:sz w:val="18"/>
          <w:szCs w:val="18"/>
          <w:color w:val="auto"/>
        </w:rPr>
        <w:t>A copy of each report at the time of its transmittal to Holders of a Series of Securities shall be filed by the Company with the SEC and each securities exchange, if any, on which the Securities of such Series are listed. The Company shall notify the Trustee if and when any Series of Securities is listed on or delisted from any securities exchange.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Company and the Guarantor, jointly and severally, agree to pay to the Trustee for its acceptance of this Indenture and services hereunder such compensation as the Company or the Guarantor and the Trustee shall from time to time agree in writing. The Trustee’s compensation shall not be limited by any law on compensation of a trustee of an express trust. The Company and the Guarantor agrees to reimburse the Trustee upon request for all reasonable disbursements, advances and expenses incurred by it. Such expenses shall include the reasonable compensation, disbursements and expenses of the Trustee’s agents and counsel.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115" w:name="page116"/>
    <w:bookmarkEnd w:id="115"/>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and the Guarantor, jointly and severally, hereby indemnify the Trustee from, and agree to hold it harmless for, from and against any damage, cost, claim, loss, liability or expense (including, without limitation, the reasonable fees and expenses of the Trustee’s agents and counsel) incurred by it arising out of or in connection with its acceptance and administration of the trusts set forth under this Indenture, the performance of its obligations and/or the exercise of its rights hereunder, including, without limitation, the reasonable costs and expenses of defending itself against any claim, except as set forth in the next following paragraph. The Trustee shall notify the Company promptly of any claim for which it may seek indemnity. The Company and the Guarantor, as applicable, shall defend the claim, with counsel reasonably acceptable to the Trustee, and the Trustee shall cooperate in the defense, unless, the Trustee, in its reasonable discretion, determines that any actual or potential conflict of interest may exist, in which case the Trustee may have separate counsel, reasonably acceptable to the Company and the Guarantor, as applicable, and the Company and the Guarantor shall pay the reasonable fees and expenses of such counsel. The Company need not pay for any settlement made without its consent.</w:t>
      </w:r>
    </w:p>
    <w:p>
      <w:pPr>
        <w:spacing w:after="0" w:line="188"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The Company shall not be obligated to reimburse any expense or indemnify against any loss or liability incurred by the Trustee through the Trustee’s own negligence or bad faith.</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To secure the payment obligations of the Company and the Guarantor in this Section 7.7, the Trustee shall have a lien prior to the Securities on all money or property held or collected by the Trustee, except that held in trust to pay principal of, premium (if any) and interest on and any Additional Amounts with respect to Securities of any Series. Such lien and the obligations of the Company and the Guarantor under this Section 7.7 shall survive the satisfaction and discharge of this Indenture, the payment of the Securities and/or the resignation or removal of the Trustee.</w:t>
      </w:r>
    </w:p>
    <w:p>
      <w:pPr>
        <w:spacing w:after="0" w:line="180"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When the Trustee incurs expenses or renders services in connection with an Event of Default, the expenses (including the reasonable charges and expenses of its counsel) and the compensation for the services are intended to constitute expenses of administration under any applicable bankruptcy, insolvency or other similar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 resignation or removal of the Trustee and appointment of a successor Trustee shall become effective only upon the successor Trustee’s acceptance of appointment as provided in this Section 7.8.</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and be discharged at any time with respect to the Securities of one or more Series by so notifying the Company. The Holders of a majority in principal amount of the then outstanding Securities of any Series may remove the Trustee with respect to the Securities of such Series by so notifying the Trustee and the Company. The Company may remove the Trustee for any or all Series of the Securities if:</w:t>
      </w:r>
    </w:p>
    <w:p>
      <w:pPr>
        <w:spacing w:after="0" w:line="68" w:lineRule="exact"/>
        <w:rPr>
          <w:sz w:val="20"/>
          <w:szCs w:val="20"/>
          <w:color w:val="auto"/>
        </w:rPr>
      </w:pPr>
    </w:p>
    <w:p>
      <w:pPr>
        <w:ind w:left="1100" w:hanging="241"/>
        <w:spacing w:after="0"/>
        <w:tabs>
          <w:tab w:leader="none" w:pos="11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00" w:hanging="241"/>
        <w:spacing w:after="0"/>
        <w:tabs>
          <w:tab w:leader="none" w:pos="11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116" w:name="page117"/>
    <w:bookmarkEnd w:id="116"/>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 the Trustee becomes incapable of acting.</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with respect to the Securities of one or more Series, the Company shall promptly appoint a successor Trustee or Trustees with respect to the Securities of that or those Series (it being understood that any such successor Trustee may be appointed with respect to the Securities of one or more or all of such Series). Within one year after the successor Trustee with respect to the Securities of any Series takes office, the Holders of a majority in principal amount of the Securities of such Series then outstanding may appoint a successor Trustee to replace the successor Trustee appointed by the Company.</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successor Trustee with respect to the Securities of any Series does not take office within 30 days after the retiring Trustee resigns or is removed, the retiring Trustee, the Company or the Holders of at least 10% in principal amount of the then outstanding Securities of such Series may petition any court of competent jurisdiction for the appointment of a successor Trustee with respect to the Securities of such Series.</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If the Trustee with respect to the Securities of a Series fails to comply with Section 7.10, any Holder of Securities of such Series may petition any court of competent jurisdiction for the removal of the Trustee and the appointment of a successor Trustee with respect to the Securities of such Series.</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In case of the appointment of a successor Trustee with respect to all Securities, each such successor Trustee shall deliver a written acceptance of its appointment to the retiring Trustee and to the Company. Thereupon the resignation or removal of the retiring Trustee shall become effective, and the successor Trustee shall have all the rights, powers and duties of the retiring Trustee under this Indenture. The successor Trustee shall give a notice of its succession to Holders in accordance with Section 10.1. The retiring Trustee shall promptly transfer all property held by it as Trustee to the successor Trustee, subject to the lien provided for in Section 7.7.</w:t>
      </w:r>
    </w:p>
    <w:p>
      <w:pPr>
        <w:spacing w:after="0" w:line="183"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In case of the appointment of a successor Trustee with respect to the Securities of one or more Series, the Company, the retiring Trustee and each successor Trustee with respect to the Securities of one or more Series shall execute and deliver an indenture supplemental hereto in which each successor Trustee shall accept such appointment and that (1) shall confer to each successor Trustee all the rights, powers and duties of the retiring Trustee with respect to the Securities of that or those Series to which the appointment of such successor Trustee relates, (2) if the retiring Trustee is not retiring with respect to all Securities, shall confirm that all the rights, powers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Nothing herein or in such supplemental indenture shall constitute such Trustees co-trustees of the same trust, and each such Trustee shall be trustee of a trust or trusts hereunder separate and apart from any trust or trusts hereunder administered by any other such Trustee. Upon the execution and delivery of such supplemental indenture, the resignation or removal of the retiring Trustee shall become effective to the extent provided therein and each such successor Trustee shall have all the rights, powers and duties of the retiring Trustee with respect to the Securities of that or those Series 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117" w:name="page118"/>
    <w:bookmarkEnd w:id="117"/>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the appointment of such successor Trustee relates. On request of the Company, or any successor Trustee, such retiring Trustee shall transfer to such successor Trustee all property held by such retiring Trustee as Trustee with respect to the Securities of that or those Series to which the appointment of such successor Trustee relates. Such retiring Trustee shall, however, have the right to deduct its unpaid fees and expenses, including attorneys’ fees.</w:t>
      </w:r>
    </w:p>
    <w:p>
      <w:pPr>
        <w:spacing w:after="0" w:line="180"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Notwithstanding replacement of the Trustee or Trustees pursuant to this Section 7.8, the obligations of the Company or the Guarantor under Section 7.7 shall continue for the benefit of the retiring Trustee or Trustees.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 etc.</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Subject to Section 7.10, if the Trustee consolidates, amalgamates, merges or converts into, or transfers all or substantially all of its corporate trust business (including this transaction) to, another corporation, the successor corporation without any further act shall be the successor Trustee.</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case any Securities shall have been authenticated, but not delivered, by the Trustee then in office, any successor by merger, amalgamation, conversion or consolidation to such authenticating Trustee may adopt such authentication and deliver the Securities so authenticated; and in case at that time any of the Securities shall not have been authenticated, any successor to the Trustee may authenticate such Securities either in the name of any predecessor hereunder or in the name of the successor to the Trustee; and in all such cases such certificates shall have the full force which it is anywhere in the Securities or in this Indenture provided that the certificate of the Trustee shall have.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There shall at all times be a Trustee hereunder which shall be a corporation or banking association organized and doing business under the laws of the United States, any State thereof or the District of Columbia and authorized under such laws to exercise corporate trust power, shall be subject to supervision or examination by Federal or State (or the District of Columbia) authority and shall have, or be a subsidiary of a bank or bank holding company having, a combined capital and surplus of at least $50 million as set forth in its most recent published annual report of condition.</w:t>
      </w:r>
    </w:p>
    <w:p>
      <w:pPr>
        <w:spacing w:after="0" w:line="180" w:lineRule="exact"/>
        <w:rPr>
          <w:sz w:val="20"/>
          <w:szCs w:val="20"/>
          <w:color w:val="auto"/>
        </w:rPr>
      </w:pPr>
    </w:p>
    <w:p>
      <w:pPr>
        <w:jc w:val="both"/>
        <w:ind w:right="360" w:firstLine="991"/>
        <w:spacing w:after="0" w:line="266" w:lineRule="auto"/>
        <w:rPr>
          <w:sz w:val="20"/>
          <w:szCs w:val="20"/>
          <w:color w:val="auto"/>
        </w:rPr>
      </w:pPr>
      <w:r>
        <w:rPr>
          <w:rFonts w:ascii="Times New Roman" w:cs="Times New Roman" w:eastAsia="Times New Roman" w:hAnsi="Times New Roman"/>
          <w:sz w:val="18"/>
          <w:szCs w:val="18"/>
          <w:color w:val="auto"/>
        </w:rPr>
        <w:t>The Indenture shall always have a Trustee who satisfies the requirements of TIA §§ 310(a)(1), 310(a)(2) and 310(a)(5). The Trustee is subject to and shall comply with the provisions of TIA § 310(b) during the period of time required by this Indenture. Nothing in this Indenture shall prevent the Trustee from filing with the SEC the application referred to in the penultimate paragraph of TIA § 310(b).</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The Trustee is subject to and shall comply with the provisions of TIA § 311(a), as if such section applied hereto, excluding any creditor relationship listed in TIA § 311(b). A Trustee who has resigned or been removed shall be subject to TIA § 311(a), as if such section applied hereto, to the extent indicated therein.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18" w:name="page119"/>
    <w:bookmarkEnd w:id="118"/>
    <w:p>
      <w:pPr>
        <w:jc w:val="center"/>
        <w:ind w:righ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DISCHARGE OF INDENTURE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 of Company’s Obligations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firstLine="419"/>
        <w:spacing w:after="0" w:line="261" w:lineRule="auto"/>
        <w:tabs>
          <w:tab w:leader="none" w:pos="6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shall cease to be of further effect with respect to the Securities of a Series (except that all obligations of the Company and the Guarantor under Section 7.7, the Trustee’s and Paying Agent’s obligations under Section 8.3 and the rights, powers, protections and privileges accorded the Trustee under Article VII shall survive), and the Trustee, on written demand of the Company, shall execute instruments acknowledging the satisfaction and discharge of this Indenture with respect to the Securities of such Series, when:</w:t>
      </w:r>
    </w:p>
    <w:p>
      <w:pPr>
        <w:spacing w:after="0" w:line="71"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1540" w:right="580" w:hanging="1"/>
        <w:spacing w:after="0" w:line="282" w:lineRule="auto"/>
        <w:tabs>
          <w:tab w:leader="none" w:pos="1835"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such Series theretofore authenticated and issued (other than destroyed, lost or stolen Securities that have been replaced or paid)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1820" w:hanging="281"/>
        <w:spacing w:after="0"/>
        <w:tabs>
          <w:tab w:leader="none" w:pos="182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Securities of such Series not theretofore delivered to the Trustee for cancellation:</w:t>
      </w:r>
    </w:p>
    <w:p>
      <w:pPr>
        <w:spacing w:after="0" w:line="11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become due and payable, or</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become due and payable at their Stated Maturity within one year, or</w:t>
      </w:r>
    </w:p>
    <w:p>
      <w:pPr>
        <w:spacing w:after="0" w:line="117" w:lineRule="exact"/>
        <w:rPr>
          <w:rFonts w:ascii="Times New Roman" w:cs="Times New Roman" w:eastAsia="Times New Roman" w:hAnsi="Times New Roman"/>
          <w:sz w:val="18"/>
          <w:szCs w:val="18"/>
          <w:color w:val="auto"/>
        </w:rPr>
      </w:pPr>
    </w:p>
    <w:p>
      <w:pPr>
        <w:ind w:left="1980" w:right="260" w:hanging="1"/>
        <w:spacing w:after="0" w:line="282" w:lineRule="auto"/>
        <w:tabs>
          <w:tab w:leader="none" w:pos="2295" w:val="left"/>
        </w:tabs>
        <w:numPr>
          <w:ilvl w:val="3"/>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54" w:lineRule="exact"/>
        <w:rPr>
          <w:sz w:val="20"/>
          <w:szCs w:val="20"/>
          <w:color w:val="auto"/>
        </w:rPr>
      </w:pPr>
    </w:p>
    <w:p>
      <w:pPr>
        <w:ind w:left="1540" w:right="160"/>
        <w:spacing w:after="0" w:line="270" w:lineRule="auto"/>
        <w:rPr>
          <w:sz w:val="20"/>
          <w:szCs w:val="20"/>
          <w:color w:val="auto"/>
        </w:rPr>
      </w:pPr>
      <w:r>
        <w:rPr>
          <w:rFonts w:ascii="Times New Roman" w:cs="Times New Roman" w:eastAsia="Times New Roman" w:hAnsi="Times New Roman"/>
          <w:sz w:val="17"/>
          <w:szCs w:val="17"/>
          <w:color w:val="auto"/>
        </w:rPr>
        <w:t>and, in the case of clause (i), (ii) or (iii) above, the Company has irrevocably deposited or caused to be deposited with the Trustee as funds (immediately available to the Holders in the case of clause (i)) in trust for such purpose (x) cash in an amount, or (y) Government Obligations, maturing as to principal and interest at such times and in such amounts as will ensure the availability of cash in an amount or (z) a combination thereof which will be sufficient, in the opinion (in case of</w:t>
      </w:r>
    </w:p>
    <w:p>
      <w:pPr>
        <w:spacing w:after="0" w:line="3" w:lineRule="exact"/>
        <w:rPr>
          <w:sz w:val="20"/>
          <w:szCs w:val="20"/>
          <w:color w:val="auto"/>
        </w:rPr>
      </w:pPr>
    </w:p>
    <w:p>
      <w:pPr>
        <w:ind w:left="1540" w:right="40" w:hanging="1"/>
        <w:spacing w:after="0" w:line="253" w:lineRule="auto"/>
        <w:tabs>
          <w:tab w:leader="none" w:pos="17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(z)) of a nationally recognized firm of independent public accountants expressed in a written certification thereof delivered to the Trustee, to pay and discharge the entire indebtedness on the Securities of such Series for principal and interest to the date of such deposit (in the case of Securities which have become due and payable) or for principal, premium, if any, and interest to the Stated Maturity or redemption date, as the case may be; or</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520"/>
          </w:cols>
          <w:pgMar w:left="880" w:top="270" w:right="499" w:bottom="1440" w:gutter="0" w:footer="0" w:header="0"/>
        </w:sectPr>
      </w:pPr>
    </w:p>
    <w:bookmarkStart w:id="119" w:name="page120"/>
    <w:bookmarkEnd w:id="119"/>
    <w:p>
      <w:pPr>
        <w:ind w:left="1540" w:right="80" w:hanging="1"/>
        <w:spacing w:after="0" w:line="282" w:lineRule="auto"/>
        <w:tabs>
          <w:tab w:leader="none" w:pos="182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properly fulfilled such other means of satisfaction and discharge, as contemplated by Section 2.2 to be applicable to the Securities of such Series,</w:t>
      </w:r>
    </w:p>
    <w:p>
      <w:pPr>
        <w:spacing w:after="0" w:line="53"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other sums payable by it hereunder with respect to the Securities of such Series;</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540" w:right="160" w:firstLine="408"/>
        <w:spacing w:after="0" w:line="266" w:lineRule="auto"/>
        <w:tabs>
          <w:tab w:leader="none" w:pos="119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an Officer’s Certificate stating that all conditions precedent to satisfaction and discharge of this Indenture with respect to the Securities of such Series have been complied with, together with an Opinion of Counsel to the same effect.</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Section 8.1(b) is specified as not being applicable to Securities of a Series as contemplated by Section 2.2, the Company may be discharged from its obligations under Sections 4.2(a), 4.4, 4.5 and 4.7 of this Indenture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 respect to the Securities of such Series and such Securities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Securities of such Series and the applicable Guarantee, the Company and the Guarantor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and the related Guarantee, will be unaffected thereby if:</w:t>
      </w:r>
    </w:p>
    <w:p>
      <w:pPr>
        <w:spacing w:after="0" w:line="86"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19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0"/>
          </w:cols>
          <w:pgMar w:left="880" w:top="270" w:right="459" w:bottom="1440" w:gutter="0" w:footer="0" w:header="0"/>
        </w:sectPr>
      </w:pPr>
    </w:p>
    <w:bookmarkStart w:id="120" w:name="page121"/>
    <w:bookmarkEnd w:id="120"/>
    <w:p>
      <w:pPr>
        <w:ind w:left="980" w:right="320" w:firstLine="408"/>
        <w:spacing w:after="0" w:line="282" w:lineRule="auto"/>
        <w:tabs>
          <w:tab w:leader="none" w:pos="16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delivered to the Trustee an Officer’s Certificate stating that all conditions precedent to covenant defeasance with respect to the Securities of such Series have been complied with, and an Opinion of Counsel to the same effect;</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Securities of such Series shall have occurred and be continuing on the date of such deposit;</w:t>
      </w:r>
    </w:p>
    <w:p>
      <w:pPr>
        <w:spacing w:after="0" w:line="53" w:lineRule="exact"/>
        <w:rPr>
          <w:rFonts w:ascii="Times New Roman" w:cs="Times New Roman" w:eastAsia="Times New Roman" w:hAnsi="Times New Roman"/>
          <w:sz w:val="18"/>
          <w:szCs w:val="18"/>
          <w:color w:val="auto"/>
        </w:rPr>
      </w:pPr>
    </w:p>
    <w:p>
      <w:pPr>
        <w:ind w:left="980" w:firstLine="408"/>
        <w:spacing w:after="0" w:line="254" w:lineRule="auto"/>
        <w:tabs>
          <w:tab w:leader="none" w:pos="16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both (i) an Opinion of Counsel from a nationally recognized counsel acceptable to the Trustee or a tax ruling to the effect that the beneficial owners of the Securities of such Series will not recognize income, gain or loss for U.S. federal income tax purposes as a result of the Company’s exercise of its option under this Section 8.1(b) and will be subject to U.S. federal income tax on the same amount and in the same manner and at the same times as would have been the case if such option had not been exercised and (ii) an Opinion of Counsel or an advance tax ruling from the Canada Revenue Agency (or successor agency) to the effect that the beneficial owners of the Securities of such Series will not recognize income, gain, or loss for Canadian federal, provincial or territorial income tax purposes as a result of the Company’s exercise of its option under this Section 8.1(b) and will be subject to Canadian federal, provincial or territorial income or other Canadian tax on the same amounts, in the same manner, and at the same times as would have been the case if the Company had not exercised its option under this Section 8.1(b);</w:t>
      </w:r>
    </w:p>
    <w:p>
      <w:pPr>
        <w:spacing w:after="0" w:line="80" w:lineRule="exact"/>
        <w:rPr>
          <w:rFonts w:ascii="Times New Roman" w:cs="Times New Roman" w:eastAsia="Times New Roman" w:hAnsi="Times New Roman"/>
          <w:sz w:val="18"/>
          <w:szCs w:val="18"/>
          <w:color w:val="auto"/>
        </w:rPr>
      </w:pPr>
    </w:p>
    <w:p>
      <w:pPr>
        <w:ind w:left="980" w:right="680" w:firstLine="408"/>
        <w:spacing w:after="0" w:line="282" w:lineRule="auto"/>
        <w:tabs>
          <w:tab w:leader="none" w:pos="163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with any additional conditions specified pursuant to Section 2.2 to be applicable to covenant defeasance in respect of the Securities of such Series pursuant to this Section 8.1; and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covenant defeasance shall not cause the Trustee to have a conflicting interest as defined in TIA § 310(b).</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In order to have money available on a payment date to pay principal of or premium (if any) or interest on the Securities, the Government Obligations shall be payable as to principal or interest on or before such payment date in such amounts as will provide the necessary money. Government Obligations shall not be callable at the issuer’s option.</w:t>
      </w:r>
    </w:p>
    <w:p>
      <w:pPr>
        <w:spacing w:after="0" w:line="68" w:lineRule="exact"/>
        <w:rPr>
          <w:sz w:val="20"/>
          <w:szCs w:val="20"/>
          <w:color w:val="auto"/>
        </w:rPr>
      </w:pPr>
    </w:p>
    <w:p>
      <w:pPr>
        <w:ind w:left="440" w:right="20" w:firstLine="419"/>
        <w:spacing w:after="0" w:line="254" w:lineRule="auto"/>
        <w:tabs>
          <w:tab w:leader="none" w:pos="110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Section 8.1(c) is specified as not being applicable to Securities of a Series as contemplated by Section 2.2, upon the Company’s exercise under this clause (c) of the option applicable to this Section 8.1(c) with respect to any Series of Securities, the Company and the Guarantor will be deemed to have been released from their obligations with respect to all outstanding Securities (including the related Guarantee)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and the Guarantor will be deemed to have paid and discharged the entire indebtedness represented by the outstanding Securities of such Series (including the related Guarantee), which will thereafter be deemed to be “outstanding” only for the purposes of Section 8.2 hereof and the other Sections of this Indenture referred to below, and to have satisfied all their other obligations under such Securities, the related Guarantee and this Indenture with respect to such Securities, if: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70" w:right="479" w:bottom="1440" w:gutter="0" w:footer="0" w:header="0"/>
        </w:sectPr>
      </w:pPr>
    </w:p>
    <w:bookmarkStart w:id="121" w:name="page122"/>
    <w:bookmarkEnd w:id="121"/>
    <w:p>
      <w:pPr>
        <w:ind w:left="-7" w:right="20" w:firstLine="408"/>
        <w:spacing w:after="0" w:line="253" w:lineRule="auto"/>
        <w:tabs>
          <w:tab w:leader="none" w:pos="64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irrevocably deposited or caused to be irrevocably deposited with the Trustee as trust funds in trust for the purpose of making the following payments, specifically pledged as security for and dedicated solely to the benefit of the Holders of Securities of such Series, (i) money, or (ii) Government Obligations with respect to such Series, maturing as to principal and interest at such times and in such amounts as will ensure the availability of money in the currency in which payment of the Securities of such Series is to be made in an amount or (iii) a combination thereof, that is sufficient, in the opinion (in the case of (ii) and (iii)) of a nationally recognized firm of independent public accountants expressed in a written certification thereof delivered to the Trustee, to pay the principal of and premium (if any) and interest on all Securities of such Series on each date that such principal, premium (if any) or interest is due and payable and (at the Stated Maturity thereof or upon redemption as provided in Section 8.1(d)) to pay all other sums payable by it hereunder; provided that the Trustee shall have been irrevocably instructed to apply such money and/or the proceeds of such Government Obligations to the payment of said principal, premium (if any) and interest with respect to the Securities of such Series as the same shall become due;</w:t>
      </w:r>
    </w:p>
    <w:p>
      <w:pPr>
        <w:spacing w:after="0" w:line="83" w:lineRule="exact"/>
        <w:rPr>
          <w:rFonts w:ascii="Times New Roman" w:cs="Times New Roman" w:eastAsia="Times New Roman" w:hAnsi="Times New Roman"/>
          <w:sz w:val="18"/>
          <w:szCs w:val="18"/>
          <w:color w:val="auto"/>
        </w:rPr>
      </w:pPr>
    </w:p>
    <w:p>
      <w:pPr>
        <w:ind w:left="-7" w:right="200" w:firstLine="408"/>
        <w:spacing w:after="0" w:line="266" w:lineRule="auto"/>
        <w:tabs>
          <w:tab w:leader="none" w:pos="64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under clauses (f) and (g) of Section 6.1 hereof shall have occurred at any time during the period ending on the 91st day after the date of deposit contemplated by Section 8.1(c)(1) (it being understood that this condition shall not be deemed satisfied until the expiration of such period);</w:t>
      </w:r>
    </w:p>
    <w:p>
      <w:pPr>
        <w:spacing w:after="0" w:line="67" w:lineRule="exact"/>
        <w:rPr>
          <w:rFonts w:ascii="Times New Roman" w:cs="Times New Roman" w:eastAsia="Times New Roman" w:hAnsi="Times New Roman"/>
          <w:sz w:val="18"/>
          <w:szCs w:val="18"/>
          <w:color w:val="auto"/>
        </w:rPr>
      </w:pPr>
    </w:p>
    <w:p>
      <w:pPr>
        <w:jc w:val="both"/>
        <w:ind w:left="-7" w:firstLine="408"/>
        <w:spacing w:after="0" w:line="261" w:lineRule="auto"/>
        <w:tabs>
          <w:tab w:leader="none" w:pos="648"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with respect to Securities of such Series as contemplated by Section 2.2, the Company has delivered to the Trustee the Opinions of Counsel from nationally recognized counsel acceptable to the Trustee to the effect referred to in Section 8.1(b)</w:t>
      </w:r>
    </w:p>
    <w:p>
      <w:pPr>
        <w:ind w:left="-7" w:right="120" w:firstLine="7"/>
        <w:spacing w:after="0" w:line="252" w:lineRule="auto"/>
        <w:tabs>
          <w:tab w:leader="none" w:pos="24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legal defeasance, which opinions are based on (i) a private ruling of the Internal Revenue Service or an advance tax ruling from the Canada Revenue Agency (or successor agency), as applicable, addressed to the Company or the Trustee, (ii) a published ruling of the Internal Revenue Service or the Canada Revenue Agency (or successor agency), as applicable, or (iii) a change in the applicable U.S. federal income tax law (including regulations) or Canadian federal, provincial or territorial income or other Canadian tax law after the date of this Indenture; the Company has complied with any other conditions specified pursuant to Section 2.2 to be applicable to the legal defeasance of Securities of such Series pursuant to this Section 8.1(c); and</w:t>
      </w:r>
    </w:p>
    <w:p>
      <w:pPr>
        <w:spacing w:after="0" w:line="81" w:lineRule="exact"/>
        <w:rPr>
          <w:rFonts w:ascii="Times New Roman" w:cs="Times New Roman" w:eastAsia="Times New Roman" w:hAnsi="Times New Roman"/>
          <w:sz w:val="18"/>
          <w:szCs w:val="18"/>
          <w:color w:val="auto"/>
        </w:rPr>
      </w:pPr>
    </w:p>
    <w:p>
      <w:pPr>
        <w:ind w:left="-7" w:right="60" w:firstLine="408"/>
        <w:spacing w:after="0" w:line="266" w:lineRule="auto"/>
        <w:tabs>
          <w:tab w:leader="none" w:pos="64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the Trustee a Company Request requesting such legal defeasance of the Securities of such Series and an Officer’s Certificate stating that all conditions precedent with respect to such legal defeasance of the Securities of such Series have been complied with, together with an Opinion of Counsel to the same effect.</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9993"/>
          </w:cols>
          <w:pgMar w:left="1427" w:top="270" w:right="479" w:bottom="1440" w:gutter="0" w:footer="0" w:header="0"/>
        </w:sectPr>
      </w:pPr>
    </w:p>
    <w:bookmarkStart w:id="122" w:name="page123"/>
    <w:bookmarkEnd w:id="122"/>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such event, this Indenture shall cease to be of further effect except that the Company’s and the Guarantor’s obligations in Sections 2.4, 2.5, 2.6, 2.7, 2.8, 4.1, 4.6, 5.1, 7.7 and 7.8, the Trustee’s and Paying Agent’s obligations in Section 8.3 and the rights, powers, protections and privileges accorded the Trustee under Article VII shall survive until all Securities of such Series are no longer outstanding. Thereafter, only the obligations of the Company and the Guarantor in Section 7.7 and the Trustee’s and Paying Agent’s obligations in Section 8.3 shall survive with respect to Securities of such Series.</w:t>
      </w:r>
    </w:p>
    <w:p>
      <w:pPr>
        <w:spacing w:after="0" w:line="183"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and to the extent additional or alternative means of satisfaction, discharge or defeasance of Securities of a Series are specified to be applicable to such Series as contemplated by Section 2.2, the Company may terminate any or all of its obligations under this Indenture with respect to its Securities of a Series and any or all of its obligations under the Securities of such Series if it fulfills such other means of satisfaction and discharge as may be so specified, as contemplated by Section 2.2, to be applicable to the Securities of such Series.</w:t>
      </w:r>
    </w:p>
    <w:p>
      <w:pPr>
        <w:spacing w:after="0" w:line="180" w:lineRule="exact"/>
        <w:rPr>
          <w:sz w:val="20"/>
          <w:szCs w:val="20"/>
          <w:color w:val="auto"/>
        </w:rPr>
      </w:pPr>
    </w:p>
    <w:p>
      <w:pPr>
        <w:ind w:left="440" w:right="20" w:firstLine="419"/>
        <w:spacing w:after="0" w:line="261" w:lineRule="auto"/>
        <w:tabs>
          <w:tab w:leader="none" w:pos="1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of any Series subject to subsections (a), (b) or (c) of this Section 8.1 are to be redeemed prior to their Stated Maturity, whether pursuant to any optional redemption provisions or in accordance with any mandatory or optional sinking fund provisions, the terms of the applicable trust arrangement shall provide for such redemption, and the Company shall make such arrangements as are reasonably satisfactory to the Trustee for the giving of notice of redemption in the name, and at the expense, of the Company.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Trustee or a trustee satisfactory to the Trustee and the Company shall hold in trust money or Government Obligations deposited with it pursuant to Section 8.1 hereof. It shall apply the deposited money and the money from Government Obligations through the Paying Agent and in accordance with this Indenture to the payment of principal of premium (if any) and interest on and any Additional Amounts with respect to the Securities of the Series with respect to which the deposit was made.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Repayment to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Trustee and the Paying Agent shall promptly pay to the Company upon written request any excess money or Government Obligations (or proceeds therefrom) held by them at any time upon the written request of the Company.</w:t>
      </w:r>
    </w:p>
    <w:p>
      <w:pPr>
        <w:spacing w:after="0" w:line="162"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Subject to the requirements of any applicable abandoned property laws, the Trustee and the Paying Agent shall pay to the Company upon written request any money held by them for the payment of principal, premium (if any), interest or any Additional Amounts that remains unclaimed for two years after the date upon which such payment shall have become due. After payment to the Company, Holders entitled to the money must look to the Company for payment as general creditors unless an applicable abandoned property law designates another Person, and all liability of the Trustee and the Paying Agent with respect to such money shall cease.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23" w:name="page124"/>
    <w:bookmarkEnd w:id="1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8.4.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the Paying Agent is unable to apply any money or Government Obligations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or Government Obligations in accordance with Section 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Company has made any payment of principal of, premium (if any) or interest on or any Additional Amounts with respect to any Securities because of the reinstatement of its obligations, the Company shall be subrogated to the rights of the Holders of such Securities to receive such payment from the money or Government Obligations held by the Trustee or the Paying Agent.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AMENDMENTS AND WAIVERS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Without the consent of any Holder of Securities of a Series, the Company, the Guarantor and the Trustee may amend or supplement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such Series of Securities or the Guarantee in the following circumstances:</w:t>
      </w:r>
    </w:p>
    <w:p>
      <w:pPr>
        <w:spacing w:after="0" w:line="99" w:lineRule="exact"/>
        <w:rPr>
          <w:sz w:val="20"/>
          <w:szCs w:val="20"/>
          <w:color w:val="auto"/>
        </w:rPr>
      </w:pPr>
    </w:p>
    <w:p>
      <w:pPr>
        <w:ind w:left="1640" w:hanging="252"/>
        <w:spacing w:after="0"/>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obligations under this Indenture or the Securities or the Guarantor’s obligations under the Guarantee by a successor upon any merger, amalgamation, consolidation or asset transfer in accordance with Section 5.1 or to provide for the assumption of the Company’s obligations under this Indenture by a subsidiary of the Guarantor in accordance with Section 5.2;</w:t>
      </w:r>
    </w:p>
    <w:p>
      <w:pPr>
        <w:spacing w:after="0" w:line="71"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17" w:lineRule="exact"/>
        <w:rPr>
          <w:rFonts w:ascii="Times New Roman" w:cs="Times New Roman" w:eastAsia="Times New Roman" w:hAnsi="Times New Roman"/>
          <w:sz w:val="18"/>
          <w:szCs w:val="18"/>
          <w:color w:val="auto"/>
        </w:rPr>
      </w:pPr>
    </w:p>
    <w:p>
      <w:pPr>
        <w:ind w:left="980" w:right="740" w:firstLine="408"/>
        <w:spacing w:after="0" w:line="282" w:lineRule="auto"/>
        <w:tabs>
          <w:tab w:leader="none" w:pos="16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security for or guarantees of the Company’s Securities or for the addition of an additional obligor on the Company’s Securities;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 to effect or maintain the qualification of this Indenture under the TIA, if applicable;</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that would benefit the Holders of the outstanding Securities or to surrender any rights the Company has under this Indenture;</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change or eliminate any of the provisions of this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change or elimination shall not become effective with respect to any outstanding Securities of any Series created prior to the execution of such supplemental indenture which is entitled to the benefit of such provision;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40" w:top="270" w:right="499" w:bottom="1440" w:gutter="0" w:footer="0" w:header="0"/>
        </w:sectPr>
      </w:pPr>
    </w:p>
    <w:bookmarkStart w:id="124" w:name="page125"/>
    <w:bookmarkEnd w:id="124"/>
    <w:p>
      <w:pPr>
        <w:ind w:left="1640" w:hanging="252"/>
        <w:spacing w:after="0"/>
        <w:tabs>
          <w:tab w:leader="none" w:pos="16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provide for the issuance of and establish forms and terms and conditions of a new series of Securities;</w:t>
      </w:r>
    </w:p>
    <w:p>
      <w:pPr>
        <w:spacing w:after="0" w:line="117" w:lineRule="exact"/>
        <w:rPr>
          <w:rFonts w:ascii="Times New Roman" w:cs="Times New Roman" w:eastAsia="Times New Roman" w:hAnsi="Times New Roman"/>
          <w:sz w:val="18"/>
          <w:szCs w:val="18"/>
          <w:color w:val="auto"/>
        </w:rPr>
      </w:pPr>
    </w:p>
    <w:p>
      <w:pPr>
        <w:jc w:val="both"/>
        <w:ind w:left="980" w:right="360" w:firstLine="408"/>
        <w:spacing w:after="0" w:line="266" w:lineRule="auto"/>
        <w:tabs>
          <w:tab w:leader="none" w:pos="16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additional Securities of any Series, provided that such additional Securities have the same terms (other than the issue date, date from which interest accrues, first interest payment date and restrictions on transfer) as, and will be deemed part of the same Series as, the applicable Series of Securities to the extent required under this Indenture;</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72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and appointment of a successor trustee with respect to the Securities of one or more Series and to add to or change any of the provisions of this Indenture as shall be necessary to provide for or facilitate the administration of the trust by more than one trustee</w:t>
      </w:r>
    </w:p>
    <w:p>
      <w:pPr>
        <w:spacing w:after="0" w:line="67" w:lineRule="exact"/>
        <w:rPr>
          <w:rFonts w:ascii="Times New Roman" w:cs="Times New Roman" w:eastAsia="Times New Roman" w:hAnsi="Times New Roman"/>
          <w:sz w:val="18"/>
          <w:szCs w:val="18"/>
          <w:color w:val="auto"/>
        </w:rPr>
      </w:pPr>
    </w:p>
    <w:p>
      <w:pPr>
        <w:ind w:left="1720" w:hanging="332"/>
        <w:spacing w:after="0"/>
        <w:tabs>
          <w:tab w:leader="none" w:pos="17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Events of Default with respect to the Company’s Securities;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any of its outstanding Securities in any material respect.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color w:val="auto"/>
        </w:rPr>
        <w:t>This Indenture or the Securities of a Series or the Guarantee may be amended or supplemented, and waivers may be obtained, with the consent of the Holders of at least a majority in aggregate principal amount of the then outstanding Securities of such Series voting as a single class (including, without limitation, consents obtained in connection with a tender offer or exchange offer for, or purchase of, such Securities of a Series), and any existing Default or Event of Default (other than a Default or Event of Default in the payment of the principal of, premium on, if any, interest or Additional Amounts, if any, on, such Securities of a Series, except a payment Default resulting from an acceleration that has been rescinded) or compliance with any provision of this Indenture or the Securities of such Series or applicable Guarantee may be waived with the consent of the Holders of a majority in aggregate principal amount of the then outstanding Securities of such Series voting as a single class (including, without limitation, consents obtained in connection with a purchase of, or tender offer or exchange offer for, such Securities of a Series) (other than in respect of a provision contained in this Indenture that cannot be modified or amended without the consent of the Holder of each outstanding Security affected thereby).</w:t>
      </w:r>
    </w:p>
    <w:p>
      <w:pPr>
        <w:spacing w:after="0" w:line="173"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Securities of a Series issued by the Company may waive any existing or past Default or Event of Default with respect to those Securities. Notwithstanding the foregoing, those Holders may not, however, waive any Default or Event of Default in any payment on any Security.</w:t>
      </w:r>
    </w:p>
    <w:p>
      <w:pPr>
        <w:spacing w:after="0" w:line="176"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For the avoidance of doubt, any amendment, supplement or waiver to any Series of Securities made with the consent of Holders of such Series of Securities, shall be made with respect to that Series of Securities only, and not any other Series of Securities.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25" w:name="page126"/>
    <w:bookmarkEnd w:id="1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outstanding Securities of a Series, an amendment, supplement or waiver may not (with respect to any Securities of such Series held by a non-consenting Holder):</w:t>
      </w:r>
    </w:p>
    <w:p>
      <w:pPr>
        <w:spacing w:after="0" w:line="54" w:lineRule="exact"/>
        <w:rPr>
          <w:sz w:val="20"/>
          <w:szCs w:val="20"/>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the Securities of such Series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the Securities of such Series;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the Securities of such Series or change the Stated Maturity of the Securities of such Series;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premium payable on the redemption of the Securities of such Series or change the time at which the Securities of such Series may or must be redeemed;</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to pay Additional Amounts on the Securities of such Series;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payments on the Securities of such Series payable in currency other than as originally stated in such Securities;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Holder’s right to institute suit for the enforcement of any payment on the Securities of such Series;</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3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percentage of aggregate principal amount of the Securities of such Series necessary to waive compliance with Sections 6.8 and 6.13 of this Indenture or to make any change in this Section 9.3(8);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regarding any payment on Securities of such Series.</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In the event that consent is obtained from some of the Holders but not from all of the Holders with respect to any amendments or waivers pursuant to clauses (1) through (9) of this Section 9.3, new Securities of such Series with such amendments or waivers will be issued to those consenting Holders. Such new Securities shall have separate CUSIP numbers and ISINs from those Securities of such Series held by non-consenting Holders.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Form of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Every amendment to this Indenture or the Securities of one or more Series shall be set forth in a supplemental indenture.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26" w:name="page127"/>
    <w:bookmarkEnd w:id="1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9.5. </w:t>
      </w:r>
      <w:r>
        <w:rPr>
          <w:rFonts w:ascii="Times New Roman" w:cs="Times New Roman" w:eastAsia="Times New Roman" w:hAnsi="Times New Roman"/>
          <w:sz w:val="18"/>
          <w:szCs w:val="18"/>
          <w:u w:val="single" w:color="auto"/>
          <w:color w:val="auto"/>
        </w:rPr>
        <w:t>Revocation and Effect of Consents.</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written notice of revocation before the date of the supplemental indenture or the date the waiver becomes effective.</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Any amendment or waiver once effective shall bind every Securityholder of each Series affected by such amendment or waiver unless it is of the type described in any of clauses (1) through (9)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6"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It will not be necessary for the consent of the Holders to approve the particular form of any proposed supplement, amendment or waiver, but it will be sufficient if such consent approves the substance of it.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Notation on or Exchange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or waiver on any Security of any Series thereafter authenticated. The Company in exchange for its Securities of that Series may issue and the Trustee shall authenticate upon request new Securities of that Series that reflect the amendment or waiver.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Trustee Protected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executing, or accepting the additional trusts created by, any supplemental indenture, amendment or waiver permitted by this Article or the modifications thereby of the trusts created by this Indenture, the Trustee shall be entitled to receive, and (subject to Section 7.1) shall be fully protected in relying upon, an Opinion of Counsel stating that the execution of such supplemental indenture is authorized or permitted by this Indenture. The Trustee may, but shall not be obligated to, enter into any supplemental indentures which affect the Trustee’s own rights, duties, immunities, or indemnities under this Indenture, the Securities or otherwise.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Any request, direction, instruction, demand, document, notice or communication by the Company, the Guarantor or the Trustee to the other, or by a Holder to the Company or the Trustee, shall be in English and in writing and delivered in person, mailed by first-class mail or delivered by overnight courier as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200, 125 – 9th Avenue S.E.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Calgary, Alberta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T2G OP6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also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Vice President &amp;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5599 San Felipe Street, 17th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Vice President &amp;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601 Travis Street, 16th Floor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Corporate Trust-Conventional Debt</w:t>
      </w:r>
    </w:p>
    <w:p>
      <w:pPr>
        <w:spacing w:after="0" w:line="20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Notices shall be effective upon the recipient’s actual receipt thereof. Any party by notice to the other parties may designate additional or different addresses for subsequent notices or communications.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Any notice or communication to (i) a Securityholder of a Certificated Security shall be mailed by first-class mail to his address shown on the register kept by the Registrar and (ii) a Securityholder of a Global Security shall be delivered to the Depositary in accordance with its applicable procedures. Failure to give a notice or communication to a Securityholder of any Series or any defect in it shall not affect its sufficiency with respect to other Securityholders of that or any other Series.</w:t>
      </w:r>
    </w:p>
    <w:p>
      <w:pPr>
        <w:spacing w:after="0" w:line="180"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to any Securityholder is given in the manner provided above, within the time prescribed, it is duly given, whether or not the Securityholder receives it.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Company mails a notice or communication to Securityholders, it shall mail a copy to the Trustee and each Agent at the same time.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880"/>
          </w:cols>
          <w:pgMar w:left="440" w:top="270" w:right="579" w:bottom="1440" w:gutter="0" w:footer="0" w:header="0"/>
        </w:sectPr>
      </w:pPr>
    </w:p>
    <w:bookmarkStart w:id="128" w:name="page129"/>
    <w:bookmarkEnd w:id="128"/>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liabilities,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information to the Trustee, including without limitation the risk of the Trustee acting on unauthorized instructions, notices, reports or other communications or information, and the risk of interception and misuse by third parties.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Communication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Securityholders of a Series may communicate pursuant to TIA § 312(b), as if such section applied hereto, with other Securityholders of such Series with respect to their rights under this Indenture or the Securities. The Company, the Trustee, the Agents and anyone else shall have the protection of TIA § 312(c).</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Upon any request or application by the Company or the Guarantor to the Trustee to take any action under this Indenture, the Company or the Guarantor, as applicable, shall furnish to the Trustee:</w:t>
      </w:r>
    </w:p>
    <w:p>
      <w:pPr>
        <w:spacing w:after="0" w:line="67" w:lineRule="exact"/>
        <w:rPr>
          <w:sz w:val="20"/>
          <w:szCs w:val="20"/>
          <w:color w:val="auto"/>
        </w:rPr>
      </w:pPr>
    </w:p>
    <w:p>
      <w:pPr>
        <w:ind w:left="1960" w:right="60" w:hanging="533"/>
        <w:spacing w:after="0" w:line="312" w:lineRule="auto"/>
        <w:tabs>
          <w:tab w:leader="none" w:pos="19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Officer’s Certificate (which shall include the statements set forth in Section 10.4) stating that, in the opinion of the signer, all conditions precedent, if any, provided for in this Indenture relating to the proposed action have been complied with; and</w:t>
      </w:r>
    </w:p>
    <w:p>
      <w:pPr>
        <w:spacing w:after="0" w:line="45" w:lineRule="exact"/>
        <w:rPr>
          <w:rFonts w:ascii="Times New Roman" w:cs="Times New Roman" w:eastAsia="Times New Roman" w:hAnsi="Times New Roman"/>
          <w:sz w:val="17"/>
          <w:szCs w:val="17"/>
          <w:color w:val="auto"/>
        </w:rPr>
      </w:pPr>
    </w:p>
    <w:p>
      <w:pPr>
        <w:ind w:left="1960" w:hanging="533"/>
        <w:spacing w:after="0" w:line="282" w:lineRule="auto"/>
        <w:tabs>
          <w:tab w:leader="none" w:pos="19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10.4 hereof) stating that, in the opinion of such counsel, all such conditions precedent have been complied 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91"/>
        <w:spacing w:after="0" w:line="312" w:lineRule="auto"/>
        <w:rPr>
          <w:sz w:val="20"/>
          <w:szCs w:val="20"/>
          <w:color w:val="auto"/>
        </w:rPr>
      </w:pPr>
      <w:r>
        <w:rPr>
          <w:rFonts w:ascii="Times New Roman" w:cs="Times New Roman" w:eastAsia="Times New Roman" w:hAnsi="Times New Roman"/>
          <w:sz w:val="17"/>
          <w:szCs w:val="17"/>
          <w:color w:val="auto"/>
        </w:rPr>
        <w:t>Each certificate or opinion with respect to compliance with a condition or covenant provided for in this Indenture (other than a certificate provided pursuant to Section 4.2 in accordance with TIA § 314(a)(4)) shall comply with the provisions of TIA § 314(e) and shall include substantially:</w:t>
      </w:r>
    </w:p>
    <w:p>
      <w:pPr>
        <w:spacing w:after="0" w:line="45" w:lineRule="exact"/>
        <w:rPr>
          <w:sz w:val="20"/>
          <w:szCs w:val="20"/>
          <w:color w:val="auto"/>
        </w:rPr>
      </w:pPr>
    </w:p>
    <w:p>
      <w:pPr>
        <w:ind w:left="1960" w:hanging="533"/>
        <w:spacing w:after="0"/>
        <w:tabs>
          <w:tab w:leader="none" w:pos="1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30" w:lineRule="exact"/>
        <w:rPr>
          <w:rFonts w:ascii="Times New Roman" w:cs="Times New Roman" w:eastAsia="Times New Roman" w:hAnsi="Times New Roman"/>
          <w:sz w:val="18"/>
          <w:szCs w:val="18"/>
          <w:color w:val="auto"/>
        </w:rPr>
      </w:pPr>
    </w:p>
    <w:p>
      <w:pPr>
        <w:ind w:left="1960" w:right="560" w:hanging="533"/>
        <w:spacing w:after="0" w:line="282" w:lineRule="auto"/>
        <w:tabs>
          <w:tab w:leader="none" w:pos="19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29" w:name="page130"/>
    <w:bookmarkEnd w:id="129"/>
    <w:p>
      <w:pPr>
        <w:ind w:left="1960" w:right="120" w:hanging="533"/>
        <w:spacing w:after="0" w:line="282" w:lineRule="auto"/>
        <w:tabs>
          <w:tab w:leader="none" w:pos="1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statement that, in the opinion of such Person, he has made such examination or investigation as is necessary to enable him to express an informed opinion as to whether or not such covenant or condition has been complied with; and</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a meeting of Securityholders of one or more Series. Any Agent may make reasonable rules and set reasonable requirements for its functions.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If a payment date is not a Business Day, payment may be made at that place on the next succeeding day that is a Business Day, and no interest shall accrue for the intervening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 Personal Liability of Directors, Officers, Employees and Certain Others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similar founder, stockholder or member of the Company or the Guarantor, as such, will have any liability for or any obligations of the Company or the Guarantor under this Indenture or the Securities, or Guarantee or for any claim based on, in respect of or by reason of, such obligations or their creation. Each Holder of Securities by accepting a Security waives and releases all such liability. The waiver and release are part of the consideration for issuance of the Securities. The waiver may not be effective to waive liabilities under the federal securities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FATCA.</w:t>
      </w:r>
    </w:p>
    <w:p>
      <w:pPr>
        <w:spacing w:after="0" w:line="22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Company agrees that if reasonably requested in writing by the Trustee or any Agent (for purposes of this Section 10.8,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xml:space="preserve">”), the Company shall provide such information as is reasonably necessary for the Trustee to comply with the requirements of Sections 1471 to 1474 of the Internal Revenue Code of 1986, as amended, and any current or future regulations or official interpretations thereof (collectively, “FATCA”), in relation to a payment made under the Indenture, the Securities or any Guarantee;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provide any information that it is prohibited from disclosing. The Trustee shall be entitled to make any withholding or deduction from payments under the Indenture, the Securities or any Guarantee to the extent necessary to comply with FATCA. The Trustee shall have no liability for, and the Company shall indemnify and hold harmless the Trustee against any liability for, any withholding or deduction made by the Trustee, or any failure by the Trustee to make any withholding or deduction, in each case to the extent such action or failure to act was taken in reliance on the information provided by the Company pursuant to the first sentence of this Section 10.8 or as a result of the Company’s failure to provide information reasonably requested in writing by the Trustee pursuant to the first sentence of this Section 10.8.</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60" w:firstLine="991"/>
        <w:spacing w:after="0" w:line="266"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one and the same instrument. Delivery of an executed counterpart of a signature page of this Indenture by facsimile or in electronic format shall be effective as delivery of a manually executed counterpart of this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THIS INDENTURE, THE SECURITIES AND THE GUARANTEE, INCLUDING ANY CLAIM OR CONTROVERSY ARISING OUT OF OR RELATING TO THIS INDENTURE, THE SECURITIES OR THE GUARANTEE, SHALL BE GOVERNED BY THE LAWS OF THE STATE OF NEW YORK WITHOUT REGARD TO CONFLICT OF LAW PRINCIPLES THAT WOULD RESULT IN THE APPLICATION OF ANY LAW OTHER THAN THE LAW OF THE STATE OF NEW YORK.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Indenture may not be used to interpret another indenture, loan or debt agreement of the Company or any Subsidiary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indenture, loan or debt agreement may not be used to interpret this Indenture.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Company and the Guarantor in this Indenture and the Securities shall bind their respective successors. All agreements of the Trustee in this Indenture shall bind its successor.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Table of Contents, Headings, Etc.</w:t>
      </w:r>
    </w:p>
    <w:p>
      <w:pPr>
        <w:spacing w:after="0" w:line="225" w:lineRule="exact"/>
        <w:rPr>
          <w:sz w:val="20"/>
          <w:szCs w:val="20"/>
          <w:color w:val="auto"/>
        </w:rPr>
      </w:pPr>
    </w:p>
    <w:p>
      <w:pPr>
        <w:ind w:right="500" w:firstLine="991"/>
        <w:spacing w:after="0" w:line="312"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312" w:lineRule="auto"/>
        <w:rPr>
          <w:sz w:val="20"/>
          <w:szCs w:val="20"/>
          <w:color w:val="auto"/>
        </w:rPr>
      </w:pPr>
      <w:r>
        <w:rPr>
          <w:rFonts w:ascii="Times New Roman" w:cs="Times New Roman" w:eastAsia="Times New Roman" w:hAnsi="Times New Roman"/>
          <w:sz w:val="17"/>
          <w:szCs w:val="17"/>
          <w:color w:val="auto"/>
        </w:rPr>
        <w:t>Each of the Company and the Guarantor agrees, to the fullest extent that it may effectively do so under applicable law, that (a) if for the purpose of obtaining judgment in any court it is necessary to convert the sum due in respect of this Indenture or the principal of or interest or other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60"/>
          </w:cols>
          <w:pgMar w:left="440" w:top="270" w:right="499" w:bottom="1440" w:gutter="0" w:footer="0" w:header="0"/>
        </w:sectPr>
      </w:pPr>
    </w:p>
    <w:bookmarkStart w:id="131" w:name="page132"/>
    <w:bookmarkEnd w:id="1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on the Securities of any Series (the “</w:t>
      </w:r>
      <w:r>
        <w:rPr>
          <w:rFonts w:ascii="Times New Roman" w:cs="Times New Roman" w:eastAsia="Times New Roman" w:hAnsi="Times New Roman"/>
          <w:sz w:val="18"/>
          <w:szCs w:val="18"/>
          <w:i w:val="1"/>
          <w:iCs w:val="1"/>
          <w:color w:val="auto"/>
        </w:rPr>
        <w:t>Required Currency</w:t>
      </w:r>
      <w:r>
        <w:rPr>
          <w:rFonts w:ascii="Times New Roman" w:cs="Times New Roman" w:eastAsia="Times New Roman" w:hAnsi="Times New Roman"/>
          <w:sz w:val="18"/>
          <w:szCs w:val="18"/>
          <w:color w:val="auto"/>
        </w:rPr>
        <w:t>”) into a currency in which a judgment will be rendered (the “</w:t>
      </w: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the rate of exchange used shall be the rate at which in accordance with normal banking procedures the recipient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recipient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8"/>
          <w:szCs w:val="18"/>
          <w:i w:val="1"/>
          <w:iCs w:val="1"/>
          <w:color w:val="auto"/>
        </w:rPr>
        <w:t>New York Banking Day</w:t>
      </w:r>
      <w:r>
        <w:rPr>
          <w:rFonts w:ascii="Times New Roman" w:cs="Times New Roman" w:eastAsia="Times New Roman" w:hAnsi="Times New Roman"/>
          <w:sz w:val="18"/>
          <w:szCs w:val="18"/>
          <w:color w:val="auto"/>
        </w:rPr>
        <w:t>” means any Business Day.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English Language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Submission to Jurisdiction; Appointment of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Any suit, action or proceeding against the Company or the Guarantor or its respective properties, assets or revenues with respect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the Securities or the Guarantee (a “</w:t>
      </w:r>
      <w:r>
        <w:rPr>
          <w:rFonts w:ascii="Times New Roman" w:cs="Times New Roman" w:eastAsia="Times New Roman" w:hAnsi="Times New Roman"/>
          <w:sz w:val="18"/>
          <w:szCs w:val="18"/>
          <w:i w:val="1"/>
          <w:iCs w:val="1"/>
          <w:color w:val="auto"/>
        </w:rPr>
        <w:t>Related Proceeding</w:t>
      </w:r>
      <w:r>
        <w:rPr>
          <w:rFonts w:ascii="Times New Roman" w:cs="Times New Roman" w:eastAsia="Times New Roman" w:hAnsi="Times New Roman"/>
          <w:sz w:val="18"/>
          <w:szCs w:val="18"/>
          <w:color w:val="auto"/>
        </w:rPr>
        <w:t>”) may be brought in any state or Federal court in the Borough of Manhattan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of New York, New York, as the Person bringing such Related Proceeding may elect in its sole discretion. The Company and the Guarantor hereby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to the non-exclusive jurisdiction of each such court for the purpose of any Related Proceeding and have irrevocably waived any objection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laying of venue of any Related Proceeding brought in any such court and to the fullest extent they may effectively do so and the defense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inconvenient forum to the maintenance of any Related Proceeding or any such suit, action or proceeding in any such court. The Company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hereby agree that service of all writs, claims, process and summonses in any Related Proceeding brought against them in the State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may be made upon Schlumberger Limited, 5599 San Felipe Street,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Houston, Texas 77057 Attention: Vice President Treasurer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Process Agent</w:t>
      </w:r>
      <w:r>
        <w:rPr>
          <w:rFonts w:ascii="Times New Roman" w:cs="Times New Roman" w:eastAsia="Times New Roman" w:hAnsi="Times New Roman"/>
          <w:sz w:val="18"/>
          <w:szCs w:val="18"/>
          <w:color w:val="auto"/>
        </w:rPr>
        <w:t>”). Each of the Company and the Guarantor has irrevocably appointed the Process Agent as its agent and true and lawful attorney in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name, place and stead to accept such service of any and all such writs, claims, process and summonses, and hereby agrees that the failure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 Agent to give any notice to it of any such service of process shall not impair or affect the validity of such service or of any judgment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8" w:right="459" w:bottom="1440" w:gutter="0" w:footer="0" w:header="0"/>
        </w:sectPr>
      </w:pPr>
    </w:p>
    <w:bookmarkStart w:id="132" w:name="page133"/>
    <w:bookmarkEnd w:id="132"/>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thereon. The Company and the Guarantor hereby agree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To the extent that the Company or the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Securities and/or the Guarantees.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Interest Act (Canada)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Solely for the purposes of disclosure pursuant to the Interest Act (Canada) and without affecting any calculation of interest required by this Indenture or the Securities, whenever any interest payable under this Indenture, any supplement or the Securities within or of a Series is calculated on the basis of a 360-day or 365-day year, the yearly rate of interest to which the rate used in such calculation is equivalent is the rate so used multiplied by the actual number of days in the calendar year in which the same is to be ascertained and divided by 360 or 365, as applicable. The rates of interest under this Indenture and the Securities are nominal rates, and not effective rates or yields. The principle of deemed reinvestment of interest does not apply to any interest calculation under this Indenture or the Securities.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EACH OF THE PARTIES HERETO HEREBY IRREVOCABLY WAIVES ALL RIGHTS TO TRIAL BY JURY IN ANY ACTION, PROCEEDING OR COUNTERCLAIM (WHETHER BASED ON CONTRACT, TORT OR OTHERWISE) ARISING OUT OF OR RELATING TO THIS INDENTURE, THE SECURITIES, THE GUARANTEES OR THE TRANSACTIONS CONTEMPLATED HEREBY OR THEREBY.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any provision of this Indenture limits, qualifies or conflicts with the duties imposed by operation of TIA § 318(c), the imposed duties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control.</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Indenture to be duly executed as of the day and year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Schlumberger Finance Canada Ltd.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Its:</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The Bank of New York Mellon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 Registrar, Paying Agent and Transfer Agent</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to Base Indenture</w:t>
      </w:r>
    </w:p>
    <w:p>
      <w:pPr>
        <w:sectPr>
          <w:pgSz w:w="11900" w:h="16838" w:orient="portrait"/>
          <w:cols w:equalWidth="0" w:num="1">
            <w:col w:w="9680"/>
          </w:cols>
          <w:pgMar w:left="1420" w:top="270" w:right="799" w:bottom="1440" w:gutter="0" w:footer="0" w:header="0"/>
        </w:sectPr>
      </w:pPr>
    </w:p>
    <w:bookmarkStart w:id="134" w:name="page135"/>
    <w:bookmarkEnd w:id="134"/>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Gibson, Dunn &amp; Crutcher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654175" cy="1797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1654175" cy="179705"/>
                    </a:xfrm>
                    <a:prstGeom prst="rect">
                      <a:avLst/>
                    </a:prstGeom>
                    <a:noFill/>
                  </pic:spPr>
                </pic:pic>
              </a:graphicData>
            </a:graphic>
          </wp:anchor>
        </w:drawing>
      </w:r>
    </w:p>
    <w:p>
      <w:pPr>
        <w:spacing w:after="0" w:line="11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27"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New York, NY 10166-0193</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Tel 212.351.4000</w:t>
      </w:r>
    </w:p>
    <w:p>
      <w:pPr>
        <w:spacing w:after="0" w:line="9"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www.gibsondunn.com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N.V. (Schlumberger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Schlumberger N.V. (Schlumberger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5599 San Felipe,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3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i w:val="1"/>
          <w:iCs w:val="1"/>
          <w:color w:val="auto"/>
        </w:rPr>
        <w:t>Schlumberger Finance Canada Ltd. and Schlumberger N.V. (Schlumberger Limited) Registration Statement on Form S-3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Schlumberger Finance Canada Ltd., a corporation incorporated under the laws of the Province of Alberta, Canada (the</w:t>
      </w:r>
    </w:p>
    <w:p>
      <w:pPr>
        <w:spacing w:after="0" w:line="27"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Schlumberger N.V. (Schlumberger Limited), a Curaçao company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under the Securities Act and the proposed issuance and sale from time to time pursuant to Rule 415 under the Securities Act, together or separately and in one or more series (if applicable) of:</w:t>
      </w:r>
    </w:p>
    <w:p>
      <w:pPr>
        <w:spacing w:after="0" w:line="81" w:lineRule="exact"/>
        <w:rPr>
          <w:sz w:val="20"/>
          <w:szCs w:val="20"/>
          <w:color w:val="auto"/>
        </w:rPr>
      </w:pPr>
    </w:p>
    <w:p>
      <w:pPr>
        <w:ind w:left="660" w:hanging="224"/>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senior unsecured debt securities (the “Debt Securities”); and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Debt Securities by the Guarantor (the “Debt Securities Guarantees”).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Debt Securities and Debt Securities Guarantees are collectively referred to herein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Debt Securities are to be issued under an indenture to be entered into among the Company, the Guarantor and The Bank of New York Mellon, as indenture trustee (the “Base Indenture”). In addition, the Base Indenture may be supplemented or amended as necessary to set forth the terms of the debt securities issued under the indenture.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arriving at the opinions expressed below, we have examined originals, or copies certified or otherwise identified to our satisfaction as being true and complete copies of the originals, of the form of the Base Indenture filed as Exhibit 4.1 to the Registration Statement and such other documents, corporate records, certificates of officers of the Company, the Guarantor and of public officials and other instruments as we have deemed necessary or advisable to enable us to render these opinions. In our examination, we have assumed the genuineness of</w:t>
      </w:r>
    </w:p>
    <w:p>
      <w:pPr>
        <w:spacing w:after="0" w:line="112"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Beijing . Brussels . Century City . Dallas . Denver . Dubai . Frankfurt . Hong Kong . Houston . London . Los Angeles . Munich New York . Orange County . Palo Alto . Paris . San Francisco . Sao Paulo . Singapore . Washington, D.C.</w:t>
      </w:r>
    </w:p>
    <w:p>
      <w:pPr>
        <w:sectPr>
          <w:pgSz w:w="11900" w:h="16838" w:orient="portrait"/>
          <w:cols w:equalWidth="0" w:num="1">
            <w:col w:w="11020"/>
          </w:cols>
          <w:pgMar w:left="440" w:top="117"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54175"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79705"/>
                    </a:xfrm>
                    <a:prstGeom prst="rect">
                      <a:avLst/>
                    </a:prstGeom>
                    <a:noFill/>
                  </pic:spPr>
                </pic:pic>
              </a:graphicData>
            </a:graphic>
          </wp:anchor>
        </w:drawing>
        <w:t>September 9,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the Guarantor and others.</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not admitted or qualified to practice law in the Province of Alberta, Canada or Curaçao. Therefore, we have relied upon the opinions of Bennett Jones LLP and STvB Advocaten (Europe) N.V., filed as exhibits to the Registration Statement, with respect to matters governed by the laws of the Province of Alberta, Canada and Curaçao.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assumed without independent investigation that:</w:t>
      </w:r>
    </w:p>
    <w:p>
      <w:pPr>
        <w:spacing w:after="0" w:line="117" w:lineRule="exact"/>
        <w:rPr>
          <w:sz w:val="20"/>
          <w:szCs w:val="20"/>
          <w:color w:val="auto"/>
        </w:rPr>
      </w:pPr>
    </w:p>
    <w:p>
      <w:pPr>
        <w:ind w:right="300" w:firstLine="987"/>
        <w:spacing w:after="0" w:line="282" w:lineRule="auto"/>
        <w:tabs>
          <w:tab w:leader="none" w:pos="120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any Securities are sold pursuant to the Registration Statement (the “</w:t>
      </w:r>
      <w:r>
        <w:rPr>
          <w:rFonts w:ascii="Times New Roman" w:cs="Times New Roman" w:eastAsia="Times New Roman" w:hAnsi="Times New Roman"/>
          <w:sz w:val="18"/>
          <w:szCs w:val="18"/>
          <w:u w:val="single" w:color="auto"/>
          <w:color w:val="auto"/>
        </w:rPr>
        <w:t>Relevant Time</w:t>
      </w:r>
      <w:r>
        <w:rPr>
          <w:rFonts w:ascii="Times New Roman" w:cs="Times New Roman" w:eastAsia="Times New Roman" w:hAnsi="Times New Roman"/>
          <w:sz w:val="18"/>
          <w:szCs w:val="18"/>
          <w:color w:val="auto"/>
        </w:rPr>
        <w:t>”), the Registration Statement and any supplements and amendments thereto (including post-effective amendments) will be effective and will comply with all applicable laws;</w:t>
      </w:r>
    </w:p>
    <w:p>
      <w:pPr>
        <w:spacing w:after="0" w:line="161" w:lineRule="exact"/>
        <w:rPr>
          <w:rFonts w:ascii="Times New Roman" w:cs="Times New Roman" w:eastAsia="Times New Roman" w:hAnsi="Times New Roman"/>
          <w:sz w:val="18"/>
          <w:szCs w:val="18"/>
          <w:color w:val="auto"/>
        </w:rPr>
      </w:pPr>
    </w:p>
    <w:p>
      <w:pPr>
        <w:ind w:right="520" w:firstLine="987"/>
        <w:spacing w:after="0" w:line="282" w:lineRule="auto"/>
        <w:tabs>
          <w:tab w:leader="none" w:pos="125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Relevant Time, a prospectus supplement will have been prepared and filed with the Commission describing the Securities offered thereby and all related documentation and will comply with all applicable laws;</w:t>
      </w:r>
    </w:p>
    <w:p>
      <w:pPr>
        <w:spacing w:after="0" w:line="161"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Securities will be issued and sold in the manner stated in the Registration Statement and the applicable prospectus supplement;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Relevant Time, all corporate or other action required to be taken by the Company and the Guarantor to duly authorize each proposed issuance of Securities and any related documentation (including the execution (in the case of certificated Securities), delivery and performance of the Securities and any related documentation referred to in paragraphs 1 through 3 below) shall have been duly completed and shall remain in full force and effect;</w:t>
      </w:r>
    </w:p>
    <w:p>
      <w:pPr>
        <w:spacing w:after="0" w:line="179"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Relevant Time, the relevant trustee shall have been qualified under the Trust Indenture Act of 1939, as amended (the “</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a Statement of Eligibility of the Trustee on Form T-1 shall have been properly filed with the Commission and the Base Indenture shall have been duly executed and delivered by the Company, the Guarantor and all other parties thereto and duly qualified under the TIA; and</w:t>
      </w:r>
    </w:p>
    <w:p>
      <w:pPr>
        <w:spacing w:after="0" w:line="175" w:lineRule="exact"/>
        <w:rPr>
          <w:rFonts w:ascii="Times New Roman" w:cs="Times New Roman" w:eastAsia="Times New Roman" w:hAnsi="Times New Roman"/>
          <w:sz w:val="18"/>
          <w:szCs w:val="18"/>
          <w:color w:val="auto"/>
        </w:rPr>
      </w:pPr>
    </w:p>
    <w:p>
      <w:pPr>
        <w:ind w:right="80" w:firstLine="987"/>
        <w:spacing w:after="0" w:line="266" w:lineRule="auto"/>
        <w:tabs>
          <w:tab w:leader="none" w:pos="129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Relevant Time, a definitive purchase, underwriting or similar agreement and any other necessary agreement with respect to any Securities offered or issued will have been duly authorized by all necessary corporate or other action of the Company and the Guarantor and duly executed and delivered by the Company, the Guarantor and the other parties thereto.</w:t>
      </w:r>
    </w:p>
    <w:p>
      <w:pPr>
        <w:sectPr>
          <w:pgSz w:w="11900" w:h="16838" w:orient="portrait"/>
          <w:cols w:equalWidth="0" w:num="1">
            <w:col w:w="10980"/>
          </w:cols>
          <w:pgMar w:left="440" w:top="769"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54175"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79705"/>
                    </a:xfrm>
                    <a:prstGeom prst="rect">
                      <a:avLst/>
                    </a:prstGeom>
                    <a:noFill/>
                  </pic:spPr>
                </pic:pic>
              </a:graphicData>
            </a:graphic>
          </wp:anchor>
        </w:drawing>
        <w:t>September 9,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on the foregoing and in reliance thereon, and subject to the assumptions, exceptions, qualifications and limitations set forth herein, we are of the opinion that with respect to any Debt Securities and related Debt Securities Guarantees, when:</w:t>
      </w:r>
    </w:p>
    <w:p>
      <w:pPr>
        <w:spacing w:after="0" w:line="54" w:lineRule="exact"/>
        <w:rPr>
          <w:sz w:val="20"/>
          <w:szCs w:val="20"/>
          <w:color w:val="auto"/>
        </w:rPr>
      </w:pPr>
    </w:p>
    <w:p>
      <w:pPr>
        <w:ind w:right="140" w:firstLine="987"/>
        <w:spacing w:after="0" w:line="282" w:lineRule="auto"/>
        <w:tabs>
          <w:tab w:leader="none" w:pos="11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such Securities have been duly established by supplemental indenture or officers’ certificate in accordance with the terms and conditions of the Base Indenture,</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1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supplemental indenture has been duly executed and delivered by the Company, the Guarantor and the relevant trustee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1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executed (in the case of certificated Debt Securities), delivered and authenticated in accordance with the terms of the Indenture and issued and sold for the consideration set forth in the applicable definitive purchase, underwriting or similar agreement,</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17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will be legal, valid and binding obligations of the Company, enforceable against the Company in accordance with their respective terms, and the Debt Securities Guarantees will be legal, valid and binding obligations of the Guarantor obligated thereon, enforceable against such Guarantor in accordance with their respective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expressed above are subject to the following exceptions, qualifications, limitations and assumptions:</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A. 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80"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B. The opinions above with respect to the Indenture, the Debt Securities and the related Debt Securities Guarantees (collectively, the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ectPr>
          <w:pgSz w:w="11900" w:h="16838" w:orient="portrait"/>
          <w:cols w:equalWidth="0" w:num="1">
            <w:col w:w="10980"/>
          </w:cols>
          <w:pgMar w:left="440" w:top="769" w:right="479" w:bottom="1440" w:gutter="0" w:footer="0" w:header="0"/>
        </w:sectPr>
      </w:pPr>
    </w:p>
    <w:bookmarkStart w:id="137" w:name="page138"/>
    <w:bookmarkEnd w:id="1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654175" cy="1797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654175" cy="179705"/>
                    </a:xfrm>
                    <a:prstGeom prst="rect">
                      <a:avLst/>
                    </a:prstGeom>
                    <a:noFill/>
                  </pic:spPr>
                </pic:pic>
              </a:graphicData>
            </a:graphic>
          </wp:anchor>
        </w:drawing>
        <w:t>September 9, 2020</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 We express no opinion regarding the effectiveness of (i) any waiver of stay, extension or usury laws or of unknown future rights;</w:t>
      </w:r>
    </w:p>
    <w:p>
      <w:pPr>
        <w:spacing w:after="0" w:line="27" w:lineRule="exact"/>
        <w:rPr>
          <w:sz w:val="20"/>
          <w:szCs w:val="20"/>
          <w:color w:val="auto"/>
        </w:rPr>
      </w:pPr>
    </w:p>
    <w:p>
      <w:pPr>
        <w:ind w:left="4" w:hanging="4"/>
        <w:spacing w:after="0" w:line="251" w:lineRule="auto"/>
        <w:tabs>
          <w:tab w:leader="none" w:pos="26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(whether or not stated as such) under the Indenture or any other Document of, or any consent thereunder relating to, unknown future rights or the rights of any party thereto existing, or duties owing to it, as a matter of law; (iii) any waiver (whether or not stated as such) contained in the Indenture or any other Document of rights of any party, or duties owing to it, that is broadly or vaguely stated or does not describe the right or duty purportedly waived with reasonable specificity; (iv) provisions relating to indemnification, exculpation or contribution, to the extent such provisions may be held unenforceable as contrary to public policy or federal or state securities laws or due to the negligence or willful misconduct of the indemnified party; (v) any purported fraudulent transfer “savings” clause; (vi) any provision in any Document waiving the right to object to venue in any court; (vii) any agreement to submit to the jurisdiction of any Federal court; (viii) any waiver of the right to jury trial; or (ix) any provision to the effect that every right or remedy is cumulative and may be exercised in addition to any other right or remedy or that the election of some particular remedy does not preclude recourse to one or more others.</w:t>
      </w:r>
    </w:p>
    <w:p>
      <w:pPr>
        <w:spacing w:after="0" w:line="19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 (ii) you will afford us an opportunity to</w:t>
      </w:r>
    </w:p>
    <w:p>
      <w:pPr>
        <w:ind w:left="4" w:hanging="4"/>
        <w:spacing w:after="0" w:line="260"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81"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we further consent to the use of our name under the caption “Validity of the Securities”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Gibson, Dunn &amp; Crutcher LLP</w:t>
      </w:r>
    </w:p>
    <w:p>
      <w:pPr>
        <w:sectPr>
          <w:pgSz w:w="11900" w:h="16838" w:orient="portrait"/>
          <w:cols w:equalWidth="0" w:num="1">
            <w:col w:w="10944"/>
          </w:cols>
          <w:pgMar w:left="436" w:top="769" w:right="51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 September 2020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We have acted as legal counsel to Schlumberger N.V. (also referred to as Schlumberger Limited), a limited liability company organized under the laws of Curaçao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of the filing by the Company and Schlumberger Finance Canada Ltd., a corporation incorporated under the laws of the Province of Alberta, Canada (“</w:t>
      </w:r>
      <w:r>
        <w:rPr>
          <w:rFonts w:ascii="Times New Roman" w:cs="Times New Roman" w:eastAsia="Times New Roman" w:hAnsi="Times New Roman"/>
          <w:sz w:val="18"/>
          <w:szCs w:val="18"/>
          <w:b w:val="1"/>
          <w:bCs w:val="1"/>
          <w:color w:val="auto"/>
        </w:rPr>
        <w:t>SFCL</w:t>
      </w:r>
      <w:r>
        <w:rPr>
          <w:rFonts w:ascii="Times New Roman" w:cs="Times New Roman" w:eastAsia="Times New Roman" w:hAnsi="Times New Roman"/>
          <w:sz w:val="18"/>
          <w:szCs w:val="18"/>
          <w:color w:val="auto"/>
        </w:rPr>
        <w:t>”), of a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relating to the registration under the Act of (i) senior unsecured debt securities of SFCL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and (ii) guarantees of the Debt Securities by the Company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 and, together with the Debt Securities,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that may be issued and sold from time to time pursuant to Rule 415 under the Act, as amended, certain legal matters in connection with the Securities are being passed upon for you by us. At your request, this opinion is being furnished to you for filing as Exhibit 5.2 to the Registration Statement.</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opinion is limited to matters governed by the laws of Curaçao.</w:t>
      </w:r>
    </w:p>
    <w:p>
      <w:pPr>
        <w:spacing w:after="0" w:line="225"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We have reviewed each of the Articles of Incorporation, the Amended and Restated Bylaws of the Company, each as amended to date and a draft of the Registration Statement; have familiarized ourselves with the matters discussed in the Registration Statement; and have examined all statutes and other records, instruments and corporate documents pertaining to the Company and the matters discussed in the Registration Statement that we deem necessary to examine for the purpose of this opinion. We have assumed that all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upon our examination as aforesaid, we are of the opinion that:</w:t>
      </w:r>
    </w:p>
    <w:p>
      <w:pPr>
        <w:spacing w:after="0" w:line="131" w:lineRule="exact"/>
        <w:rPr>
          <w:sz w:val="20"/>
          <w:szCs w:val="20"/>
          <w:color w:val="auto"/>
        </w:rPr>
      </w:pPr>
    </w:p>
    <w:p>
      <w:pPr>
        <w:ind w:left="424" w:right="160" w:hanging="424"/>
        <w:spacing w:after="0" w:line="282" w:lineRule="auto"/>
        <w:tabs>
          <w:tab w:leader="none" w:pos="4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under the laws of the former Netherlands Antilles and is currently validly existing as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of Curaçao.</w:t>
      </w:r>
    </w:p>
    <w:p>
      <w:pPr>
        <w:spacing w:after="0" w:line="67" w:lineRule="exact"/>
        <w:rPr>
          <w:rFonts w:ascii="Times New Roman" w:cs="Times New Roman" w:eastAsia="Times New Roman" w:hAnsi="Times New Roman"/>
          <w:sz w:val="18"/>
          <w:szCs w:val="18"/>
          <w:color w:val="auto"/>
        </w:rPr>
      </w:pPr>
    </w:p>
    <w:p>
      <w:pPr>
        <w:ind w:left="424" w:right="260" w:hanging="424"/>
        <w:spacing w:after="0" w:line="266" w:lineRule="auto"/>
        <w:tabs>
          <w:tab w:leader="none" w:pos="42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Guarantees, if and when the issue and the amount of any such guarantees of Debt Securities by the Company have been duly authorized by the Board of Directors of the Company, or, to the extent lawfully delegated, by a committee thereof or by officers authorized by the Board of Directors or such committee, will, if and when issued by the Company, be duly authorized.</w:t>
      </w:r>
    </w:p>
    <w:p>
      <w:pPr>
        <w:sectPr>
          <w:pgSz w:w="11900" w:h="16838" w:orient="portrait"/>
          <w:cols w:equalWidth="0" w:num="1">
            <w:col w:w="11024"/>
          </w:cols>
          <w:pgMar w:left="436" w:top="117" w:right="439" w:bottom="1440" w:gutter="0" w:footer="0" w:header="0"/>
        </w:sectPr>
      </w:pPr>
    </w:p>
    <w:bookmarkStart w:id="139" w:name="page140"/>
    <w:bookmarkEnd w:id="139"/>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We hereby consent to the filing of this opinion as Exhibit 5.2 to the Registration Statement. In giving this consent, we do not admit that we are in the category of persons whose consent is required under Section 7 of the Act or the rules and regulations of the Commission thereunder.</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STvB Advocaten (Europe) N.V.</w:t>
      </w:r>
    </w:p>
    <w:p>
      <w:pPr>
        <w:spacing w:after="0" w:line="15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700"/>
          </w:cols>
          <w:pgMar w:left="440" w:top="270" w:right="75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5.3</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September 9, 2020</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5599 San Felipe, 17th Floor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Schlumberger Finance Canada Ltd.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200, 125 - 9th Ave S.E.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Calgary, Alberta, T2G 0P6</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Ladies and Gentlemen:</w:t>
      </w:r>
    </w:p>
    <w:p>
      <w:pPr>
        <w:spacing w:after="0" w:line="113"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color w:val="auto"/>
        </w:rPr>
        <w:t>We have acted as Canadian counsel to Schlumberger Finance Canada Ltd. (“</w:t>
      </w:r>
      <w:r>
        <w:rPr>
          <w:rFonts w:ascii="Times New Roman" w:cs="Times New Roman" w:eastAsia="Times New Roman" w:hAnsi="Times New Roman"/>
          <w:sz w:val="18"/>
          <w:szCs w:val="18"/>
          <w:b w:val="1"/>
          <w:bCs w:val="1"/>
          <w:color w:val="auto"/>
        </w:rPr>
        <w:t>SCFL</w:t>
      </w:r>
      <w:r>
        <w:rPr>
          <w:rFonts w:ascii="Times New Roman" w:cs="Times New Roman" w:eastAsia="Times New Roman" w:hAnsi="Times New Roman"/>
          <w:sz w:val="18"/>
          <w:szCs w:val="18"/>
          <w:color w:val="auto"/>
        </w:rPr>
        <w:t xml:space="preserve">”), a corporation incorporated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 in connection with the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by SCFL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registering an indeterminate aggregate amount of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of SFCL and the related guarantees of the Debt Securities by Schlumberger N.V. (Schlumberger Limited), a Curaçao company (the “Guarantor”). We have examined such corporate records, certificates and other documents and such questions of law as we have considered necessary or appropriate for the purposes of this opinion.</w:t>
      </w:r>
    </w:p>
    <w:p>
      <w:pPr>
        <w:spacing w:after="0" w:line="1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Upon the basis of such examination, we advise you that, in our opinion:</w:t>
      </w:r>
    </w:p>
    <w:p>
      <w:pPr>
        <w:spacing w:after="0" w:line="129" w:lineRule="exact"/>
        <w:rPr>
          <w:sz w:val="20"/>
          <w:szCs w:val="20"/>
          <w:color w:val="auto"/>
        </w:rPr>
      </w:pPr>
    </w:p>
    <w:p>
      <w:pPr>
        <w:ind w:left="424" w:hanging="424"/>
        <w:spacing w:after="0"/>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SCFL is a valid and subsisting corporation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(Alberta);</w:t>
      </w:r>
    </w:p>
    <w:p>
      <w:pPr>
        <w:spacing w:after="0" w:line="132" w:lineRule="exact"/>
        <w:rPr>
          <w:rFonts w:ascii="Times New Roman" w:cs="Times New Roman" w:eastAsia="Times New Roman" w:hAnsi="Times New Roman"/>
          <w:sz w:val="18"/>
          <w:szCs w:val="18"/>
          <w:color w:val="auto"/>
        </w:rPr>
      </w:pPr>
    </w:p>
    <w:p>
      <w:pPr>
        <w:ind w:left="424" w:right="360" w:hanging="424"/>
        <w:spacing w:after="0" w:line="266"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relating to the Debt Securities will be duly and validly executed by SCFL in accordance with a valid resolution of the board of directors of SCFL, and assuming due authorization and execution of such Indenture in accordance with applicable laws and regulations by the Guarantor, will duly authorized; and</w:t>
      </w:r>
    </w:p>
    <w:p>
      <w:pPr>
        <w:spacing w:after="0" w:line="81" w:lineRule="exact"/>
        <w:rPr>
          <w:rFonts w:ascii="Times New Roman" w:cs="Times New Roman" w:eastAsia="Times New Roman" w:hAnsi="Times New Roman"/>
          <w:sz w:val="18"/>
          <w:szCs w:val="18"/>
          <w:color w:val="auto"/>
        </w:rPr>
      </w:pPr>
    </w:p>
    <w:p>
      <w:pPr>
        <w:ind w:left="424" w:right="280" w:hanging="424"/>
        <w:spacing w:after="0" w:line="282" w:lineRule="auto"/>
        <w:tabs>
          <w:tab w:leader="none" w:pos="42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when duly and validly issued in accordance with a valid resolution of the board of directors of SCFL duly authorizing such issuance, will be duly authorized.</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The foregoing opinion is limited to the laws of the Province of Alberta and the federal laws of Canada applicable therein in force on this date and we are expressing no opinion as to the effect of the laws of any other jurisdiction. We understand that Gibson, Dunn &amp; Crutcher LLP intends to rely upon this opinion for purposes of the opinion such firm expects to deliver in connection with the Registration Statement, and we hereby consent to such reliance as though this opinion were addressed to such firm.</w:t>
      </w:r>
    </w:p>
    <w:p>
      <w:pPr>
        <w:spacing w:after="0" w:line="180"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relating to the Debt Securities and to the references to us under the caption “Validity of the Securities” in the prospectus included therein. In giving such consent we do not thereby admit that we are within the category of persons whose consent is required under Section 7 of the Act.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Bennett Jones LLP</w:t>
      </w:r>
    </w:p>
    <w:p>
      <w:pPr>
        <w:sectPr>
          <w:pgSz w:w="11900" w:h="16838" w:orient="portrait"/>
          <w:cols w:equalWidth="0" w:num="1">
            <w:col w:w="11024"/>
          </w:cols>
          <w:pgMar w:left="436" w:top="117" w:right="4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Schlumberger Limited and Schlumberger Finance Canada Ltd. of our report dated January 22, 2020 relating to the financial statements and the effectiveness of internal control over financial reporting, which appears in Schlumberger Limited’s Annual Report on Form 10-K for the year ended December 31, 2019. We also consent to the reference to us under the heading “Experts” in such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9, 2020</w:t>
      </w:r>
    </w:p>
    <w:p>
      <w:pPr>
        <w:sectPr>
          <w:pgSz w:w="11900" w:h="16838" w:orient="portrait"/>
          <w:cols w:equalWidth="0" w:num="1">
            <w:col w:w="11020"/>
          </w:cols>
          <w:pgMar w:left="440" w:top="117" w:right="4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Each of the undersigned, being a director or officer, or both, of Schlumberger Limited, a Curaçao corporation (the “Guarantor”), hereby constitutes and appoints Howard Guild, Alexander C. Juden or Saul R. Laureles,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on Form S-3, any amendments thereto, and all post-effective amendments and supplements to this Registration Statement for the registration of Schlumberger Finance Canada Ltd.’s debt securities and the Guarantor’s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90"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This Power of Attorney may be signed in any number of counterparts, each of which will constitute an original and all of which, taken together, will constitute one Power of Attorney.</w:t>
      </w:r>
    </w:p>
    <w:p>
      <w:pPr>
        <w:sectPr>
          <w:pgSz w:w="11900" w:h="16838" w:orient="portrait"/>
          <w:cols w:equalWidth="0" w:num="1">
            <w:col w:w="11020"/>
          </w:cols>
          <w:pgMar w:left="440" w:top="117" w:right="4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2020</w:t>
      </w:r>
    </w:p>
    <w:p>
      <w:pPr>
        <w:spacing w:after="0" w:line="2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 Patrick de La Chevardière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46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Patrick de La Chevardière</w:t>
      </w:r>
    </w:p>
    <w:p>
      <w:pPr>
        <w:spacing w:after="0" w:line="2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 Miguel Galuccio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46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Miguel Galuccio</w:t>
      </w:r>
    </w:p>
    <w:p>
      <w:pPr>
        <w:spacing w:after="0" w:line="2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46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Olivier Le Peuch</w:t>
      </w:r>
    </w:p>
    <w:p>
      <w:pPr>
        <w:spacing w:after="0" w:line="2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2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/s/ Tatiana Mitrova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46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Tatiana Mitrova</w:t>
      </w:r>
    </w:p>
    <w:p>
      <w:pPr>
        <w:spacing w:after="0" w:line="23"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/s/ Lubna S. Olayan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1546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Lubna S. Olayan</w:t>
      </w:r>
    </w:p>
    <w:p>
      <w:pPr>
        <w:spacing w:after="0" w:line="2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Mark G. 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17145</wp:posOffset>
            </wp:positionV>
            <wp:extent cx="31457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Mark G. Papa</w:t>
      </w:r>
    </w:p>
    <w:p>
      <w:pPr>
        <w:spacing w:after="0" w:line="23"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17145</wp:posOffset>
            </wp:positionV>
            <wp:extent cx="314579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Leo Rafael Reif</w:t>
      </w:r>
    </w:p>
    <w:p>
      <w:pPr>
        <w:spacing w:after="0" w:line="23"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17145</wp:posOffset>
            </wp:positionV>
            <wp:extent cx="31457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Henri Seydoux</w:t>
      </w:r>
    </w:p>
    <w:p>
      <w:pPr>
        <w:spacing w:after="0" w:line="23" w:lineRule="exact"/>
        <w:rPr>
          <w:sz w:val="20"/>
          <w:szCs w:val="20"/>
          <w:color w:val="auto"/>
        </w:rPr>
      </w:pPr>
    </w:p>
    <w:p>
      <w:pPr>
        <w:jc w:val="center"/>
        <w:ind w:right="1740"/>
        <w:spacing w:after="0"/>
        <w:rPr>
          <w:sz w:val="20"/>
          <w:szCs w:val="20"/>
          <w:color w:val="auto"/>
        </w:rPr>
      </w:pPr>
      <w:r>
        <w:rPr>
          <w:rFonts w:ascii="Times New Roman" w:cs="Times New Roman" w:eastAsia="Times New Roman" w:hAnsi="Times New Roman"/>
          <w:sz w:val="18"/>
          <w:szCs w:val="18"/>
          <w:color w:val="auto"/>
        </w:rPr>
        <w:t>Director</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Jeff W.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17145</wp:posOffset>
            </wp:positionV>
            <wp:extent cx="31457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Jeff W. Sheets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Director</w:t>
      </w:r>
    </w:p>
    <w:p>
      <w:pPr>
        <w:sectPr>
          <w:pgSz w:w="11900" w:h="16838" w:orient="portrait"/>
          <w:cols w:equalWidth="0" w:num="2">
            <w:col w:w="7180" w:space="720"/>
            <w:col w:w="3120"/>
          </w:cols>
          <w:pgMar w:left="440" w:top="117" w:right="439" w:bottom="1440" w:gutter="0" w:footer="0" w:header="0"/>
          <w:type w:val="continuous"/>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of the undersigned, being a director or officer, or both, of Schlumberger Finance Canada Ltd., an Alberta corporation (the “Company”), hereby constitutes and appoints Saul R. Laureles, Tatyana A. Lambert, or Tatum Woywitka, and each of them, his or her true and lawful attorney-in-fact and agent, with full and several power of substitution, resubstitution and revocation and to act with or without the others, for him or her and in his or her name, place and stead in any and all capacities: (i) to sign this Registration Statement under the Securities Act of 1933, as amended, on Form S-3, any amendments thereto, and all post-effective amendments and supplements to this Registration Statement for the registration of the Company’s debt securities and Schlumberger Limited’s guarantees thereof; and (ii) to file this Registration Statement and any and all amendments and supplements thereto, with any exhibits thereto, and other documents in connection therewith, with the Securities and Exchange Commission, in each case,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will comply with the Securities Act of 1933, as amended, and the applicable Rules and Regulations adopted or issued pursuant thereto, as fully and to all intents and purposes as he or she might or could do in person, hereby ratifying and confirming all that said attorneys-in-fact and agents, or any of them or their substitute or resubstitute, may lawfully do or cause to be done by virtue hereof.</w:t>
      </w:r>
    </w:p>
    <w:p>
      <w:pPr>
        <w:spacing w:after="0" w:line="19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This Power of Attorney may be signed in any number of counterparts, each of which will constitute an original and all of which, taken together, will constitute one Power of Attorney.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24,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980" w:type="dxa"/>
            <w:vAlign w:val="bottom"/>
          </w:tcPr>
          <w:p>
            <w:pPr>
              <w:jc w:val="center"/>
              <w:ind w:left="5275"/>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5"/>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Patrick Delisle</w:t>
            </w:r>
          </w:p>
        </w:tc>
        <w:tc>
          <w:tcPr>
            <w:tcW w:w="5980" w:type="dxa"/>
            <w:vAlign w:val="bottom"/>
          </w:tcPr>
          <w:p>
            <w:pPr>
              <w:jc w:val="center"/>
              <w:ind w:left="5295"/>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(Patrick Delisle)</w:t>
            </w:r>
          </w:p>
        </w:tc>
        <w:tc>
          <w:tcPr>
            <w:tcW w:w="598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Tatyana A. Lambert</w:t>
            </w:r>
          </w:p>
        </w:tc>
        <w:tc>
          <w:tcPr>
            <w:tcW w:w="5980" w:type="dxa"/>
            <w:vAlign w:val="bottom"/>
          </w:tcPr>
          <w:p>
            <w:pPr>
              <w:jc w:val="center"/>
              <w:ind w:left="5295"/>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(Tatyana A. Lambert)</w:t>
            </w:r>
          </w:p>
        </w:tc>
        <w:tc>
          <w:tcPr>
            <w:tcW w:w="5980" w:type="dxa"/>
            <w:vAlign w:val="bottom"/>
          </w:tcPr>
          <w:p>
            <w:pPr>
              <w:spacing w:after="0"/>
              <w:rPr>
                <w:sz w:val="19"/>
                <w:szCs w:val="19"/>
                <w:color w:val="auto"/>
              </w:rPr>
            </w:pPr>
          </w:p>
        </w:tc>
      </w:tr>
      <w:tr>
        <w:trPr>
          <w:trHeight w:val="414"/>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O’Byrne</w:t>
            </w:r>
          </w:p>
        </w:tc>
        <w:tc>
          <w:tcPr>
            <w:tcW w:w="5980" w:type="dxa"/>
            <w:vAlign w:val="bottom"/>
          </w:tcPr>
          <w:p>
            <w:pPr>
              <w:jc w:val="center"/>
              <w:ind w:left="5295"/>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O’Byrne)</w:t>
            </w:r>
          </w:p>
        </w:tc>
        <w:tc>
          <w:tcPr>
            <w:tcW w:w="5980" w:type="dxa"/>
            <w:vAlign w:val="bottom"/>
          </w:tcPr>
          <w:p>
            <w:pPr>
              <w:spacing w:after="0"/>
              <w:rPr>
                <w:sz w:val="19"/>
                <w:szCs w:val="19"/>
                <w:color w:val="auto"/>
              </w:rPr>
            </w:pPr>
          </w:p>
        </w:tc>
      </w:tr>
    </w:tbl>
    <w:p>
      <w:pPr>
        <w:sectPr>
          <w:pgSz w:w="11900" w:h="16838" w:orient="portrait"/>
          <w:cols w:equalWidth="0" w:num="1">
            <w:col w:w="10960"/>
          </w:cols>
          <w:pgMar w:left="440" w:top="266" w:right="49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995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148590</wp:posOffset>
            </wp:positionV>
            <wp:extent cx="69951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16"/>
        <w:spacing w:after="0" w:line="246" w:lineRule="auto"/>
        <w:rPr>
          <w:sz w:val="20"/>
          <w:szCs w:val="20"/>
          <w:color w:val="auto"/>
        </w:rPr>
      </w:pPr>
      <w:r>
        <w:rPr>
          <w:rFonts w:ascii="Times New Roman" w:cs="Times New Roman" w:eastAsia="Times New Roman" w:hAnsi="Times New Roman"/>
          <w:sz w:val="22"/>
          <w:szCs w:val="22"/>
          <w:b w:val="1"/>
          <w:bCs w:val="1"/>
          <w:color w:val="auto"/>
        </w:rPr>
        <w:t>STATEMENT OF ELIGIBILITY UNDER THE TRUST INDENTURE ACT OF 1939 OF A CORPORATION DESIGNATED TO ACT AS TRUSTEE</w:t>
      </w:r>
    </w:p>
    <w:p>
      <w:pPr>
        <w:spacing w:after="0" w:line="167" w:lineRule="exact"/>
        <w:rPr>
          <w:sz w:val="20"/>
          <w:szCs w:val="20"/>
          <w:color w:val="auto"/>
        </w:rPr>
      </w:pPr>
    </w:p>
    <w:p>
      <w:pPr>
        <w:ind w:left="424" w:right="180" w:hanging="424"/>
        <w:spacing w:after="0" w:line="262" w:lineRule="auto"/>
        <w:tabs>
          <w:tab w:leader="none" w:pos="424" w:val="left"/>
        </w:tabs>
        <w:numPr>
          <w:ilvl w:val="0"/>
          <w:numId w:val="15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183515</wp:posOffset>
            </wp:positionV>
            <wp:extent cx="1474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BANK OF NEW YORK MELLON</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tbl>
      <w:tblPr>
        <w:tblLayout w:type="fixed"/>
        <w:tblInd w:w="1244" w:type="dxa"/>
        <w:tblCellMar>
          <w:top w:w="0" w:type="dxa"/>
          <w:left w:w="0" w:type="dxa"/>
          <w:bottom w:w="0" w:type="dxa"/>
          <w:right w:w="0" w:type="dxa"/>
        </w:tblCellMar>
      </w:tblPr>
      <w:tr>
        <w:trPr>
          <w:trHeight w:val="214"/>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13-5160382</w:t>
            </w:r>
          </w:p>
        </w:tc>
      </w:tr>
      <w:tr>
        <w:trPr>
          <w:trHeight w:val="190"/>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(State of incorporation if not a U.S. national bank)</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240 Greenwich Street, New York, NY</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7"/>
              </w:rPr>
              <w:t>10286</w:t>
            </w:r>
          </w:p>
        </w:tc>
      </w:tr>
      <w:tr>
        <w:trPr>
          <w:trHeight w:val="190"/>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66"/>
        </w:trPr>
        <w:tc>
          <w:tcPr>
            <w:tcW w:w="8160" w:type="dxa"/>
            <w:vAlign w:val="bottom"/>
            <w:gridSpan w:val="4"/>
          </w:tcPr>
          <w:p>
            <w:pPr>
              <w:jc w:val="center"/>
              <w:ind w:left="276"/>
              <w:spacing w:after="0"/>
              <w:rPr>
                <w:sz w:val="20"/>
                <w:szCs w:val="20"/>
                <w:color w:val="auto"/>
              </w:rPr>
            </w:pPr>
            <w:r>
              <w:rPr>
                <w:rFonts w:ascii="Times New Roman" w:cs="Times New Roman" w:eastAsia="Times New Roman" w:hAnsi="Times New Roman"/>
                <w:sz w:val="18"/>
                <w:szCs w:val="18"/>
                <w:b w:val="1"/>
                <w:bCs w:val="1"/>
                <w:color w:val="auto"/>
                <w:w w:val="99"/>
              </w:rPr>
              <w:t>Elizabeth Stern, Director and Managing Counsel</w:t>
            </w:r>
          </w:p>
        </w:tc>
      </w:tr>
      <w:tr>
        <w:trPr>
          <w:trHeight w:val="216"/>
        </w:trPr>
        <w:tc>
          <w:tcPr>
            <w:tcW w:w="5900" w:type="dxa"/>
            <w:vAlign w:val="bottom"/>
            <w:gridSpan w:val="3"/>
          </w:tcPr>
          <w:p>
            <w:pPr>
              <w:jc w:val="center"/>
              <w:ind w:left="2556"/>
              <w:spacing w:after="0"/>
              <w:rPr>
                <w:sz w:val="20"/>
                <w:szCs w:val="20"/>
                <w:color w:val="auto"/>
              </w:rPr>
            </w:pPr>
            <w:r>
              <w:rPr>
                <w:rFonts w:ascii="Times New Roman" w:cs="Times New Roman" w:eastAsia="Times New Roman" w:hAnsi="Times New Roman"/>
                <w:sz w:val="18"/>
                <w:szCs w:val="18"/>
                <w:b w:val="1"/>
                <w:bCs w:val="1"/>
                <w:color w:val="auto"/>
                <w:w w:val="98"/>
              </w:rPr>
              <w:t>The Bank of New York Mellon</w:t>
            </w:r>
          </w:p>
        </w:tc>
        <w:tc>
          <w:tcPr>
            <w:tcW w:w="2260" w:type="dxa"/>
            <w:vAlign w:val="bottom"/>
          </w:tcPr>
          <w:p>
            <w:pPr>
              <w:spacing w:after="0"/>
              <w:rPr>
                <w:sz w:val="18"/>
                <w:szCs w:val="18"/>
                <w:color w:val="auto"/>
              </w:rPr>
            </w:pPr>
          </w:p>
        </w:tc>
      </w:tr>
      <w:tr>
        <w:trPr>
          <w:trHeight w:val="216"/>
        </w:trPr>
        <w:tc>
          <w:tcPr>
            <w:tcW w:w="5900" w:type="dxa"/>
            <w:vAlign w:val="bottom"/>
            <w:gridSpan w:val="3"/>
          </w:tcPr>
          <w:p>
            <w:pPr>
              <w:jc w:val="center"/>
              <w:ind w:left="2556"/>
              <w:spacing w:after="0"/>
              <w:rPr>
                <w:sz w:val="20"/>
                <w:szCs w:val="20"/>
                <w:color w:val="auto"/>
              </w:rPr>
            </w:pPr>
            <w:r>
              <w:rPr>
                <w:rFonts w:ascii="Times New Roman" w:cs="Times New Roman" w:eastAsia="Times New Roman" w:hAnsi="Times New Roman"/>
                <w:sz w:val="18"/>
                <w:szCs w:val="18"/>
                <w:b w:val="1"/>
                <w:bCs w:val="1"/>
                <w:color w:val="auto"/>
                <w:w w:val="99"/>
              </w:rPr>
              <w:t>240 Greenwich Street, Floor 18</w:t>
            </w:r>
          </w:p>
        </w:tc>
        <w:tc>
          <w:tcPr>
            <w:tcW w:w="226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28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New York, New York 10286</w:t>
            </w:r>
          </w:p>
        </w:tc>
        <w:tc>
          <w:tcPr>
            <w:tcW w:w="2260" w:type="dxa"/>
            <w:vAlign w:val="bottom"/>
          </w:tcPr>
          <w:p>
            <w:pPr>
              <w:spacing w:after="0"/>
              <w:rPr>
                <w:sz w:val="18"/>
                <w:szCs w:val="18"/>
                <w:color w:val="auto"/>
              </w:rPr>
            </w:pPr>
          </w:p>
        </w:tc>
      </w:tr>
      <w:tr>
        <w:trPr>
          <w:trHeight w:val="214"/>
        </w:trPr>
        <w:tc>
          <w:tcPr>
            <w:tcW w:w="5420" w:type="dxa"/>
            <w:vAlign w:val="bottom"/>
            <w:gridSpan w:val="2"/>
          </w:tcPr>
          <w:p>
            <w:pPr>
              <w:jc w:val="center"/>
              <w:ind w:left="3016"/>
              <w:spacing w:after="0"/>
              <w:rPr>
                <w:sz w:val="20"/>
                <w:szCs w:val="20"/>
                <w:color w:val="auto"/>
              </w:rPr>
            </w:pPr>
            <w:r>
              <w:rPr>
                <w:rFonts w:ascii="Times New Roman" w:cs="Times New Roman" w:eastAsia="Times New Roman" w:hAnsi="Times New Roman"/>
                <w:sz w:val="18"/>
                <w:szCs w:val="18"/>
                <w:b w:val="1"/>
                <w:bCs w:val="1"/>
                <w:color w:val="auto"/>
                <w:w w:val="99"/>
              </w:rPr>
              <w:t>(212) 815-2421</w:t>
            </w:r>
          </w:p>
        </w:tc>
        <w:tc>
          <w:tcPr>
            <w:tcW w:w="4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90"/>
        </w:trPr>
        <w:tc>
          <w:tcPr>
            <w:tcW w:w="8160" w:type="dxa"/>
            <w:vAlign w:val="bottom"/>
            <w:gridSpan w:val="4"/>
          </w:tcPr>
          <w:p>
            <w:pPr>
              <w:jc w:val="center"/>
              <w:ind w:left="296"/>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agent for service)</w:t>
            </w:r>
          </w:p>
        </w:tc>
      </w:tr>
      <w:tr>
        <w:trPr>
          <w:trHeight w:val="307"/>
        </w:trPr>
        <w:tc>
          <w:tcPr>
            <w:tcW w:w="31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3"/>
        </w:trPr>
        <w:tc>
          <w:tcPr>
            <w:tcW w:w="3100" w:type="dxa"/>
            <w:vAlign w:val="bottom"/>
          </w:tcPr>
          <w:p>
            <w:pPr>
              <w:spacing w:after="0"/>
              <w:rPr>
                <w:sz w:val="24"/>
                <w:szCs w:val="24"/>
                <w:color w:val="auto"/>
              </w:rPr>
            </w:pPr>
          </w:p>
        </w:tc>
        <w:tc>
          <w:tcPr>
            <w:tcW w:w="28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SCHLUMBERGER N.V.</w:t>
            </w:r>
          </w:p>
        </w:tc>
        <w:tc>
          <w:tcPr>
            <w:tcW w:w="2260" w:type="dxa"/>
            <w:vAlign w:val="bottom"/>
          </w:tcPr>
          <w:p>
            <w:pPr>
              <w:spacing w:after="0"/>
              <w:rPr>
                <w:sz w:val="24"/>
                <w:szCs w:val="24"/>
                <w:color w:val="auto"/>
              </w:rPr>
            </w:pPr>
          </w:p>
        </w:tc>
      </w:tr>
      <w:tr>
        <w:trPr>
          <w:trHeight w:val="214"/>
        </w:trPr>
        <w:tc>
          <w:tcPr>
            <w:tcW w:w="5900" w:type="dxa"/>
            <w:vAlign w:val="bottom"/>
            <w:gridSpan w:val="3"/>
          </w:tcPr>
          <w:p>
            <w:pPr>
              <w:jc w:val="center"/>
              <w:ind w:left="2536"/>
              <w:spacing w:after="0"/>
              <w:rPr>
                <w:sz w:val="20"/>
                <w:szCs w:val="20"/>
                <w:color w:val="auto"/>
              </w:rPr>
            </w:pPr>
            <w:r>
              <w:rPr>
                <w:rFonts w:ascii="Times New Roman" w:cs="Times New Roman" w:eastAsia="Times New Roman" w:hAnsi="Times New Roman"/>
                <w:sz w:val="18"/>
                <w:szCs w:val="18"/>
                <w:b w:val="1"/>
                <w:bCs w:val="1"/>
                <w:color w:val="auto"/>
              </w:rPr>
              <w:t>(SCHLUMBERGER LIMITED)</w:t>
            </w:r>
          </w:p>
        </w:tc>
        <w:tc>
          <w:tcPr>
            <w:tcW w:w="2260" w:type="dxa"/>
            <w:vAlign w:val="bottom"/>
          </w:tcPr>
          <w:p>
            <w:pPr>
              <w:spacing w:after="0"/>
              <w:rPr>
                <w:sz w:val="18"/>
                <w:szCs w:val="18"/>
                <w:color w:val="auto"/>
              </w:rPr>
            </w:pPr>
          </w:p>
        </w:tc>
      </w:tr>
      <w:tr>
        <w:trPr>
          <w:trHeight w:val="190"/>
        </w:trPr>
        <w:tc>
          <w:tcPr>
            <w:tcW w:w="5900" w:type="dxa"/>
            <w:vAlign w:val="bottom"/>
            <w:gridSpan w:val="3"/>
          </w:tcPr>
          <w:p>
            <w:pPr>
              <w:jc w:val="center"/>
              <w:ind w:left="2556"/>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c>
          <w:tcPr>
            <w:tcW w:w="2260" w:type="dxa"/>
            <w:vAlign w:val="bottom"/>
          </w:tcPr>
          <w:p>
            <w:pPr>
              <w:spacing w:after="0"/>
              <w:rPr>
                <w:sz w:val="16"/>
                <w:szCs w:val="16"/>
                <w:color w:val="auto"/>
              </w:rPr>
            </w:pPr>
          </w:p>
        </w:tc>
      </w:tr>
      <w:tr>
        <w:trPr>
          <w:trHeight w:val="320"/>
        </w:trPr>
        <w:tc>
          <w:tcPr>
            <w:tcW w:w="31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28"/>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52-0684746</w:t>
            </w:r>
          </w:p>
        </w:tc>
      </w:tr>
      <w:tr>
        <w:trPr>
          <w:trHeight w:val="148"/>
        </w:trPr>
        <w:tc>
          <w:tcPr>
            <w:tcW w:w="5900" w:type="dxa"/>
            <w:vAlign w:val="bottom"/>
            <w:gridSpan w:val="3"/>
          </w:tcPr>
          <w:p>
            <w:pPr>
              <w:jc w:val="center"/>
              <w:ind w:right="28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60" w:type="dxa"/>
            <w:vAlign w:val="bottom"/>
          </w:tcPr>
          <w:p>
            <w:pPr>
              <w:jc w:val="center"/>
              <w:ind w:left="5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Schlumberger Limited</w:t>
            </w:r>
          </w:p>
        </w:tc>
        <w:tc>
          <w:tcPr>
            <w:tcW w:w="2260" w:type="dxa"/>
            <w:vAlign w:val="bottom"/>
          </w:tcPr>
          <w:p>
            <w:pPr>
              <w:spacing w:after="0"/>
              <w:rPr>
                <w:sz w:val="24"/>
                <w:szCs w:val="24"/>
                <w:color w:val="auto"/>
              </w:rPr>
            </w:pPr>
          </w:p>
        </w:tc>
      </w:tr>
      <w:tr>
        <w:trPr>
          <w:trHeight w:val="216"/>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2260" w:type="dxa"/>
            <w:vAlign w:val="bottom"/>
          </w:tcPr>
          <w:p>
            <w:pPr>
              <w:spacing w:after="0"/>
              <w:rPr>
                <w:sz w:val="18"/>
                <w:szCs w:val="18"/>
                <w:color w:val="auto"/>
              </w:rPr>
            </w:pPr>
          </w:p>
        </w:tc>
      </w:tr>
      <w:tr>
        <w:trPr>
          <w:trHeight w:val="238"/>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Paris, France</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410"/>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5599 San Felipe, 17th Floor</w:t>
            </w:r>
          </w:p>
        </w:tc>
        <w:tc>
          <w:tcPr>
            <w:tcW w:w="2260" w:type="dxa"/>
            <w:vAlign w:val="bottom"/>
          </w:tcPr>
          <w:p>
            <w:pPr>
              <w:spacing w:after="0"/>
              <w:rPr>
                <w:sz w:val="24"/>
                <w:szCs w:val="24"/>
                <w:color w:val="auto"/>
              </w:rPr>
            </w:pPr>
          </w:p>
        </w:tc>
      </w:tr>
      <w:tr>
        <w:trPr>
          <w:trHeight w:val="238"/>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7"/>
              </w:rPr>
              <w:t>77056</w:t>
            </w:r>
          </w:p>
        </w:tc>
      </w:tr>
      <w:tr>
        <w:trPr>
          <w:trHeight w:val="410"/>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2260" w:type="dxa"/>
            <w:vAlign w:val="bottom"/>
          </w:tcPr>
          <w:p>
            <w:pPr>
              <w:spacing w:after="0"/>
              <w:rPr>
                <w:sz w:val="24"/>
                <w:szCs w:val="24"/>
                <w:color w:val="auto"/>
              </w:rPr>
            </w:pPr>
          </w:p>
        </w:tc>
      </w:tr>
      <w:tr>
        <w:trPr>
          <w:trHeight w:val="252"/>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rPr>
              <w:t>London, United Kingdom</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410"/>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Parkstraat 83, The Hague</w:t>
            </w:r>
          </w:p>
        </w:tc>
        <w:tc>
          <w:tcPr>
            <w:tcW w:w="2260" w:type="dxa"/>
            <w:vAlign w:val="bottom"/>
          </w:tcPr>
          <w:p>
            <w:pPr>
              <w:spacing w:after="0"/>
              <w:rPr>
                <w:sz w:val="24"/>
                <w:szCs w:val="24"/>
                <w:color w:val="auto"/>
              </w:rPr>
            </w:pPr>
          </w:p>
        </w:tc>
      </w:tr>
      <w:tr>
        <w:trPr>
          <w:trHeight w:val="214"/>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The Netherlands</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190"/>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1"/>
        </w:trPr>
        <w:tc>
          <w:tcPr>
            <w:tcW w:w="31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40" w:type="dxa"/>
            <w:vAlign w:val="bottom"/>
            <w:gridSpan w:val="2"/>
          </w:tcPr>
          <w:p>
            <w:pPr>
              <w:spacing w:after="0"/>
              <w:rPr>
                <w:sz w:val="24"/>
                <w:szCs w:val="24"/>
                <w:color w:val="auto"/>
              </w:rPr>
            </w:pPr>
          </w:p>
        </w:tc>
      </w:tr>
      <w:tr>
        <w:trPr>
          <w:trHeight w:val="671"/>
        </w:trPr>
        <w:tc>
          <w:tcPr>
            <w:tcW w:w="8160" w:type="dxa"/>
            <w:vAlign w:val="bottom"/>
            <w:gridSpan w:val="4"/>
          </w:tcPr>
          <w:p>
            <w:pPr>
              <w:jc w:val="center"/>
              <w:ind w:left="276"/>
              <w:spacing w:after="0"/>
              <w:rPr>
                <w:sz w:val="20"/>
                <w:szCs w:val="20"/>
                <w:color w:val="auto"/>
              </w:rPr>
            </w:pPr>
            <w:r>
              <w:rPr>
                <w:rFonts w:ascii="Times New Roman" w:cs="Times New Roman" w:eastAsia="Times New Roman" w:hAnsi="Times New Roman"/>
                <w:sz w:val="18"/>
                <w:szCs w:val="18"/>
                <w:b w:val="1"/>
                <w:bCs w:val="1"/>
                <w:color w:val="auto"/>
                <w:w w:val="99"/>
              </w:rPr>
              <w:t>SCHLUMBERGER FINANCE CANADA LTD.</w:t>
            </w:r>
          </w:p>
        </w:tc>
      </w:tr>
      <w:tr>
        <w:trPr>
          <w:trHeight w:val="190"/>
        </w:trPr>
        <w:tc>
          <w:tcPr>
            <w:tcW w:w="5900" w:type="dxa"/>
            <w:vAlign w:val="bottom"/>
            <w:gridSpan w:val="3"/>
          </w:tcPr>
          <w:p>
            <w:pPr>
              <w:jc w:val="center"/>
              <w:ind w:left="2556"/>
              <w:spacing w:after="0"/>
              <w:rPr>
                <w:sz w:val="20"/>
                <w:szCs w:val="20"/>
                <w:color w:val="auto"/>
              </w:rPr>
            </w:pPr>
            <w:r>
              <w:rPr>
                <w:rFonts w:ascii="Times New Roman" w:cs="Times New Roman" w:eastAsia="Times New Roman" w:hAnsi="Times New Roman"/>
                <w:sz w:val="14"/>
                <w:szCs w:val="14"/>
                <w:b w:val="1"/>
                <w:bCs w:val="1"/>
                <w:color w:val="auto"/>
              </w:rPr>
              <w:t>(Exact name of obligor as specified in its charter)</w:t>
            </w:r>
          </w:p>
        </w:tc>
        <w:tc>
          <w:tcPr>
            <w:tcW w:w="2260" w:type="dxa"/>
            <w:vAlign w:val="bottom"/>
          </w:tcPr>
          <w:p>
            <w:pPr>
              <w:spacing w:after="0"/>
              <w:rPr>
                <w:sz w:val="16"/>
                <w:szCs w:val="16"/>
                <w:color w:val="auto"/>
              </w:rPr>
            </w:pPr>
          </w:p>
        </w:tc>
      </w:tr>
      <w:tr>
        <w:trPr>
          <w:trHeight w:val="417"/>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rPr>
              <w:t>Alberta</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49"/>
        </w:trPr>
        <w:tc>
          <w:tcPr>
            <w:tcW w:w="5900" w:type="dxa"/>
            <w:vAlign w:val="bottom"/>
            <w:gridSpan w:val="3"/>
          </w:tcPr>
          <w:p>
            <w:pPr>
              <w:jc w:val="center"/>
              <w:ind w:right="286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60" w:type="dxa"/>
            <w:vAlign w:val="bottom"/>
          </w:tcPr>
          <w:p>
            <w:pPr>
              <w:jc w:val="center"/>
              <w:ind w:left="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200, 125 - 9th Avenue S.E.</w:t>
            </w:r>
          </w:p>
        </w:tc>
        <w:tc>
          <w:tcPr>
            <w:tcW w:w="2260" w:type="dxa"/>
            <w:vAlign w:val="bottom"/>
          </w:tcPr>
          <w:p>
            <w:pPr>
              <w:spacing w:after="0"/>
              <w:rPr>
                <w:sz w:val="24"/>
                <w:szCs w:val="24"/>
                <w:color w:val="auto"/>
              </w:rPr>
            </w:pPr>
          </w:p>
        </w:tc>
      </w:tr>
      <w:tr>
        <w:trPr>
          <w:trHeight w:val="216"/>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Calgary, Alberta</w:t>
            </w:r>
          </w:p>
        </w:tc>
        <w:tc>
          <w:tcPr>
            <w:tcW w:w="2260" w:type="dxa"/>
            <w:vAlign w:val="bottom"/>
          </w:tcPr>
          <w:p>
            <w:pPr>
              <w:spacing w:after="0"/>
              <w:rPr>
                <w:sz w:val="18"/>
                <w:szCs w:val="18"/>
                <w:color w:val="auto"/>
              </w:rPr>
            </w:pPr>
          </w:p>
        </w:tc>
      </w:tr>
      <w:tr>
        <w:trPr>
          <w:trHeight w:val="227"/>
        </w:trPr>
        <w:tc>
          <w:tcPr>
            <w:tcW w:w="5900" w:type="dxa"/>
            <w:vAlign w:val="bottom"/>
            <w:gridSpan w:val="3"/>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w w:val="97"/>
              </w:rPr>
              <w:t>T2G OP6</w:t>
            </w:r>
          </w:p>
        </w:tc>
      </w:tr>
      <w:tr>
        <w:trPr>
          <w:trHeight w:val="190"/>
        </w:trPr>
        <w:tc>
          <w:tcPr>
            <w:tcW w:w="5900" w:type="dxa"/>
            <w:vAlign w:val="bottom"/>
            <w:gridSpan w:val="3"/>
          </w:tcPr>
          <w:p>
            <w:pPr>
              <w:jc w:val="center"/>
              <w:ind w:righ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6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ectPr>
          <w:pgSz w:w="11900" w:h="16838" w:orient="portrait"/>
          <w:cols w:equalWidth="0" w:num="1">
            <w:col w:w="11024"/>
          </w:cols>
          <w:pgMar w:left="436" w:top="117" w:right="439" w:bottom="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3037205</wp:posOffset>
            </wp:positionH>
            <wp:positionV relativeFrom="page">
              <wp:posOffset>157480</wp:posOffset>
            </wp:positionV>
            <wp:extent cx="14744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1474470" cy="8890"/>
                    </a:xfrm>
                    <a:prstGeom prst="rect">
                      <a:avLst/>
                    </a:prstGeom>
                    <a:noFill/>
                  </pic:spPr>
                </pic:pic>
              </a:graphicData>
            </a:graphic>
          </wp:anchor>
        </w:drawing>
        <w:t>Senior Debt Securities of Schlumberger Finance Canada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Guarantees of Senior Debt Securities of Schlumberger Finance Canada Ltd. by Schlumberger Limited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142240</wp:posOffset>
            </wp:positionV>
            <wp:extent cx="6995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184785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455" w:right="1440" w:bottom="1440" w:gutter="0" w:footer="0" w:header="0"/>
        </w:sectPr>
      </w:pPr>
    </w:p>
    <w:bookmarkStart w:id="146" w:name="page147"/>
    <w:bookmarkEnd w:id="146"/>
    <w:p>
      <w:pPr>
        <w:ind w:left="424" w:hanging="424"/>
        <w:spacing w:after="0"/>
        <w:tabs>
          <w:tab w:leader="none" w:pos="424"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information. Furnish the following information as to the trustee:</w:t>
      </w:r>
    </w:p>
    <w:p>
      <w:pPr>
        <w:spacing w:after="0" w:line="130"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44"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1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color w:val="auto"/>
              </w:rPr>
              <w:t>Name</w:t>
            </w:r>
          </w:p>
        </w:tc>
        <w:tc>
          <w:tcPr>
            <w:tcW w:w="80" w:type="dxa"/>
            <w:vAlign w:val="bottom"/>
          </w:tcPr>
          <w:p>
            <w:pPr>
              <w:spacing w:after="0"/>
              <w:rPr>
                <w:sz w:val="16"/>
                <w:szCs w:val="16"/>
                <w:color w:val="auto"/>
              </w:rPr>
            </w:pPr>
          </w:p>
        </w:tc>
        <w:tc>
          <w:tcPr>
            <w:tcW w:w="486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4"/>
                <w:szCs w:val="14"/>
                <w:color w:val="auto"/>
              </w:rPr>
              <w:t>Address</w:t>
            </w: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Superintendent of Banks of the State of New York</w:t>
            </w:r>
          </w:p>
        </w:tc>
        <w:tc>
          <w:tcPr>
            <w:tcW w:w="8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One State Street, New York, NY 10004-1511</w:t>
            </w:r>
          </w:p>
        </w:tc>
      </w:tr>
      <w:tr>
        <w:trPr>
          <w:trHeight w:val="28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Reserve Bank of New York</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33 Liberty Street</w:t>
            </w: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New York, NY 10045</w:t>
            </w:r>
          </w:p>
        </w:tc>
      </w:tr>
      <w:tr>
        <w:trPr>
          <w:trHeight w:val="30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550 17</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N.W.</w:t>
            </w: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Washington, D.C. 20429</w:t>
            </w:r>
          </w:p>
        </w:tc>
      </w:tr>
      <w:tr>
        <w:trPr>
          <w:trHeight w:val="30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3501 N. Fairfax Drive</w:t>
            </w: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Arlington, VA 22226</w:t>
            </w:r>
          </w:p>
        </w:tc>
      </w:tr>
      <w:tr>
        <w:trPr>
          <w:trHeight w:val="30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Clearing House Association, L.L.C.</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450 West 33rd Street</w:t>
            </w:r>
          </w:p>
        </w:tc>
      </w:t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New York, NY 10001</w:t>
            </w:r>
          </w:p>
        </w:tc>
      </w:tr>
    </w:tbl>
    <w:p>
      <w:pPr>
        <w:spacing w:after="0" w:line="99" w:lineRule="exact"/>
        <w:rPr>
          <w:sz w:val="20"/>
          <w:szCs w:val="20"/>
          <w:color w:val="auto"/>
        </w:rPr>
      </w:pPr>
    </w:p>
    <w:p>
      <w:pPr>
        <w:ind w:left="964" w:hanging="532"/>
        <w:spacing w:after="0"/>
        <w:tabs>
          <w:tab w:leader="none" w:pos="96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it is authorized to exercise corporate trust powers.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Yes.</w:t>
      </w:r>
    </w:p>
    <w:p>
      <w:pPr>
        <w:spacing w:after="0" w:line="370" w:lineRule="exact"/>
        <w:rPr>
          <w:sz w:val="20"/>
          <w:szCs w:val="20"/>
          <w:color w:val="auto"/>
        </w:rPr>
      </w:pPr>
    </w:p>
    <w:p>
      <w:pPr>
        <w:ind w:left="424" w:hanging="424"/>
        <w:spacing w:after="0"/>
        <w:tabs>
          <w:tab w:leader="none" w:pos="424"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Affiliations with Obligors.</w:t>
      </w:r>
    </w:p>
    <w:p>
      <w:pPr>
        <w:spacing w:after="0" w:line="117"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any of the obligors is an affiliate of the trustee, describe each such affiliation.</w:t>
      </w:r>
    </w:p>
    <w:p>
      <w:pPr>
        <w:spacing w:after="0" w:line="121" w:lineRule="exact"/>
        <w:rPr>
          <w:rFonts w:ascii="Times New Roman" w:cs="Times New Roman" w:eastAsia="Times New Roman" w:hAnsi="Times New Roman"/>
          <w:sz w:val="18"/>
          <w:szCs w:val="18"/>
          <w:b w:val="1"/>
          <w:bCs w:val="1"/>
          <w:color w:val="auto"/>
        </w:rPr>
      </w:pPr>
    </w:p>
    <w:p>
      <w:pPr>
        <w:ind w:left="444"/>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upon an examination of the books and records of the trustee and upon information furnished by the obligors, neither obligor is an affiliate of the trustee.</w:t>
      </w:r>
    </w:p>
    <w:p>
      <w:pPr>
        <w:spacing w:after="0" w:line="63" w:lineRule="exact"/>
        <w:rPr>
          <w:sz w:val="20"/>
          <w:szCs w:val="20"/>
          <w:color w:val="auto"/>
        </w:rPr>
      </w:pPr>
    </w:p>
    <w:p>
      <w:pPr>
        <w:ind w:left="424" w:right="40" w:hanging="431"/>
        <w:spacing w:after="0" w:line="268" w:lineRule="auto"/>
        <w:rPr>
          <w:sz w:val="20"/>
          <w:szCs w:val="20"/>
          <w:color w:val="auto"/>
        </w:rPr>
      </w:pPr>
      <w:r>
        <w:rPr>
          <w:rFonts w:ascii="Times New Roman" w:cs="Times New Roman" w:eastAsia="Times New Roman" w:hAnsi="Times New Roman"/>
          <w:sz w:val="18"/>
          <w:szCs w:val="18"/>
          <w:b w:val="1"/>
          <w:bCs w:val="1"/>
          <w:color w:val="auto"/>
        </w:rPr>
        <w:t>3-15. Pursuant to General Instruction B of the Form T-1, no responses are included for Items 3-15 of this Form T-1 because, to the best of The Bank of New York Mellon’s knowledge, the obligors are not in default on any securities issued under indentures under which The Bank of New York Mellon acts as trustee and the trustee is not a foreign trustee as provided under Item 15.</w:t>
      </w:r>
    </w:p>
    <w:p>
      <w:pPr>
        <w:spacing w:after="0" w:line="319" w:lineRule="exact"/>
        <w:rPr>
          <w:sz w:val="20"/>
          <w:szCs w:val="20"/>
          <w:color w:val="auto"/>
        </w:rPr>
      </w:pPr>
    </w:p>
    <w:p>
      <w:pPr>
        <w:ind w:left="424" w:hanging="424"/>
        <w:spacing w:after="0"/>
        <w:tabs>
          <w:tab w:leader="none" w:pos="424"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List of Exhibits.</w:t>
      </w:r>
    </w:p>
    <w:p>
      <w:pPr>
        <w:spacing w:after="0" w:line="117" w:lineRule="exact"/>
        <w:rPr>
          <w:rFonts w:ascii="Times New Roman" w:cs="Times New Roman" w:eastAsia="Times New Roman" w:hAnsi="Times New Roman"/>
          <w:sz w:val="18"/>
          <w:szCs w:val="18"/>
          <w:b w:val="1"/>
          <w:bCs w:val="1"/>
          <w:color w:val="auto"/>
        </w:rPr>
      </w:pPr>
    </w:p>
    <w:p>
      <w:pPr>
        <w:ind w:left="444" w:right="1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following exhibits are to be filed as a part of the statement of eligibility of The Bank of New York Mellon. Exhibits identified in parentheses below, on file with the Commission, are incorporated herein by reference as an exhibit hereto, pursuant to Rule 7a-29 under the Trust Indenture Act of 1939 (the “Act”) and 17 C.F.R. 229.10(d).</w:t>
      </w:r>
    </w:p>
    <w:p>
      <w:pPr>
        <w:sectPr>
          <w:pgSz w:w="11900" w:h="16838" w:orient="portrait"/>
          <w:cols w:equalWidth="0" w:num="1">
            <w:col w:w="11024"/>
          </w:cols>
          <w:pgMar w:left="436" w:top="266" w:right="439" w:bottom="1440" w:gutter="0" w:footer="0" w:header="0"/>
        </w:sectPr>
      </w:pPr>
    </w:p>
    <w:bookmarkStart w:id="147" w:name="page148"/>
    <w:bookmarkEnd w:id="147"/>
    <w:p>
      <w:pPr>
        <w:ind w:left="532" w:hanging="532"/>
        <w:spacing w:after="0" w:line="258" w:lineRule="auto"/>
        <w:tabs>
          <w:tab w:leader="none" w:pos="53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the Organization Certificate of The Bank of New York Mellon (formerly The Bank of New York and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and Exhibit 1 to Form T-1 filed with Registration Statement No. 333-121195 and Exhibit 1 to Form T-1 filed with Registration Statement No. 333-152735.)</w:t>
      </w:r>
    </w:p>
    <w:p>
      <w:pPr>
        <w:spacing w:after="0" w:line="89" w:lineRule="exact"/>
        <w:rPr>
          <w:sz w:val="20"/>
          <w:szCs w:val="20"/>
          <w:color w:val="auto"/>
        </w:rPr>
      </w:pPr>
    </w:p>
    <w:p>
      <w:pPr>
        <w:ind w:left="532" w:hanging="532"/>
        <w:spacing w:after="0"/>
        <w:tabs>
          <w:tab w:leader="none" w:pos="53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By-Laws of the trustee. (Exhibit 4 to Form T-1 filed with Registration Statement No. 333-235558.)</w:t>
      </w:r>
    </w:p>
    <w:p>
      <w:pPr>
        <w:spacing w:after="0" w:line="131" w:lineRule="exact"/>
        <w:rPr>
          <w:sz w:val="20"/>
          <w:szCs w:val="20"/>
          <w:color w:val="auto"/>
        </w:rPr>
      </w:pPr>
    </w:p>
    <w:p>
      <w:pPr>
        <w:ind w:left="532" w:right="1120" w:hanging="532"/>
        <w:spacing w:after="0" w:line="282" w:lineRule="auto"/>
        <w:tabs>
          <w:tab w:leader="none" w:pos="5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trustee required by Section 321(b) of the Act. (Exhibit 6 to Form T-1 filed with Registration Statement No. 333-152735.)</w:t>
      </w:r>
    </w:p>
    <w:p>
      <w:pPr>
        <w:spacing w:after="0" w:line="67" w:lineRule="exact"/>
        <w:rPr>
          <w:rFonts w:ascii="Times New Roman" w:cs="Times New Roman" w:eastAsia="Times New Roman" w:hAnsi="Times New Roman"/>
          <w:sz w:val="18"/>
          <w:szCs w:val="18"/>
          <w:color w:val="auto"/>
        </w:rPr>
      </w:pPr>
    </w:p>
    <w:p>
      <w:pPr>
        <w:ind w:left="532" w:right="280" w:hanging="532"/>
        <w:spacing w:after="0" w:line="282" w:lineRule="auto"/>
        <w:tabs>
          <w:tab w:leader="none" w:pos="5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latest report of condition of the trustee published pursuant to law or to the requirements of its supervising or examining authority.</w:t>
      </w:r>
    </w:p>
    <w:p>
      <w:pPr>
        <w:sectPr>
          <w:pgSz w:w="11900" w:h="16838" w:orient="portrait"/>
          <w:cols w:equalWidth="0" w:num="1">
            <w:col w:w="10412"/>
          </w:cols>
          <w:pgMar w:left="868" w:top="270" w:right="619" w:bottom="1440" w:gutter="0" w:footer="0" w:header="0"/>
        </w:sectPr>
      </w:pPr>
    </w:p>
    <w:bookmarkStart w:id="148" w:name="page149"/>
    <w:bookmarkEnd w:id="148"/>
    <w:p>
      <w:pPr>
        <w:jc w:val="center"/>
        <w:ind w:right="-1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2nd day of September 2020.</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Laurence J.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Laurence J. O’Brien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Vice President</w:t>
      </w:r>
    </w:p>
    <w:p>
      <w:pPr>
        <w:sectPr>
          <w:pgSz w:w="11900" w:h="16838" w:orient="portrait"/>
          <w:cols w:equalWidth="0" w:num="1">
            <w:col w:w="10880"/>
          </w:cols>
          <w:pgMar w:left="440" w:top="270" w:right="57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7</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240 Greenwich Street, New York, N.Y. 10286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Foreign and Domestic Subsidiaries,</w:t>
      </w:r>
    </w:p>
    <w:p>
      <w:pPr>
        <w:spacing w:after="0" w:line="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 member of the Federal Reserve System, at the close of business June 30, 2020, published in accordance with a call made by the Federal Reserve Bank of this District pursuant to the provisions of the Federal Reserve Act.</w:t>
      </w:r>
    </w:p>
    <w:p>
      <w:pPr>
        <w:spacing w:after="0" w:line="20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Dollar amounts in thousands</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and balances due from depository institutions: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Noninterest-bearing balances and currency and coin</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3,962,000</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Interest-bearing balances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129,364,000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43,910,000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106,742,000</w:t>
            </w:r>
          </w:p>
        </w:tc>
        <w:tc>
          <w:tcPr>
            <w:tcW w:w="40" w:type="dxa"/>
            <w:vAlign w:val="bottom"/>
            <w:shd w:val="clear" w:color="auto" w:fill="CCEEFF"/>
          </w:tcPr>
          <w:p>
            <w:pPr>
              <w:spacing w:after="0"/>
              <w:rPr>
                <w:sz w:val="18"/>
                <w:szCs w:val="18"/>
                <w:color w:val="auto"/>
              </w:rPr>
            </w:pPr>
          </w:p>
        </w:tc>
      </w:tr>
      <w:tr>
        <w:trPr>
          <w:trHeight w:val="198"/>
        </w:trPr>
        <w:tc>
          <w:tcPr>
            <w:tcW w:w="5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Equity securities with readily determinable fair values not</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held for trading</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63,000</w:t>
            </w:r>
          </w:p>
        </w:tc>
        <w:tc>
          <w:tcPr>
            <w:tcW w:w="40" w:type="dxa"/>
            <w:vAlign w:val="bottom"/>
          </w:tcPr>
          <w:p>
            <w:pPr>
              <w:spacing w:after="0"/>
              <w:rPr>
                <w:sz w:val="20"/>
                <w:szCs w:val="20"/>
                <w:color w:val="auto"/>
              </w:rPr>
            </w:pPr>
          </w:p>
        </w:tc>
      </w:tr>
      <w:tr>
        <w:trPr>
          <w:trHeight w:val="198"/>
        </w:trPr>
        <w:tc>
          <w:tcPr>
            <w:tcW w:w="57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Federal funds sold and securities purchased under agreements to</w:t>
            </w: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resell:</w:t>
            </w:r>
          </w:p>
        </w:tc>
        <w:tc>
          <w:tcPr>
            <w:tcW w:w="1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funds sold in domestic offices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 purchased under agreements to resell</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14,823,000</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Loans and lease financing receivables:</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Loans and leases held for sale</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27,370,000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Allowance for loan and lease losses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272,000</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Loans and leases held for investment, net of allowance</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27,098,000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Trading assets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5,353,000</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fixed assets (including capitalized leases)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3,058,000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real estate owned</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r>
      <w:tr>
        <w:trPr>
          <w:trHeight w:val="198"/>
        </w:trPr>
        <w:tc>
          <w:tcPr>
            <w:tcW w:w="5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Investments in unconsolidated subsidiaries and associated</w:t>
            </w: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companies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1,683,000</w:t>
            </w:r>
          </w:p>
        </w:tc>
        <w:tc>
          <w:tcPr>
            <w:tcW w:w="40" w:type="dxa"/>
            <w:vAlign w:val="bottom"/>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and indirect investments in real estate ventures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6,967,000</w:t>
            </w:r>
          </w:p>
        </w:tc>
        <w:tc>
          <w:tcPr>
            <w:tcW w:w="4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14,936,000</w:t>
            </w:r>
          </w:p>
        </w:tc>
        <w:tc>
          <w:tcPr>
            <w:tcW w:w="40" w:type="dxa"/>
            <w:vAlign w:val="bottom"/>
            <w:shd w:val="clear" w:color="auto" w:fill="CCEEFF"/>
          </w:tcPr>
          <w:p>
            <w:pPr>
              <w:spacing w:after="0"/>
              <w:rPr>
                <w:sz w:val="18"/>
                <w:szCs w:val="18"/>
                <w:color w:val="auto"/>
              </w:rPr>
            </w:pP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357,961,000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50" w:name="page151"/>
    <w:bookmarkEnd w:id="1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domestic offices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191,267,000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75,420,000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115,847,000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foreign offices, Edge and Agreement subsidiaries, and IBFs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117,087,000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111,099,000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funds purchased in domestic offices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2,352,000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Securities sold under agreements to</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Trading liabilities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2,904,000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borrowed money:</w:t>
            </w: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(includes mortgage indebtedness and obligations under capitalized leases)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 and debentures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10,297,000</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329,431,000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CAPITAL</w:t>
            </w: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Perpetual preferred stock and related surplus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Surplus (exclude all surplus related to preferred stock)</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equity capital components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bank equity capital</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(minority) interests in consolidated subsidiaries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capital</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28,530,000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 capital</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357,961,000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88" w:right="1440" w:bottom="1440" w:gutter="0" w:footer="0" w:header="0"/>
        </w:sectPr>
      </w:pPr>
    </w:p>
    <w:bookmarkStart w:id="151" w:name="page152"/>
    <w:bookmarkEnd w:id="151"/>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Emily Portney, Chief Financial Officer of the above-named bank do hereby declare that this Report of Condition is true and correct to the best of my knowledge and belief.</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Emily Portney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1471930</wp:posOffset>
            </wp:positionH>
            <wp:positionV relativeFrom="paragraph">
              <wp:posOffset>131445</wp:posOffset>
            </wp:positionV>
            <wp:extent cx="222885" cy="531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222885" cy="53149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Gibbons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C. Scott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J. Echevarria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sectPr>
      <w:pgSz w:w="11900" w:h="16838" w:orient="portrait"/>
      <w:cols w:equalWidth="0" w:num="2">
        <w:col w:w="3700" w:space="720"/>
        <w:col w:w="6600"/>
      </w:cols>
      <w:pgMar w:left="440" w:top="2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713"/>
    </w:lvl>
  </w:abstractNum>
  <w:abstractNum w:abstractNumId="1">
    <w:nsid w:val="4962813B"/>
    <w:multiLevelType w:val="hybridMultilevel"/>
    <w:lvl w:ilvl="0">
      <w:lvlJc w:val="left"/>
      <w:lvlText w:val="(%1)"/>
      <w:numFmt w:val="decimal"/>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1)"/>
      <w:numFmt w:val="decimal"/>
      <w:start w:val="713"/>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1"/>
    </w:lvl>
    <w:lvl w:ilvl="1">
      <w:lvlJc w:val="left"/>
      <w:lvlText w:val="(%2)"/>
      <w:numFmt w:val="decimal"/>
      <w:start w:val="1"/>
    </w:lvl>
  </w:abstractNum>
  <w:abstractNum w:abstractNumId="14">
    <w:nsid w:val="76272110"/>
    <w:multiLevelType w:val="hybridMultilevel"/>
    <w:lvl w:ilvl="0">
      <w:lvlJc w:val="left"/>
      <w:lvlText w:val="(%1)"/>
      <w:numFmt w:val="decimal"/>
      <w:start w:val="2"/>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1)"/>
      <w:numFmt w:val="lowerLetter"/>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1)"/>
      <w:numFmt w:val="decimal"/>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1"/>
      <w:numFmt w:val="bullet"/>
      <w:start w:val="1"/>
    </w:lvl>
  </w:abstractNum>
  <w:abstractNum w:abstractNumId="33">
    <w:nsid w:val="5FB8370B"/>
    <w:multiLevelType w:val="hybridMultilevel"/>
    <w:lvl w:ilvl="0">
      <w:lvlJc w:val="left"/>
      <w:lvlText w:val="%1"/>
      <w:numFmt w:val="decimal"/>
      <w:start w:val="24"/>
    </w:lvl>
  </w:abstractNum>
  <w:abstractNum w:abstractNumId="34">
    <w:nsid w:val="50801EE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488AC1A"/>
    <w:multiLevelType w:val="hybridMultilevel"/>
    <w:lvl w:ilvl="0">
      <w:lvlJc w:val="left"/>
      <w:lvlText w:val="(%1)"/>
      <w:numFmt w:val="decimal"/>
      <w:start w:val="2"/>
    </w:lvl>
    <w:lvl w:ilvl="1">
      <w:lvlJc w:val="left"/>
      <w:lvlText w:val="%2"/>
      <w:numFmt w:val="upperLetter"/>
      <w:start w:val="35"/>
    </w:lvl>
  </w:abstractNum>
  <w:abstractNum w:abstractNumId="36">
    <w:nsid w:val="5FB8011C"/>
    <w:multiLevelType w:val="hybridMultilevel"/>
    <w:lvl w:ilvl="0">
      <w:lvlJc w:val="left"/>
      <w:lvlText w:val="(%1)"/>
      <w:numFmt w:val="decimal"/>
      <w:start w:val="3"/>
    </w:lvl>
    <w:lvl w:ilvl="1">
      <w:lvlJc w:val="left"/>
      <w:lvlText w:val="(%2)"/>
      <w:numFmt w:val="upperLetter"/>
      <w:start w:val="1"/>
    </w:lvl>
  </w:abstractNum>
  <w:abstractNum w:abstractNumId="37">
    <w:nsid w:val="6AA78F7F"/>
    <w:multiLevelType w:val="hybridMultilevel"/>
    <w:lvl w:ilvl="0">
      <w:lvlJc w:val="left"/>
      <w:lvlText w:val="%1"/>
      <w:numFmt w:val="lowerLetter"/>
      <w:start w:val="1"/>
    </w:lvl>
    <w:lvl w:ilvl="1">
      <w:lvlJc w:val="left"/>
      <w:lvlText w:val="(%2)"/>
      <w:numFmt w:val="decimal"/>
      <w:start w:val="5"/>
    </w:lvl>
    <w:lvl w:ilvl="2">
      <w:lvlJc w:val="left"/>
      <w:lvlText w:val="(%3)"/>
      <w:numFmt w:val="upperLetter"/>
      <w:start w:val="1"/>
    </w:lvl>
    <w:lvl w:ilvl="3">
      <w:lvlJc w:val="left"/>
      <w:lvlText w:val="%4"/>
      <w:numFmt w:val="upperLetter"/>
      <w:start w:val="1"/>
    </w:lvl>
  </w:abstractNum>
  <w:abstractNum w:abstractNumId="38">
    <w:nsid w:val="7672BD23"/>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upperLetter"/>
      <w:start w:val="35"/>
    </w:lvl>
  </w:abstractNum>
  <w:abstractNum w:abstractNumId="39">
    <w:nsid w:val="6FC75AF8"/>
    <w:multiLevelType w:val="hybridMultilevel"/>
    <w:lvl w:ilvl="0">
      <w:lvlJc w:val="left"/>
      <w:lvlText w:val="(%1)"/>
      <w:numFmt w:val="lowerLetter"/>
      <w:start w:val="3"/>
    </w:lvl>
    <w:lvl w:ilvl="1">
      <w:lvlJc w:val="left"/>
      <w:lvlText w:val="%2"/>
      <w:numFmt w:val="upperLetter"/>
      <w:start w:val="35"/>
    </w:lvl>
  </w:abstractNum>
  <w:abstractNum w:abstractNumId="40">
    <w:nsid w:val="6A5F7029"/>
    <w:multiLevelType w:val="hybridMultilevel"/>
    <w:lvl w:ilvl="0">
      <w:lvlJc w:val="left"/>
      <w:lvlText w:val="%1."/>
      <w:numFmt w:val="decimal"/>
      <w:start w:val="1"/>
    </w:lvl>
  </w:abstractNum>
  <w:abstractNum w:abstractNumId="41">
    <w:nsid w:val="7D5E18F8"/>
    <w:multiLevelType w:val="hybridMultilevel"/>
    <w:lvl w:ilvl="0">
      <w:lvlJc w:val="left"/>
      <w:lvlText w:val="(%1)"/>
      <w:numFmt w:val="lowerLetter"/>
      <w:start w:val="1"/>
    </w:lvl>
  </w:abstractNum>
  <w:abstractNum w:abstractNumId="42">
    <w:nsid w:val="5F3534A4"/>
    <w:multiLevelType w:val="hybridMultilevel"/>
    <w:lvl w:ilvl="0">
      <w:lvlJc w:val="left"/>
      <w:lvlText w:val="%1."/>
      <w:numFmt w:val="upperLetter"/>
      <w:start w:val="1"/>
    </w:lvl>
    <w:lvl w:ilvl="1">
      <w:lvlJc w:val="left"/>
      <w:lvlText w:val="(%2)"/>
      <w:numFmt w:val="lowerRoman"/>
      <w:start w:val="1"/>
    </w:lvl>
  </w:abstractNum>
  <w:abstractNum w:abstractNumId="43">
    <w:nsid w:val="73A1821B"/>
    <w:multiLevelType w:val="hybridMultilevel"/>
    <w:lvl w:ilvl="0">
      <w:lvlJc w:val="left"/>
      <w:lvlText w:val="(%1)"/>
      <w:numFmt w:val="lowerRoman"/>
      <w:start w:val="1"/>
    </w:lvl>
  </w:abstractNum>
  <w:abstractNum w:abstractNumId="44">
    <w:nsid w:val="7DE67713"/>
    <w:multiLevelType w:val="hybridMultilevel"/>
    <w:lvl w:ilvl="0">
      <w:lvlJc w:val="left"/>
      <w:lvlText w:val="%1."/>
      <w:numFmt w:val="decimal"/>
      <w:start w:val="1"/>
    </w:lvl>
  </w:abstractNum>
  <w:abstractNum w:abstractNumId="45">
    <w:nsid w:val="555C55B5"/>
    <w:multiLevelType w:val="hybridMultilevel"/>
    <w:lvl w:ilvl="0">
      <w:lvlJc w:val="left"/>
      <w:lvlText w:val="(%1)"/>
      <w:numFmt w:val="lowerLetter"/>
      <w:start w:val="1"/>
    </w:lvl>
  </w:abstractNum>
  <w:abstractNum w:abstractNumId="46">
    <w:nsid w:val="3FA62ACA"/>
    <w:multiLevelType w:val="hybridMultilevel"/>
    <w:lvl w:ilvl="0">
      <w:lvlJc w:val="left"/>
      <w:lvlText w:val="%1."/>
      <w:numFmt w:val="decimal"/>
      <w:start w:val="2"/>
    </w:lvl>
  </w:abstractNum>
  <w:abstractNum w:abstractNumId="47">
    <w:nsid w:val="14FCE74E"/>
    <w:multiLevelType w:val="hybridMultilevel"/>
    <w:lvl w:ilvl="0">
      <w:lvlJc w:val="left"/>
      <w:lvlText w:val="(%1)"/>
      <w:numFmt w:val="lowerLetter"/>
      <w:start w:val="1"/>
    </w:lvl>
  </w:abstractNum>
  <w:abstractNum w:abstractNumId="48">
    <w:nsid w:val="6A3DD3E8"/>
    <w:multiLevelType w:val="hybridMultilevel"/>
    <w:lvl w:ilvl="0">
      <w:lvlJc w:val="left"/>
      <w:lvlText w:val="%1."/>
      <w:numFmt w:val="decimal"/>
      <w:start w:val="4"/>
    </w:lvl>
  </w:abstractNum>
  <w:abstractNum w:abstractNumId="49">
    <w:nsid w:val="71C91298"/>
    <w:multiLevelType w:val="hybridMultilevel"/>
    <w:lvl w:ilvl="0">
      <w:lvlJc w:val="left"/>
      <w:lvlText w:val="%1."/>
      <w:numFmt w:val="decimal"/>
      <w:start w:val="6"/>
    </w:lvl>
  </w:abstractNum>
  <w:abstractNum w:abstractNumId="50">
    <w:nsid w:val="9DAF632"/>
    <w:multiLevelType w:val="hybridMultilevel"/>
    <w:lvl w:ilvl="0">
      <w:lvlJc w:val="left"/>
      <w:lvlText w:val="(%1)"/>
      <w:numFmt w:val="lowerLetter"/>
      <w:start w:val="1"/>
    </w:lvl>
  </w:abstractNum>
  <w:abstractNum w:abstractNumId="51">
    <w:nsid w:val="53299938"/>
    <w:multiLevelType w:val="hybridMultilevel"/>
    <w:lvl w:ilvl="0">
      <w:lvlJc w:val="left"/>
      <w:lvlText w:val="(%1)"/>
      <w:numFmt w:val="lowerLetter"/>
      <w:start w:val="1"/>
    </w:lvl>
  </w:abstractNum>
  <w:abstractNum w:abstractNumId="52">
    <w:nsid w:val="1FBFE8E0"/>
    <w:multiLevelType w:val="hybridMultilevel"/>
    <w:lvl w:ilvl="0">
      <w:lvlJc w:val="left"/>
      <w:lvlText w:val="(%1)"/>
      <w:numFmt w:val="lowerLetter"/>
      <w:start w:val="2"/>
    </w:lvl>
    <w:lvl w:ilvl="1">
      <w:lvlJc w:val="left"/>
      <w:lvlText w:val="(%2)"/>
      <w:numFmt w:val="lowerRoman"/>
      <w:start w:val="1"/>
    </w:lvl>
  </w:abstractNum>
  <w:abstractNum w:abstractNumId="53">
    <w:nsid w:val="5092CA79"/>
    <w:multiLevelType w:val="hybridMultilevel"/>
    <w:lvl w:ilvl="0">
      <w:lvlJc w:val="left"/>
      <w:lvlText w:val="%1."/>
      <w:numFmt w:val="decimal"/>
      <w:start w:val="9"/>
    </w:lvl>
  </w:abstractNum>
  <w:abstractNum w:abstractNumId="54">
    <w:nsid w:val="1D545C4D"/>
    <w:multiLevelType w:val="hybridMultilevel"/>
    <w:lvl w:ilvl="0">
      <w:lvlJc w:val="left"/>
      <w:lvlText w:val="%1."/>
      <w:numFmt w:val="decimal"/>
      <w:start w:val="11"/>
    </w:lvl>
    <w:lvl w:ilvl="1">
      <w:lvlJc w:val="left"/>
      <w:lvlText w:val="-"/>
      <w:numFmt w:val="bullet"/>
      <w:start w:val="1"/>
    </w:lvl>
  </w:abstractNum>
  <w:abstractNum w:abstractNumId="55">
    <w:nsid w:val="59ADEA3D"/>
    <w:multiLevelType w:val="hybridMultilevel"/>
    <w:lvl w:ilvl="0">
      <w:lvlJc w:val="left"/>
      <w:lvlText w:val="(%1)"/>
      <w:numFmt w:val="lowerLetter"/>
      <w:start w:val="1"/>
    </w:lvl>
  </w:abstractNum>
  <w:abstractNum w:abstractNumId="56">
    <w:nsid w:val="288F1A34"/>
    <w:multiLevelType w:val="hybridMultilevel"/>
    <w:lvl w:ilvl="0">
      <w:lvlJc w:val="left"/>
      <w:lvlText w:val="%1."/>
      <w:numFmt w:val="decimal"/>
      <w:start w:val="14"/>
    </w:lvl>
  </w:abstractNum>
  <w:abstractNum w:abstractNumId="57">
    <w:nsid w:val="2A155DBC"/>
    <w:multiLevelType w:val="hybridMultilevel"/>
    <w:lvl w:ilvl="0">
      <w:lvlJc w:val="left"/>
      <w:lvlText w:val="%1."/>
      <w:numFmt w:val="decimal"/>
      <w:start w:val="15"/>
    </w:lvl>
  </w:abstractNum>
  <w:abstractNum w:abstractNumId="58">
    <w:nsid w:val="1D9F6E5F"/>
    <w:multiLevelType w:val="hybridMultilevel"/>
    <w:lvl w:ilvl="0">
      <w:lvlJc w:val="left"/>
      <w:lvlText w:val="%1."/>
      <w:numFmt w:val="decimal"/>
      <w:start w:val="17"/>
    </w:lvl>
    <w:lvl w:ilvl="1">
      <w:lvlJc w:val="left"/>
      <w:lvlText w:val="-"/>
      <w:numFmt w:val="bullet"/>
      <w:start w:val="1"/>
    </w:lvl>
  </w:abstractNum>
  <w:abstractNum w:abstractNumId="59">
    <w:nsid w:val="97E1B4E"/>
    <w:multiLevelType w:val="hybridMultilevel"/>
    <w:lvl w:ilvl="0">
      <w:lvlJc w:val="left"/>
      <w:lvlText w:val="%1."/>
      <w:numFmt w:val="decimal"/>
      <w:start w:val="18"/>
    </w:lvl>
    <w:lvl w:ilvl="1">
      <w:lvlJc w:val="left"/>
      <w:lvlText w:val="-"/>
      <w:numFmt w:val="bullet"/>
      <w:start w:val="1"/>
    </w:lvl>
  </w:abstractNum>
  <w:abstractNum w:abstractNumId="60">
    <w:nsid w:val="51088277"/>
    <w:multiLevelType w:val="hybridMultilevel"/>
    <w:lvl w:ilvl="0">
      <w:lvlJc w:val="left"/>
      <w:lvlText w:val="%1."/>
      <w:numFmt w:val="decimal"/>
      <w:start w:val="23"/>
    </w:lvl>
  </w:abstractNum>
  <w:abstractNum w:abstractNumId="61">
    <w:nsid w:val="1CA0C5FA"/>
    <w:multiLevelType w:val="hybridMultilevel"/>
    <w:lvl w:ilvl="0">
      <w:lvlJc w:val="left"/>
      <w:lvlText w:val="(%1)"/>
      <w:numFmt w:val="lowerLetter"/>
      <w:start w:val="1"/>
    </w:lvl>
  </w:abstractNum>
  <w:abstractNum w:abstractNumId="62">
    <w:nsid w:val="53584BCB"/>
    <w:multiLevelType w:val="hybridMultilevel"/>
    <w:lvl w:ilvl="0">
      <w:lvlJc w:val="left"/>
      <w:lvlText w:val="(%1)"/>
      <w:numFmt w:val="lowerLetter"/>
      <w:start w:val="1"/>
    </w:lvl>
  </w:abstractNum>
  <w:abstractNum w:abstractNumId="63">
    <w:nsid w:val="415E286C"/>
    <w:multiLevelType w:val="hybridMultilevel"/>
    <w:lvl w:ilvl="0">
      <w:lvlJc w:val="left"/>
      <w:lvlText w:val="%1."/>
      <w:numFmt w:val="decimal"/>
      <w:start w:val="24"/>
    </w:lvl>
    <w:lvl w:ilvl="1">
      <w:lvlJc w:val="left"/>
      <w:lvlText w:val="-"/>
      <w:numFmt w:val="bullet"/>
      <w:start w:val="1"/>
    </w:lvl>
  </w:abstractNum>
  <w:abstractNum w:abstractNumId="64">
    <w:nsid w:val="7C58FD05"/>
    <w:multiLevelType w:val="hybridMultilevel"/>
    <w:lvl w:ilvl="0">
      <w:lvlJc w:val="left"/>
      <w:lvlText w:val="%1."/>
      <w:numFmt w:val="decimal"/>
      <w:start w:val="25"/>
    </w:lvl>
  </w:abstractNum>
  <w:abstractNum w:abstractNumId="65">
    <w:nsid w:val="23D86AAC"/>
    <w:multiLevelType w:val="hybridMultilevel"/>
    <w:lvl w:ilvl="0">
      <w:lvlJc w:val="left"/>
      <w:lvlText w:val="%1."/>
      <w:numFmt w:val="decimal"/>
      <w:start w:val="26"/>
    </w:lvl>
    <w:lvl w:ilvl="1">
      <w:lvlJc w:val="left"/>
      <w:lvlText w:val="-"/>
      <w:numFmt w:val="bullet"/>
      <w:start w:val="1"/>
    </w:lvl>
  </w:abstractNum>
  <w:abstractNum w:abstractNumId="66">
    <w:nsid w:val="45E6D486"/>
    <w:multiLevelType w:val="hybridMultilevel"/>
    <w:lvl w:ilvl="0">
      <w:lvlJc w:val="left"/>
      <w:lvlText w:val="%1."/>
      <w:numFmt w:val="decimal"/>
      <w:start w:val="27"/>
    </w:lvl>
  </w:abstractNum>
  <w:abstractNum w:abstractNumId="67">
    <w:nsid w:val="5C10FE21"/>
    <w:multiLevelType w:val="hybridMultilevel"/>
    <w:lvl w:ilvl="0">
      <w:lvlJc w:val="left"/>
      <w:lvlText w:val="%1."/>
      <w:numFmt w:val="decimal"/>
      <w:start w:val="28"/>
    </w:lvl>
    <w:lvl w:ilvl="1">
      <w:lvlJc w:val="left"/>
      <w:lvlText w:val="-"/>
      <w:numFmt w:val="bullet"/>
      <w:start w:val="1"/>
    </w:lvl>
  </w:abstractNum>
  <w:abstractNum w:abstractNumId="68">
    <w:nsid w:val="E7FFA2B"/>
    <w:multiLevelType w:val="hybridMultilevel"/>
    <w:lvl w:ilvl="0">
      <w:lvlJc w:val="left"/>
      <w:lvlText w:val="%1."/>
      <w:numFmt w:val="decimal"/>
      <w:start w:val="29"/>
    </w:lvl>
  </w:abstractNum>
  <w:abstractNum w:abstractNumId="69">
    <w:nsid w:val="3C5991AA"/>
    <w:multiLevelType w:val="hybridMultilevel"/>
    <w:lvl w:ilvl="0">
      <w:lvlJc w:val="left"/>
      <w:lvlText w:val="(%1)"/>
      <w:numFmt w:val="lowerLetter"/>
      <w:start w:val="1"/>
    </w:lvl>
    <w:lvl w:ilvl="1">
      <w:lvlJc w:val="left"/>
      <w:lvlText w:val="-"/>
      <w:numFmt w:val="bullet"/>
      <w:start w:val="1"/>
    </w:lvl>
  </w:abstractNum>
  <w:abstractNum w:abstractNumId="70">
    <w:nsid w:val="4BD8591A"/>
    <w:multiLevelType w:val="hybridMultilevel"/>
    <w:lvl w:ilvl="0">
      <w:lvlJc w:val="left"/>
      <w:lvlText w:val="(%1)"/>
      <w:numFmt w:val="decimal"/>
      <w:start w:val="2"/>
    </w:lvl>
  </w:abstractNum>
  <w:abstractNum w:abstractNumId="71">
    <w:nsid w:val="78DF6A55"/>
    <w:multiLevelType w:val="hybridMultilevel"/>
    <w:lvl w:ilvl="0">
      <w:lvlJc w:val="left"/>
      <w:lvlText w:val="%1."/>
      <w:numFmt w:val="decimal"/>
      <w:start w:val="30"/>
    </w:lvl>
  </w:abstractNum>
  <w:abstractNum w:abstractNumId="72">
    <w:nsid w:val="39B7AAA2"/>
    <w:multiLevelType w:val="hybridMultilevel"/>
    <w:lvl w:ilvl="0">
      <w:lvlJc w:val="left"/>
      <w:lvlText w:val="%1."/>
      <w:numFmt w:val="decimal"/>
      <w:start w:val="32"/>
    </w:lvl>
    <w:lvl w:ilvl="1">
      <w:lvlJc w:val="left"/>
      <w:lvlText w:val="-"/>
      <w:numFmt w:val="bullet"/>
      <w:start w:val="1"/>
    </w:lvl>
  </w:abstractNum>
  <w:abstractNum w:abstractNumId="73">
    <w:nsid w:val="2B0D8DBE"/>
    <w:multiLevelType w:val="hybridMultilevel"/>
    <w:lvl w:ilvl="0">
      <w:lvlJc w:val="left"/>
      <w:lvlText w:val="%1."/>
      <w:numFmt w:val="decimal"/>
      <w:start w:val="34"/>
    </w:lvl>
    <w:lvl w:ilvl="1">
      <w:lvlJc w:val="left"/>
      <w:lvlText w:val="-"/>
      <w:numFmt w:val="bullet"/>
      <w:start w:val="1"/>
    </w:lvl>
  </w:abstractNum>
  <w:abstractNum w:abstractNumId="74">
    <w:nsid w:val="6C80EC70"/>
    <w:multiLevelType w:val="hybridMultilevel"/>
    <w:lvl w:ilvl="0">
      <w:lvlJc w:val="left"/>
      <w:lvlText w:val="%1."/>
      <w:numFmt w:val="decimal"/>
      <w:start w:val="38"/>
    </w:lvl>
  </w:abstractNum>
  <w:abstractNum w:abstractNumId="75">
    <w:nsid w:val="379E21B5"/>
    <w:multiLevelType w:val="hybridMultilevel"/>
    <w:lvl w:ilvl="0">
      <w:lvlJc w:val="left"/>
      <w:lvlText w:val="%1."/>
      <w:numFmt w:val="decimal"/>
      <w:start w:val="42"/>
    </w:lvl>
    <w:lvl w:ilvl="1">
      <w:lvlJc w:val="left"/>
      <w:lvlText w:val="-"/>
      <w:numFmt w:val="bullet"/>
      <w:start w:val="1"/>
    </w:lvl>
  </w:abstractNum>
  <w:abstractNum w:abstractNumId="76">
    <w:nsid w:val="69E373"/>
    <w:multiLevelType w:val="hybridMultilevel"/>
    <w:lvl w:ilvl="0">
      <w:lvlJc w:val="left"/>
      <w:lvlText w:val="%1."/>
      <w:numFmt w:val="decimal"/>
      <w:start w:val="45"/>
    </w:lvl>
  </w:abstractNum>
  <w:abstractNum w:abstractNumId="77">
    <w:nsid w:val="2C27173B"/>
    <w:multiLevelType w:val="hybridMultilevel"/>
    <w:lvl w:ilvl="0">
      <w:lvlJc w:val="left"/>
      <w:lvlText w:val="(%1)"/>
      <w:numFmt w:val="lowerLetter"/>
      <w:start w:val="1"/>
    </w:lvl>
    <w:lvl w:ilvl="1">
      <w:lvlJc w:val="left"/>
      <w:lvlText w:val="(%2)"/>
      <w:numFmt w:val="lowerRoman"/>
      <w:start w:val="1"/>
    </w:lvl>
  </w:abstractNum>
  <w:abstractNum w:abstractNumId="78">
    <w:nsid w:val="4C9B0904"/>
    <w:multiLevelType w:val="hybridMultilevel"/>
    <w:lvl w:ilvl="0">
      <w:lvlJc w:val="left"/>
      <w:lvlText w:val="%1."/>
      <w:numFmt w:val="decimal"/>
      <w:start w:val="51"/>
    </w:lvl>
  </w:abstractNum>
  <w:abstractNum w:abstractNumId="79">
    <w:nsid w:val="6AA7B75C"/>
    <w:multiLevelType w:val="hybridMultilevel"/>
    <w:lvl w:ilvl="0">
      <w:lvlJc w:val="left"/>
      <w:lvlText w:val="%1."/>
      <w:numFmt w:val="decimal"/>
      <w:start w:val="53"/>
    </w:lvl>
  </w:abstractNum>
  <w:abstractNum w:abstractNumId="80">
    <w:nsid w:val="1DF029D3"/>
    <w:multiLevelType w:val="hybridMultilevel"/>
    <w:lvl w:ilvl="0">
      <w:lvlJc w:val="left"/>
      <w:lvlText w:val="%1."/>
      <w:numFmt w:val="decimal"/>
      <w:start w:val="55"/>
    </w:lvl>
    <w:lvl w:ilvl="1">
      <w:lvlJc w:val="left"/>
      <w:lvlText w:val="-"/>
      <w:numFmt w:val="bullet"/>
      <w:start w:val="1"/>
    </w:lvl>
  </w:abstractNum>
  <w:abstractNum w:abstractNumId="81">
    <w:nsid w:val="5675FF36"/>
    <w:multiLevelType w:val="hybridMultilevel"/>
    <w:lvl w:ilvl="0">
      <w:lvlJc w:val="left"/>
      <w:lvlText w:val="%1."/>
      <w:numFmt w:val="decimal"/>
      <w:start w:val="56"/>
    </w:lvl>
  </w:abstractNum>
  <w:abstractNum w:abstractNumId="82">
    <w:nsid w:val="3DD15094"/>
    <w:multiLevelType w:val="hybridMultilevel"/>
    <w:lvl w:ilvl="0">
      <w:lvlJc w:val="left"/>
      <w:lvlText w:val="%1."/>
      <w:numFmt w:val="decimal"/>
      <w:start w:val="57"/>
    </w:lvl>
  </w:abstractNum>
  <w:abstractNum w:abstractNumId="83">
    <w:nsid w:val="3DB012B3"/>
    <w:multiLevelType w:val="hybridMultilevel"/>
    <w:lvl w:ilvl="0">
      <w:lvlJc w:val="left"/>
      <w:lvlText w:val="%1."/>
      <w:numFmt w:val="decimal"/>
      <w:start w:val="58"/>
    </w:lvl>
  </w:abstractNum>
  <w:abstractNum w:abstractNumId="84">
    <w:nsid w:val="2708C9AF"/>
    <w:multiLevelType w:val="hybridMultilevel"/>
    <w:lvl w:ilvl="0">
      <w:lvlJc w:val="left"/>
      <w:lvlText w:val="%1."/>
      <w:numFmt w:val="decimal"/>
      <w:start w:val="60"/>
    </w:lvl>
    <w:lvl w:ilvl="1">
      <w:lvlJc w:val="left"/>
      <w:lvlText w:val="-"/>
      <w:numFmt w:val="bullet"/>
      <w:start w:val="1"/>
    </w:lvl>
  </w:abstractNum>
  <w:abstractNum w:abstractNumId="85">
    <w:nsid w:val="5B25ACE2"/>
    <w:multiLevelType w:val="hybridMultilevel"/>
    <w:lvl w:ilvl="0">
      <w:lvlJc w:val="left"/>
      <w:lvlText w:val="%1."/>
      <w:numFmt w:val="decimal"/>
      <w:start w:val="62"/>
    </w:lvl>
    <w:lvl w:ilvl="1">
      <w:lvlJc w:val="left"/>
      <w:lvlText w:val="-"/>
      <w:numFmt w:val="bullet"/>
      <w:start w:val="1"/>
    </w:lvl>
  </w:abstractNum>
  <w:abstractNum w:abstractNumId="86">
    <w:nsid w:val="175DFCF0"/>
    <w:multiLevelType w:val="hybridMultilevel"/>
    <w:lvl w:ilvl="0">
      <w:lvlJc w:val="left"/>
      <w:lvlText w:val="%1."/>
      <w:numFmt w:val="decimal"/>
      <w:start w:val="66"/>
    </w:lvl>
  </w:abstractNum>
  <w:abstractNum w:abstractNumId="87">
    <w:nsid w:val="4F97E3E4"/>
    <w:multiLevelType w:val="hybridMultilevel"/>
    <w:lvl w:ilvl="0">
      <w:lvlJc w:val="left"/>
      <w:lvlText w:val="%1."/>
      <w:numFmt w:val="decimal"/>
      <w:start w:val="68"/>
    </w:lvl>
  </w:abstractNum>
  <w:abstractNum w:abstractNumId="88">
    <w:nsid w:val="53B0A9E"/>
    <w:multiLevelType w:val="hybridMultilevel"/>
    <w:lvl w:ilvl="0">
      <w:lvlJc w:val="left"/>
      <w:lvlText w:val="(%1)"/>
      <w:numFmt w:val="lowerLetter"/>
      <w:start w:val="1"/>
    </w:lvl>
  </w:abstractNum>
  <w:abstractNum w:abstractNumId="89">
    <w:nsid w:val="34FD6B4F"/>
    <w:multiLevelType w:val="hybridMultilevel"/>
    <w:lvl w:ilvl="0">
      <w:lvlJc w:val="left"/>
      <w:lvlText w:val="%1."/>
      <w:numFmt w:val="decimal"/>
      <w:start w:val="69"/>
    </w:lvl>
  </w:abstractNum>
  <w:abstractNum w:abstractNumId="90">
    <w:nsid w:val="5915FF32"/>
    <w:multiLevelType w:val="hybridMultilevel"/>
    <w:lvl w:ilvl="0">
      <w:lvlJc w:val="left"/>
      <w:lvlText w:val="%1."/>
      <w:numFmt w:val="decimal"/>
      <w:start w:val="71"/>
    </w:lvl>
  </w:abstractNum>
  <w:abstractNum w:abstractNumId="91">
    <w:nsid w:val="56438D15"/>
    <w:multiLevelType w:val="hybridMultilevel"/>
    <w:lvl w:ilvl="0">
      <w:lvlJc w:val="left"/>
      <w:lvlText w:val="%1."/>
      <w:numFmt w:val="decimal"/>
      <w:start w:val="72"/>
    </w:lvl>
  </w:abstractNum>
  <w:abstractNum w:abstractNumId="92">
    <w:nsid w:val="519E3149"/>
    <w:multiLevelType w:val="hybridMultilevel"/>
    <w:lvl w:ilvl="0">
      <w:lvlJc w:val="left"/>
      <w:lvlText w:val="(%1)"/>
      <w:numFmt w:val="lowerLetter"/>
      <w:start w:val="1"/>
    </w:lvl>
    <w:lvl w:ilvl="1">
      <w:lvlJc w:val="left"/>
      <w:lvlText w:val="-"/>
      <w:numFmt w:val="bullet"/>
      <w:start w:val="1"/>
    </w:lvl>
  </w:abstractNum>
  <w:abstractNum w:abstractNumId="93">
    <w:nsid w:val="2C6E4AFD"/>
    <w:multiLevelType w:val="hybridMultilevel"/>
    <w:lvl w:ilvl="0">
      <w:lvlJc w:val="left"/>
      <w:lvlText w:val="%1."/>
      <w:numFmt w:val="decimal"/>
      <w:start w:val="73"/>
    </w:lvl>
  </w:abstractNum>
  <w:abstractNum w:abstractNumId="94">
    <w:nsid w:val="17A1B582"/>
    <w:multiLevelType w:val="hybridMultilevel"/>
    <w:lvl w:ilvl="0">
      <w:lvlJc w:val="left"/>
      <w:lvlText w:val="%1."/>
      <w:numFmt w:val="decimal"/>
      <w:start w:val="79"/>
    </w:lvl>
    <w:lvl w:ilvl="1">
      <w:lvlJc w:val="left"/>
      <w:lvlText w:val="-"/>
      <w:numFmt w:val="bullet"/>
      <w:start w:val="1"/>
    </w:lvl>
  </w:abstractNum>
  <w:abstractNum w:abstractNumId="95">
    <w:nsid w:val="4DF72E4E"/>
    <w:multiLevelType w:val="hybridMultilevel"/>
    <w:lvl w:ilvl="0">
      <w:lvlJc w:val="left"/>
      <w:lvlText w:val="%1."/>
      <w:numFmt w:val="decimal"/>
      <w:start w:val="80"/>
    </w:lvl>
  </w:abstractNum>
  <w:abstractNum w:abstractNumId="96">
    <w:nsid w:val="5046B5A9"/>
    <w:multiLevelType w:val="hybridMultilevel"/>
    <w:lvl w:ilvl="0">
      <w:lvlJc w:val="left"/>
      <w:lvlText w:val="(%1)"/>
      <w:numFmt w:val="lowerLetter"/>
      <w:start w:val="1"/>
    </w:lvl>
  </w:abstractNum>
  <w:abstractNum w:abstractNumId="97">
    <w:nsid w:val="5D888A08"/>
    <w:multiLevelType w:val="hybridMultilevel"/>
    <w:lvl w:ilvl="0">
      <w:lvlJc w:val="left"/>
      <w:lvlText w:val="(%1)"/>
      <w:numFmt w:val="lowerLetter"/>
      <w:start w:val="1"/>
    </w:lvl>
  </w:abstractNum>
  <w:abstractNum w:abstractNumId="98">
    <w:nsid w:val="2A082C70"/>
    <w:multiLevelType w:val="hybridMultilevel"/>
    <w:lvl w:ilvl="0">
      <w:lvlJc w:val="left"/>
      <w:lvlText w:val="(%1)"/>
      <w:numFmt w:val="lowerRoman"/>
      <w:start w:val="2"/>
    </w:lvl>
  </w:abstractNum>
  <w:abstractNum w:abstractNumId="99">
    <w:nsid w:val="5EC6AFD4"/>
    <w:multiLevelType w:val="hybridMultilevel"/>
    <w:lvl w:ilvl="0">
      <w:lvlJc w:val="left"/>
      <w:lvlText w:val="(%1)"/>
      <w:numFmt w:val="lowerLetter"/>
      <w:start w:val="1"/>
    </w:lvl>
  </w:abstractNum>
  <w:abstractNum w:abstractNumId="100">
    <w:nsid w:val="19E21BB2"/>
    <w:multiLevelType w:val="hybridMultilevel"/>
    <w:lvl w:ilvl="0">
      <w:lvlJc w:val="left"/>
      <w:lvlText w:val="(%1)"/>
      <w:numFmt w:val="lowerLetter"/>
      <w:start w:val="1"/>
    </w:lvl>
  </w:abstractNum>
  <w:abstractNum w:abstractNumId="101">
    <w:nsid w:val="75E0858A"/>
    <w:multiLevelType w:val="hybridMultilevel"/>
    <w:lvl w:ilvl="0">
      <w:lvlJc w:val="left"/>
      <w:lvlText w:val="(%1)"/>
      <w:numFmt w:val="lowerLetter"/>
      <w:start w:val="2"/>
    </w:lvl>
  </w:abstractNum>
  <w:abstractNum w:abstractNumId="102">
    <w:nsid w:val="57A61A29"/>
    <w:multiLevelType w:val="hybridMultilevel"/>
    <w:lvl w:ilvl="0">
      <w:lvlJc w:val="left"/>
      <w:lvlText w:val="(%1)"/>
      <w:numFmt w:val="lowerLetter"/>
      <w:start w:val="1"/>
    </w:lvl>
  </w:abstractNum>
  <w:abstractNum w:abstractNumId="103">
    <w:nsid w:val="5399C654"/>
    <w:multiLevelType w:val="hybridMultilevel"/>
    <w:lvl w:ilvl="0">
      <w:lvlJc w:val="left"/>
      <w:lvlText w:val="(%1)"/>
      <w:numFmt w:val="lowerLetter"/>
      <w:start w:val="1"/>
    </w:lvl>
  </w:abstractNum>
  <w:abstractNum w:abstractNumId="104">
    <w:nsid w:val="20EE1348"/>
    <w:multiLevelType w:val="hybridMultilevel"/>
    <w:lvl w:ilvl="0">
      <w:lvlJc w:val="left"/>
      <w:lvlText w:val="(%1)"/>
      <w:numFmt w:val="lowerLetter"/>
      <w:start w:val="9"/>
    </w:lvl>
  </w:abstractNum>
  <w:abstractNum w:abstractNumId="105">
    <w:nsid w:val="4427069A"/>
    <w:multiLevelType w:val="hybridMultilevel"/>
    <w:lvl w:ilvl="0">
      <w:lvlJc w:val="left"/>
      <w:lvlText w:val="(%1)"/>
      <w:numFmt w:val="lowerLetter"/>
      <w:start w:val="1"/>
    </w:lvl>
    <w:lvl w:ilvl="1">
      <w:lvlJc w:val="left"/>
      <w:lvlText w:val="(%2)"/>
      <w:numFmt w:val="decimal"/>
      <w:start w:val="1"/>
    </w:lvl>
  </w:abstractNum>
  <w:abstractNum w:abstractNumId="106">
    <w:nsid w:val="B37E80A"/>
    <w:multiLevelType w:val="hybridMultilevel"/>
    <w:lvl w:ilvl="0">
      <w:lvlJc w:val="left"/>
      <w:lvlText w:val="(%1)"/>
      <w:numFmt w:val="decimal"/>
      <w:start w:val="2"/>
    </w:lvl>
  </w:abstractNum>
  <w:abstractNum w:abstractNumId="107">
    <w:nsid w:val="2157F6BC"/>
    <w:multiLevelType w:val="hybridMultilevel"/>
    <w:lvl w:ilvl="0">
      <w:lvlJc w:val="left"/>
      <w:lvlText w:val="%1"/>
      <w:numFmt w:val="decimal"/>
      <w:start w:val="1"/>
    </w:lvl>
    <w:lvl w:ilvl="1">
      <w:lvlJc w:val="left"/>
      <w:lvlText w:val="(%2)"/>
      <w:numFmt w:val="lowerLetter"/>
      <w:start w:val="2"/>
    </w:lvl>
  </w:abstractNum>
  <w:abstractNum w:abstractNumId="108">
    <w:nsid w:val="704E1DD5"/>
    <w:multiLevelType w:val="hybridMultilevel"/>
    <w:lvl w:ilvl="0">
      <w:lvlJc w:val="left"/>
      <w:lvlText w:val="(%1)"/>
      <w:numFmt w:val="decimal"/>
      <w:start w:val="1"/>
    </w:lvl>
    <w:lvl w:ilvl="1">
      <w:lvlJc w:val="left"/>
      <w:lvlText w:val="(%2)"/>
      <w:numFmt w:val="lowerLetter"/>
      <w:start w:val="3"/>
    </w:lvl>
  </w:abstractNum>
  <w:abstractNum w:abstractNumId="109">
    <w:nsid w:val="57D2F10E"/>
    <w:multiLevelType w:val="hybridMultilevel"/>
    <w:lvl w:ilvl="0">
      <w:lvlJc w:val="left"/>
      <w:lvlText w:val="(%1)"/>
      <w:numFmt w:val="lowerLetter"/>
      <w:start w:val="6"/>
    </w:lvl>
  </w:abstractNum>
  <w:abstractNum w:abstractNumId="110">
    <w:nsid w:val="BFFAE18"/>
    <w:multiLevelType w:val="hybridMultilevel"/>
    <w:lvl w:ilvl="0">
      <w:lvlJc w:val="left"/>
      <w:lvlText w:val="(%1)"/>
      <w:numFmt w:val="lowerLetter"/>
      <w:start w:val="1"/>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1"/>
    </w:lvl>
  </w:abstractNum>
  <w:abstractNum w:abstractNumId="113">
    <w:nsid w:val="49D0FEAC"/>
    <w:multiLevelType w:val="hybridMultilevel"/>
    <w:lvl w:ilvl="0">
      <w:lvlJc w:val="left"/>
      <w:lvlText w:val="(%1)"/>
      <w:numFmt w:val="lowerLetter"/>
      <w:start w:val="2"/>
    </w:lvl>
    <w:lvl w:ilvl="1">
      <w:lvlJc w:val="left"/>
      <w:lvlText w:val="(%2)"/>
      <w:numFmt w:val="decimal"/>
      <w:start w:val="1"/>
    </w:lvl>
  </w:abstractNum>
  <w:abstractNum w:abstractNumId="114">
    <w:nsid w:val="4BEE5A5B"/>
    <w:multiLevelType w:val="hybridMultilevel"/>
    <w:lvl w:ilvl="0">
      <w:lvlJc w:val="left"/>
      <w:lvlText w:val="%1"/>
      <w:numFmt w:val="lowerLetter"/>
      <w:start w:val="1"/>
    </w:lvl>
    <w:lvl w:ilvl="1">
      <w:lvlJc w:val="left"/>
      <w:lvlText w:val="(%2)"/>
      <w:numFmt w:val="decimal"/>
      <w:start w:val="3"/>
    </w:lvl>
  </w:abstractNum>
  <w:abstractNum w:abstractNumId="115">
    <w:nsid w:val="5551B9F3"/>
    <w:multiLevelType w:val="hybridMultilevel"/>
    <w:lvl w:ilvl="0">
      <w:lvlJc w:val="left"/>
      <w:lvlText w:val="(%1)"/>
      <w:numFmt w:val="lowerLetter"/>
      <w:start w:val="8"/>
    </w:lvl>
    <w:lvl w:ilvl="1">
      <w:lvlJc w:val="left"/>
      <w:lvlText w:val="%2"/>
      <w:numFmt w:val="decimal"/>
      <w:start w:val="1"/>
    </w:lvl>
  </w:abstractNum>
  <w:abstractNum w:abstractNumId="116">
    <w:nsid w:val="24F6AB8E"/>
    <w:multiLevelType w:val="hybridMultilevel"/>
    <w:lvl w:ilvl="0">
      <w:lvlJc w:val="left"/>
      <w:lvlText w:val="(%1)"/>
      <w:numFmt w:val="lowerLetter"/>
      <w:start w:val="1"/>
    </w:lvl>
  </w:abstractNum>
  <w:abstractNum w:abstractNumId="117">
    <w:nsid w:val="634C574C"/>
    <w:multiLevelType w:val="hybridMultilevel"/>
    <w:lvl w:ilvl="0">
      <w:lvlJc w:val="left"/>
      <w:lvlText w:val="(%1)"/>
      <w:numFmt w:val="lowerLetter"/>
      <w:start w:val="2"/>
    </w:lvl>
  </w:abstractNum>
  <w:abstractNum w:abstractNumId="118">
    <w:nsid w:val="24E99DD7"/>
    <w:multiLevelType w:val="hybridMultilevel"/>
    <w:lvl w:ilvl="0">
      <w:lvlJc w:val="left"/>
      <w:lvlText w:val="(%1)"/>
      <w:numFmt w:val="lowerLetter"/>
      <w:start w:val="1"/>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lowerLetter"/>
      <w:start w:val="3"/>
    </w:lvl>
  </w:abstractNum>
  <w:abstractNum w:abstractNumId="121">
    <w:nsid w:val="7DFF9D09"/>
    <w:multiLevelType w:val="hybridMultilevel"/>
    <w:lvl w:ilvl="0">
      <w:lvlJc w:val="left"/>
      <w:lvlText w:val="(%1)"/>
      <w:numFmt w:val="lowerLetter"/>
      <w:start w:val="1"/>
    </w:lvl>
  </w:abstractNum>
  <w:abstractNum w:abstractNumId="122">
    <w:nsid w:val="754342"/>
    <w:multiLevelType w:val="hybridMultilevel"/>
    <w:lvl w:ilvl="0">
      <w:lvlJc w:val="left"/>
      <w:lvlText w:val="(%1)"/>
      <w:numFmt w:val="lowerLetter"/>
      <w:start w:val="1"/>
    </w:lvl>
    <w:lvl w:ilvl="1">
      <w:lvlJc w:val="left"/>
      <w:lvlText w:val="(%2)"/>
      <w:numFmt w:val="decimal"/>
      <w:start w:val="1"/>
    </w:lvl>
  </w:abstractNum>
  <w:abstractNum w:abstractNumId="123">
    <w:nsid w:val="69E7F3E5"/>
    <w:multiLevelType w:val="hybridMultilevel"/>
    <w:lvl w:ilvl="0">
      <w:lvlJc w:val="left"/>
      <w:lvlText w:val="(%1)"/>
      <w:numFmt w:val="lowerLetter"/>
      <w:start w:val="5"/>
    </w:lvl>
  </w:abstractNum>
  <w:abstractNum w:abstractNumId="124">
    <w:nsid w:val="2A6DE806"/>
    <w:multiLevelType w:val="hybridMultilevel"/>
    <w:lvl w:ilvl="0">
      <w:lvlJc w:val="left"/>
      <w:lvlText w:val="(%1)"/>
      <w:numFmt w:val="lowerLetter"/>
      <w:start w:val="1"/>
    </w:lvl>
  </w:abstractNum>
  <w:abstractNum w:abstractNumId="125">
    <w:nsid w:val="1816F8C4"/>
    <w:multiLevelType w:val="hybridMultilevel"/>
    <w:lvl w:ilvl="0">
      <w:lvlJc w:val="left"/>
      <w:lvlText w:val="(%1)"/>
      <w:numFmt w:val="lowerLetter"/>
      <w:start w:val="7"/>
    </w:lvl>
  </w:abstractNum>
  <w:abstractNum w:abstractNumId="126">
    <w:nsid w:val="37DF2233"/>
    <w:multiLevelType w:val="hybridMultilevel"/>
    <w:lvl w:ilvl="0">
      <w:lvlJc w:val="left"/>
      <w:lvlText w:val="(%1)"/>
      <w:numFmt w:val="lowerLetter"/>
      <w:start w:val="1"/>
    </w:lvl>
  </w:abstractNum>
  <w:abstractNum w:abstractNumId="127">
    <w:nsid w:val="7AB49DA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28">
    <w:nsid w:val="759F82CD"/>
    <w:multiLevelType w:val="hybridMultilevel"/>
    <w:lvl w:ilvl="0">
      <w:lvlJc w:val="left"/>
      <w:lvlText w:val="(%1)"/>
      <w:numFmt w:val="lowerLetter"/>
      <w:start w:val="25"/>
    </w:lvl>
  </w:abstractNum>
  <w:abstractNum w:abstractNumId="129">
    <w:nsid w:val="61E74EA3"/>
    <w:multiLevelType w:val="hybridMultilevel"/>
    <w:lvl w:ilvl="0">
      <w:lvlJc w:val="left"/>
      <w:lvlText w:val="%1"/>
      <w:numFmt w:val="decimal"/>
      <w:start w:val="1"/>
    </w:lvl>
    <w:lvl w:ilvl="1">
      <w:lvlJc w:val="left"/>
      <w:lvlText w:val="(%2)"/>
      <w:numFmt w:val="upperLetter"/>
      <w:start w:val="3"/>
    </w:lvl>
  </w:abstractNum>
  <w:abstractNum w:abstractNumId="130">
    <w:nsid w:val="597B4D84"/>
    <w:multiLevelType w:val="hybridMultilevel"/>
    <w:lvl w:ilvl="0">
      <w:lvlJc w:val="left"/>
      <w:lvlText w:val="(%1)"/>
      <w:numFmt w:val="decimal"/>
      <w:start w:val="2"/>
    </w:lvl>
    <w:lvl w:ilvl="1">
      <w:lvlJc w:val="left"/>
      <w:lvlText w:val="%2"/>
      <w:numFmt w:val="upperLetter"/>
      <w:start w:val="1"/>
    </w:lvl>
  </w:abstractNum>
  <w:abstractNum w:abstractNumId="131">
    <w:nsid w:val="F819E7F"/>
    <w:multiLevelType w:val="hybridMultilevel"/>
    <w:lvl w:ilvl="0">
      <w:lvlJc w:val="left"/>
      <w:lvlText w:val="%1"/>
      <w:numFmt w:val="lowerLetter"/>
      <w:start w:val="1"/>
    </w:lvl>
    <w:lvl w:ilvl="1">
      <w:lvlJc w:val="left"/>
      <w:lvlText w:val="(%2)"/>
      <w:numFmt w:val="decimal"/>
      <w:start w:val="3"/>
    </w:lvl>
  </w:abstractNum>
  <w:abstractNum w:abstractNumId="132">
    <w:nsid w:val="57C7D42D"/>
    <w:multiLevelType w:val="hybridMultilevel"/>
    <w:lvl w:ilvl="0">
      <w:lvlJc w:val="left"/>
      <w:lvlText w:val="(%1)"/>
      <w:numFmt w:val="lowerLetter"/>
      <w:start w:val="2"/>
    </w:lvl>
    <w:lvl w:ilvl="1">
      <w:lvlJc w:val="left"/>
      <w:lvlText w:val="(%2)"/>
      <w:numFmt w:val="decimal"/>
      <w:start w:val="1"/>
    </w:lvl>
  </w:abstractNum>
  <w:abstractNum w:abstractNumId="133">
    <w:nsid w:val="312167AD"/>
    <w:multiLevelType w:val="hybridMultilevel"/>
    <w:lvl w:ilvl="0">
      <w:lvlJc w:val="left"/>
      <w:lvlText w:val="(%1)"/>
      <w:numFmt w:val="decimal"/>
      <w:start w:val="2"/>
    </w:lvl>
  </w:abstractNum>
  <w:abstractNum w:abstractNumId="134">
    <w:nsid w:val="631B64D4"/>
    <w:multiLevelType w:val="hybridMultilevel"/>
    <w:lvl w:ilvl="0">
      <w:lvlJc w:val="left"/>
      <w:lvlText w:val="(%1)"/>
      <w:numFmt w:val="lowerLetter"/>
      <w:start w:val="3"/>
    </w:lvl>
  </w:abstractNum>
  <w:abstractNum w:abstractNumId="135">
    <w:nsid w:val="78B5E776"/>
    <w:multiLevelType w:val="hybridMultilevel"/>
    <w:lvl w:ilvl="0">
      <w:lvlJc w:val="left"/>
      <w:lvlText w:val="%1"/>
      <w:numFmt w:val="decimal"/>
      <w:start w:val="1"/>
    </w:lvl>
    <w:lvl w:ilvl="1">
      <w:lvlJc w:val="left"/>
      <w:lvlText w:val="(%2)"/>
      <w:numFmt w:val="decimal"/>
      <w:start w:val="1"/>
    </w:lvl>
  </w:abstractNum>
  <w:abstractNum w:abstractNumId="136">
    <w:nsid w:val="75486E47"/>
    <w:multiLevelType w:val="hybridMultilevel"/>
    <w:lvl w:ilvl="0">
      <w:lvlJc w:val="left"/>
      <w:lvlText w:val="(%1)"/>
      <w:numFmt w:val="decimal"/>
      <w:start w:val="4"/>
    </w:lvl>
    <w:lvl w:ilvl="1">
      <w:lvlJc w:val="left"/>
      <w:lvlText w:val="(%2)"/>
      <w:numFmt w:val="decimal"/>
      <w:start w:val="4"/>
    </w:lvl>
  </w:abstractNum>
  <w:abstractNum w:abstractNumId="137">
    <w:nsid w:val="6E534CDE"/>
    <w:multiLevelType w:val="hybridMultilevel"/>
    <w:lvl w:ilvl="0">
      <w:lvlJc w:val="left"/>
      <w:lvlText w:val="(%1)"/>
      <w:numFmt w:val="lowerLetter"/>
      <w:start w:val="4"/>
    </w:lvl>
  </w:abstractNum>
  <w:abstractNum w:abstractNumId="138">
    <w:nsid w:val="1A0DDE32"/>
    <w:multiLevelType w:val="hybridMultilevel"/>
    <w:lvl w:ilvl="0">
      <w:lvlJc w:val="left"/>
      <w:lvlText w:val="(%1)"/>
      <w:numFmt w:val="decimal"/>
      <w:start w:val="1"/>
    </w:lvl>
  </w:abstractNum>
  <w:abstractNum w:abstractNumId="139">
    <w:nsid w:val="65968C1C"/>
    <w:multiLevelType w:val="hybridMultilevel"/>
    <w:lvl w:ilvl="0">
      <w:lvlJc w:val="left"/>
      <w:lvlText w:val="(%1)"/>
      <w:numFmt w:val="decimal"/>
      <w:start w:val="8"/>
    </w:lvl>
  </w:abstractNum>
  <w:abstractNum w:abstractNumId="140">
    <w:nsid w:val="46263DEC"/>
    <w:multiLevelType w:val="hybridMultilevel"/>
    <w:lvl w:ilvl="0">
      <w:lvlJc w:val="left"/>
      <w:lvlText w:val="(%1)"/>
      <w:numFmt w:val="decimal"/>
      <w:start w:val="1"/>
    </w:lvl>
  </w:abstractNum>
  <w:abstractNum w:abstractNumId="141">
    <w:nsid w:val="260D8C4A"/>
    <w:multiLevelType w:val="hybridMultilevel"/>
    <w:lvl w:ilvl="0">
      <w:lvlJc w:val="left"/>
      <w:lvlText w:val="%1."/>
      <w:numFmt w:val="decimal"/>
      <w:start w:val="1"/>
    </w:lvl>
  </w:abstractNum>
  <w:abstractNum w:abstractNumId="142">
    <w:nsid w:val="73D4D3C4"/>
    <w:multiLevelType w:val="hybridMultilevel"/>
    <w:lvl w:ilvl="0">
      <w:lvlJc w:val="left"/>
      <w:lvlText w:val="%1."/>
      <w:numFmt w:val="decimal"/>
      <w:start w:val="1"/>
    </w:lvl>
  </w:abstractNum>
  <w:abstractNum w:abstractNumId="143">
    <w:nsid w:val="746F2E30"/>
    <w:multiLevelType w:val="hybridMultilevel"/>
    <w:lvl w:ilvl="0">
      <w:lvlJc w:val="left"/>
      <w:lvlText w:val="%1."/>
      <w:numFmt w:val="decimal"/>
      <w:start w:val="3"/>
    </w:lvl>
  </w:abstractNum>
  <w:abstractNum w:abstractNumId="144">
    <w:nsid w:val="6FDE8AF6"/>
    <w:multiLevelType w:val="hybridMultilevel"/>
    <w:lvl w:ilvl="0">
      <w:lvlJc w:val="left"/>
      <w:lvlText w:val="(%1)"/>
      <w:numFmt w:val="lowerRoman"/>
      <w:start w:val="1"/>
    </w:lvl>
  </w:abstractNum>
  <w:abstractNum w:abstractNumId="145">
    <w:nsid w:val="3FC32E20"/>
    <w:multiLevelType w:val="hybridMultilevel"/>
    <w:lvl w:ilvl="0">
      <w:lvlJc w:val="left"/>
      <w:lvlText w:val="(%1)"/>
      <w:numFmt w:val="lowerRoman"/>
      <w:start w:val="1"/>
    </w:lvl>
  </w:abstractNum>
  <w:abstractNum w:abstractNumId="146">
    <w:nsid w:val="49C0E823"/>
    <w:multiLevelType w:val="hybridMultilevel"/>
    <w:lvl w:ilvl="0">
      <w:lvlJc w:val="left"/>
      <w:lvlText w:val="%1."/>
      <w:numFmt w:val="decimal"/>
      <w:start w:val="1"/>
    </w:lvl>
  </w:abstractNum>
  <w:abstractNum w:abstractNumId="147">
    <w:nsid w:val="14D53685"/>
    <w:multiLevelType w:val="hybridMultilevel"/>
    <w:lvl w:ilvl="0">
      <w:lvlJc w:val="left"/>
      <w:lvlText w:val="(%1)"/>
      <w:numFmt w:val="lowerRoman"/>
      <w:start w:val="2"/>
    </w:lvl>
  </w:abstractNum>
  <w:abstractNum w:abstractNumId="148">
    <w:nsid w:val="230F856C"/>
    <w:multiLevelType w:val="hybridMultilevel"/>
    <w:lvl w:ilvl="0">
      <w:lvlJc w:val="left"/>
      <w:lvlText w:val="(%1)"/>
      <w:numFmt w:val="lowerRoman"/>
      <w:start w:val="10"/>
    </w:lvl>
  </w:abstractNum>
  <w:abstractNum w:abstractNumId="149">
    <w:nsid w:val="6EAA85FB"/>
    <w:multiLevelType w:val="hybridMultilevel"/>
    <w:lvl w:ilvl="0">
      <w:lvlJc w:val="left"/>
      <w:lvlText w:val="%1."/>
      <w:numFmt w:val="decimal"/>
      <w:start w:val="1"/>
    </w:lvl>
  </w:abstractNum>
  <w:abstractNum w:abstractNumId="150">
    <w:nsid w:val="3F06ECB2"/>
    <w:multiLevelType w:val="hybridMultilevel"/>
    <w:lvl w:ilvl="0">
      <w:lvlJc w:val="left"/>
      <w:lvlText w:val="%1."/>
      <w:numFmt w:val="decimal"/>
      <w:start w:val="1"/>
    </w:lvl>
  </w:abstractNum>
  <w:abstractNum w:abstractNumId="151">
    <w:nsid w:val="3B594807"/>
    <w:multiLevelType w:val="hybridMultilevel"/>
    <w:lvl w:ilvl="0">
      <w:lvlJc w:val="left"/>
      <w:lvlText w:val="☐"/>
      <w:numFmt w:val="bullet"/>
      <w:start w:val="1"/>
    </w:lvl>
  </w:abstractNum>
  <w:abstractNum w:abstractNumId="152">
    <w:nsid w:val="6CAA2304"/>
    <w:multiLevelType w:val="hybridMultilevel"/>
    <w:lvl w:ilvl="0">
      <w:lvlJc w:val="left"/>
      <w:lvlText w:val="%1."/>
      <w:numFmt w:val="decimal"/>
      <w:start w:val="1"/>
    </w:lvl>
    <w:lvl w:ilvl="1">
      <w:lvlJc w:val="left"/>
      <w:lvlText w:val="(%2)"/>
      <w:numFmt w:val="lowerLetter"/>
      <w:start w:val="1"/>
    </w:lvl>
  </w:abstractNum>
  <w:abstractNum w:abstractNumId="153">
    <w:nsid w:val="3F7C2FF4"/>
    <w:multiLevelType w:val="hybridMultilevel"/>
    <w:lvl w:ilvl="0">
      <w:lvlJc w:val="left"/>
      <w:lvlText w:val="(%1)"/>
      <w:numFmt w:val="lowerLetter"/>
      <w:start w:val="2"/>
    </w:lvl>
  </w:abstractNum>
  <w:abstractNum w:abstractNumId="154">
    <w:nsid w:val="25413BEC"/>
    <w:multiLevelType w:val="hybridMultilevel"/>
    <w:lvl w:ilvl="0">
      <w:lvlJc w:val="left"/>
      <w:lvlText w:val="%1."/>
      <w:numFmt w:val="decimal"/>
      <w:start w:val="2"/>
    </w:lvl>
  </w:abstractNum>
  <w:abstractNum w:abstractNumId="155">
    <w:nsid w:val="17180B0B"/>
    <w:multiLevelType w:val="hybridMultilevel"/>
    <w:lvl w:ilvl="0">
      <w:lvlJc w:val="left"/>
      <w:lvlText w:val="%1."/>
      <w:numFmt w:val="decimal"/>
      <w:start w:val="16"/>
    </w:lvl>
  </w:abstractNum>
  <w:abstractNum w:abstractNumId="156">
    <w:nsid w:val="579328B9"/>
    <w:multiLevelType w:val="hybridMultilevel"/>
    <w:lvl w:ilvl="0">
      <w:lvlJc w:val="left"/>
      <w:lvlText w:val="%1."/>
      <w:numFmt w:val="decimal"/>
      <w:start w:val="1"/>
    </w:lvl>
  </w:abstractNum>
  <w:abstractNum w:abstractNumId="157">
    <w:nsid w:val="5D205E20"/>
    <w:multiLevelType w:val="hybridMultilevel"/>
    <w:lvl w:ilvl="0">
      <w:lvlJc w:val="left"/>
      <w:lvlText w:val="%1."/>
      <w:numFmt w:val="decimal"/>
      <w:start w:val="4"/>
    </w:lvl>
  </w:abstractNum>
  <w:abstractNum w:abstractNumId="158">
    <w:nsid w:val="11CCA8BA"/>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jpeg"/><Relationship Id="rId180" Type="http://schemas.openxmlformats.org/officeDocument/2006/relationships/image" Target="media/image162.png"/><Relationship Id="rId181" Type="http://schemas.openxmlformats.org/officeDocument/2006/relationships/image" Target="media/image163.jpeg"/><Relationship Id="rId182" Type="http://schemas.openxmlformats.org/officeDocument/2006/relationships/image" Target="media/image164.png"/><Relationship Id="rId183" Type="http://schemas.openxmlformats.org/officeDocument/2006/relationships/image" Target="media/image165.jpeg"/><Relationship Id="rId184" Type="http://schemas.openxmlformats.org/officeDocument/2006/relationships/image" Target="media/image166.png"/><Relationship Id="rId185" Type="http://schemas.openxmlformats.org/officeDocument/2006/relationships/image" Target="media/image167.jpe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32" Type="http://schemas.openxmlformats.org/officeDocument/2006/relationships/hyperlink" Target="http://www.sec.gov/ix?doc=/Archives/edgar/data/87347/000156459020001578/slb-10k_20191231.htm" TargetMode="External"/><Relationship Id="rId33" Type="http://schemas.openxmlformats.org/officeDocument/2006/relationships/hyperlink" Target="http://www.sec.gov/Archives/edgar/data/87347/000130817920000009/lslb2020_def14a.htm" TargetMode="External"/><Relationship Id="rId34" Type="http://schemas.openxmlformats.org/officeDocument/2006/relationships/hyperlink" Target="http://www.sec.gov/ix?doc=/Archives/edgar/data/87347/000156459020017823/slb-10q_20200331.htm" TargetMode="External"/><Relationship Id="rId35" Type="http://schemas.openxmlformats.org/officeDocument/2006/relationships/hyperlink" Target="http://www.sec.gov/ix?doc=/Archives/edgar/data/87347/000156459020034137/slb-10q_20200630.htm" TargetMode="External"/><Relationship Id="rId36" Type="http://schemas.openxmlformats.org/officeDocument/2006/relationships/hyperlink" Target="http://www.sec.gov/ix?doc=/Archives/edgar/data/87347/000119312520109899/d905144d8k.htm" TargetMode="External"/><Relationship Id="rId37" Type="http://schemas.openxmlformats.org/officeDocument/2006/relationships/hyperlink" Target="http://www.sec.gov/ix?doc=/Archives/edgar/data/87347/000119312520170138/d944136d8k.htm" TargetMode="External"/><Relationship Id="rId38" Type="http://schemas.openxmlformats.org/officeDocument/2006/relationships/hyperlink" Target="http://www.sec.gov/ix?doc=/Archives/edgar/data/87347/000119312520180957/d925505d8k.htm" TargetMode="External"/><Relationship Id="rId39" Type="http://schemas.openxmlformats.org/officeDocument/2006/relationships/hyperlink" Target="http://www.sec.gov/ix?doc=/Archives/edgar/data/87347/000119312520198628/d79341d8k.htm" TargetMode="External"/><Relationship Id="rId40" Type="http://schemas.openxmlformats.org/officeDocument/2006/relationships/hyperlink" Target="http://www.sec.gov/ix?doc=/Archives/edgar/data/87347/000119312520216304/d926535d8k.htm" TargetMode="External"/><Relationship Id="rId70" Type="http://schemas.openxmlformats.org/officeDocument/2006/relationships/hyperlink" Target="http://www.sec.gov/Archives/edgar/data/87347/000119312516532046/d176097dex31.htm" TargetMode="External"/><Relationship Id="rId71"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2020-09-09T07:42:14Z</dcterms:created>
  <dcterms:modified xsi:type="dcterms:W3CDTF">2020-09-09T07:42:14Z</dcterms:modified>
</cp:coreProperties>
</file>