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3994150</wp:posOffset>
            </wp:positionH>
            <wp:positionV relativeFrom="paragraph">
              <wp:posOffset>-631190</wp:posOffset>
            </wp:positionV>
            <wp:extent cx="58420" cy="6445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750570</wp:posOffset>
            </wp:positionV>
            <wp:extent cx="7045960" cy="54324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5432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9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36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30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  <w:w w:val="99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  <w:w w:val="99"/>
                </w:rPr>
                <w:t>Prechner Ugo</w:t>
              </w:r>
            </w:hyperlink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82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SCHLUMBERGER LIMITED/NV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SLB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62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20" w:type="dxa"/>
            <w:vAlign w:val="bottom"/>
            <w:gridSpan w:val="4"/>
            <w:vMerge w:val="restart"/>
          </w:tcPr>
          <w:p>
            <w:pPr>
              <w:ind w:left="160"/>
              <w:spacing w:after="0" w:line="17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07/20/2025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5599 SAN FELIPE, 17TH FLOOR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ind w:left="-6" w:right="620" w:firstLine="6"/>
        <w:spacing w:after="0" w:line="260" w:lineRule="auto"/>
        <w:tabs>
          <w:tab w:leader="none" w:pos="13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34"/>
        <w:spacing w:after="0"/>
        <w:tabs>
          <w:tab w:leader="none" w:pos="209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534"/>
        <w:spacing w:after="0"/>
        <w:tabs>
          <w:tab w:leader="none" w:pos="209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jc w:val="center"/>
        <w:ind w:right="186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VP Controller</w:t>
      </w:r>
    </w:p>
    <w:p>
      <w:pPr>
        <w:spacing w:after="0" w:line="31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66"/>
            <w:col w:w="3354"/>
          </w:cols>
          <w:pgMar w:left="460" w:top="216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80" w:type="dxa"/>
            <w:vAlign w:val="bottom"/>
            <w:gridSpan w:val="8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9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77056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4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 Per Share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07/20/2025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9,330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20,891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8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 Per Share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07/20/2025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2,272</w:t>
            </w: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34.14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jc w:val="right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18,619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7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20" w:type="dxa"/>
            <w:vAlign w:val="bottom"/>
            <w:gridSpan w:val="12"/>
          </w:tcPr>
          <w:p>
            <w:pPr>
              <w:jc w:val="center"/>
              <w:ind w:right="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RSU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3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Stock,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right="3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$0.01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(Restricted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(3)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9,330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07/20/2025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9,330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righ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Par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9"/>
        </w:trPr>
        <w:tc>
          <w:tcPr>
            <w:tcW w:w="3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Unit)</w:t>
            </w:r>
          </w:p>
        </w:tc>
        <w:tc>
          <w:tcPr>
            <w:tcW w:w="3580" w:type="dxa"/>
            <w:vAlign w:val="bottom"/>
          </w:tcPr>
          <w:p>
            <w:pPr>
              <w:jc w:val="center"/>
              <w:ind w:left="3215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6"/>
              </w:rPr>
              <w:t>Value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3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80" w:type="dxa"/>
            <w:vAlign w:val="bottom"/>
            <w:vMerge w:val="restart"/>
          </w:tcPr>
          <w:p>
            <w:pPr>
              <w:jc w:val="center"/>
              <w:ind w:left="3215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3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5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3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80" w:type="dxa"/>
            <w:vAlign w:val="bottom"/>
          </w:tcPr>
          <w:p>
            <w:pPr>
              <w:jc w:val="center"/>
              <w:ind w:left="32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321 shares acquired under the SLB discounted stock purchase plan for the period ended June 30, 2025.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the right to receive, at settlement, one (1) share of common stock.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restricted stock unit award was granted July 20, 2022 and vested 100% on July 20, 2025.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/s/ Samantha Blons, Attorney-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07/22/2025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480" w:type="dxa"/>
            <w:vAlign w:val="bottom"/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in-Fact</w:t>
            </w:r>
          </w:p>
        </w:tc>
        <w:tc>
          <w:tcPr>
            <w:tcW w:w="17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4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jc w:val="both"/>
        <w:ind w:left="40" w:right="3540" w:firstLine="3"/>
        <w:spacing w:after="0" w:line="339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940485" TargetMode="External"/><Relationship Id="rId14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2025-07-22T16:22:01Z</dcterms:created>
  <dcterms:modified xsi:type="dcterms:W3CDTF">2025-07-22T16:22:01Z</dcterms:modified>
</cp:coreProperties>
</file>