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Prechner Ugo</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320" w:type="dxa"/>
            <w:vAlign w:val="bottom"/>
            <w:tcBorders>
              <w:top w:val="single" w:sz="8" w:color="0000EE"/>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SCHLUMBERGER LIMITED/NV</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SLB</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293"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5599 SAN FELIPE, 17TH FLOOR</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1800" w:type="dxa"/>
            <w:vAlign w:val="bottom"/>
            <w:gridSpan w:val="2"/>
          </w:tcPr>
          <w:p>
            <w:pPr>
              <w:ind w:left="40"/>
              <w:spacing w:after="0"/>
              <w:rPr>
                <w:sz w:val="20"/>
                <w:szCs w:val="20"/>
                <w:color w:val="auto"/>
              </w:rPr>
            </w:pPr>
            <w:r>
              <w:rPr>
                <w:rFonts w:ascii="Arial" w:cs="Arial" w:eastAsia="Arial" w:hAnsi="Arial"/>
                <w:sz w:val="20"/>
                <w:szCs w:val="20"/>
                <w:color w:val="0000FF"/>
              </w:rPr>
              <w:t>HOUSTON TX</w:t>
            </w:r>
          </w:p>
        </w:tc>
        <w:tc>
          <w:tcPr>
            <w:tcW w:w="1300" w:type="dxa"/>
            <w:vAlign w:val="bottom"/>
          </w:tcPr>
          <w:p>
            <w:pPr>
              <w:ind w:left="300"/>
              <w:spacing w:after="0"/>
              <w:rPr>
                <w:sz w:val="20"/>
                <w:szCs w:val="20"/>
                <w:color w:val="auto"/>
              </w:rPr>
            </w:pPr>
            <w:r>
              <w:rPr>
                <w:rFonts w:ascii="Arial" w:cs="Arial" w:eastAsia="Arial" w:hAnsi="Arial"/>
                <w:sz w:val="20"/>
                <w:szCs w:val="20"/>
                <w:color w:val="0000FF"/>
              </w:rPr>
              <w:t>77056</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1003"/>
        <w:spacing w:after="0"/>
        <w:rPr>
          <w:sz w:val="20"/>
          <w:szCs w:val="20"/>
          <w:color w:val="auto"/>
        </w:rPr>
      </w:pPr>
      <w:r>
        <w:rPr>
          <w:rFonts w:ascii="Arial" w:cs="Arial" w:eastAsia="Arial" w:hAnsi="Arial"/>
          <w:sz w:val="20"/>
          <w:szCs w:val="20"/>
          <w:color w:val="0000FF"/>
        </w:rPr>
        <w:t>VP Controller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080" w:type="dxa"/>
            <w:vAlign w:val="bottom"/>
            <w:gridSpan w:val="2"/>
          </w:tcPr>
          <w:p>
            <w:pPr>
              <w:ind w:left="80"/>
              <w:spacing w:after="0"/>
              <w:rPr>
                <w:sz w:val="20"/>
                <w:szCs w:val="20"/>
                <w:color w:val="auto"/>
              </w:rPr>
            </w:pPr>
            <w:r>
              <w:rPr>
                <w:rFonts w:ascii="Arial" w:cs="Arial" w:eastAsia="Arial" w:hAnsi="Arial"/>
                <w:sz w:val="20"/>
                <w:szCs w:val="20"/>
                <w:color w:val="0000FF"/>
              </w:rPr>
              <w:t>Common Stock, $0.01 Par Value Per Share</w:t>
            </w:r>
          </w:p>
        </w:tc>
        <w:tc>
          <w:tcPr>
            <w:tcW w:w="880" w:type="dxa"/>
            <w:vAlign w:val="bottom"/>
          </w:tcPr>
          <w:p>
            <w:pPr>
              <w:spacing w:after="0"/>
              <w:rPr>
                <w:sz w:val="21"/>
                <w:szCs w:val="21"/>
                <w:color w:val="auto"/>
              </w:rPr>
            </w:pPr>
          </w:p>
        </w:tc>
        <w:tc>
          <w:tcPr>
            <w:tcW w:w="1820" w:type="dxa"/>
            <w:vAlign w:val="bottom"/>
          </w:tcPr>
          <w:p>
            <w:pPr>
              <w:ind w:left="620"/>
              <w:spacing w:after="0"/>
              <w:rPr>
                <w:sz w:val="20"/>
                <w:szCs w:val="20"/>
                <w:color w:val="auto"/>
              </w:rPr>
            </w:pPr>
            <w:r>
              <w:rPr>
                <w:rFonts w:ascii="Arial" w:cs="Arial" w:eastAsia="Arial" w:hAnsi="Arial"/>
                <w:sz w:val="20"/>
                <w:szCs w:val="20"/>
                <w:color w:val="0000FF"/>
              </w:rPr>
              <w:t>14,940</w:t>
            </w:r>
          </w:p>
        </w:tc>
        <w:tc>
          <w:tcPr>
            <w:tcW w:w="800" w:type="dxa"/>
            <w:vAlign w:val="bottom"/>
            <w:gridSpan w:val="2"/>
          </w:tcPr>
          <w:p>
            <w:pPr>
              <w:ind w:left="620"/>
              <w:spacing w:after="0"/>
              <w:rPr>
                <w:sz w:val="20"/>
                <w:szCs w:val="20"/>
                <w:color w:val="auto"/>
              </w:rPr>
            </w:pPr>
            <w:r>
              <w:rPr>
                <w:rFonts w:ascii="Arial" w:cs="Arial" w:eastAsia="Arial" w:hAnsi="Arial"/>
                <w:sz w:val="20"/>
                <w:szCs w:val="20"/>
                <w:color w:val="0000FF"/>
              </w:rPr>
              <w:t>D</w:t>
            </w: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308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520" w:type="dxa"/>
            <w:vAlign w:val="bottom"/>
            <w:gridSpan w:val="7"/>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gridSpan w:val="2"/>
          </w:tcPr>
          <w:p>
            <w:pPr>
              <w:ind w:left="10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00" w:type="dxa"/>
            <w:vAlign w:val="bottom"/>
            <w:gridSpan w:val="2"/>
          </w:tcPr>
          <w:p>
            <w:pPr>
              <w:ind w:left="1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Incentive Stock Option (Right to</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01/17/2028</w:t>
            </w: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5"/>
              </w:rPr>
              <w:t>$0.01 Par Value Per</w:t>
            </w:r>
          </w:p>
        </w:tc>
        <w:tc>
          <w:tcPr>
            <w:tcW w:w="740" w:type="dxa"/>
            <w:vAlign w:val="bottom"/>
            <w:vMerge w:val="restart"/>
          </w:tcPr>
          <w:p>
            <w:pPr>
              <w:jc w:val="center"/>
              <w:spacing w:after="0"/>
              <w:rPr>
                <w:sz w:val="20"/>
                <w:szCs w:val="20"/>
                <w:color w:val="auto"/>
              </w:rPr>
            </w:pPr>
            <w:r>
              <w:rPr>
                <w:rFonts w:ascii="Arial" w:cs="Arial" w:eastAsia="Arial" w:hAnsi="Arial"/>
                <w:sz w:val="20"/>
                <w:szCs w:val="20"/>
                <w:color w:val="0000FF"/>
                <w:w w:val="87"/>
              </w:rPr>
              <w:t>1,800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77.1</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2"/>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Incentive Stock Option (Right to</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01/16/2029</w:t>
            </w: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5"/>
              </w:rPr>
              <w:t>$0.01 Par Value Per</w:t>
            </w:r>
          </w:p>
        </w:tc>
        <w:tc>
          <w:tcPr>
            <w:tcW w:w="740" w:type="dxa"/>
            <w:vAlign w:val="bottom"/>
            <w:vMerge w:val="restart"/>
          </w:tcPr>
          <w:p>
            <w:pPr>
              <w:jc w:val="center"/>
              <w:spacing w:after="0"/>
              <w:rPr>
                <w:sz w:val="20"/>
                <w:szCs w:val="20"/>
                <w:color w:val="auto"/>
              </w:rPr>
            </w:pPr>
            <w:r>
              <w:rPr>
                <w:rFonts w:ascii="Arial" w:cs="Arial" w:eastAsia="Arial" w:hAnsi="Arial"/>
                <w:sz w:val="20"/>
                <w:szCs w:val="20"/>
                <w:color w:val="0000FF"/>
                <w:w w:val="87"/>
              </w:rPr>
              <w:t>5,030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41.47</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2"/>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Incentive Stock Option (Right to</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01/15/2030</w:t>
            </w: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5"/>
              </w:rPr>
              <w:t>$0.01 Par Value Per</w:t>
            </w:r>
          </w:p>
        </w:tc>
        <w:tc>
          <w:tcPr>
            <w:tcW w:w="740" w:type="dxa"/>
            <w:vAlign w:val="bottom"/>
            <w:vMerge w:val="restart"/>
          </w:tcPr>
          <w:p>
            <w:pPr>
              <w:jc w:val="center"/>
              <w:spacing w:after="0"/>
              <w:rPr>
                <w:sz w:val="20"/>
                <w:szCs w:val="20"/>
                <w:color w:val="auto"/>
              </w:rPr>
            </w:pPr>
            <w:r>
              <w:rPr>
                <w:rFonts w:ascii="Arial" w:cs="Arial" w:eastAsia="Arial" w:hAnsi="Arial"/>
                <w:sz w:val="20"/>
                <w:szCs w:val="20"/>
                <w:color w:val="0000FF"/>
                <w:w w:val="87"/>
              </w:rPr>
              <w:t>6,445</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38.75</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2"/>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Arial" w:cs="Arial" w:eastAsia="Arial" w:hAnsi="Arial"/>
                <w:sz w:val="20"/>
                <w:szCs w:val="20"/>
                <w:color w:val="0000FF"/>
                <w:w w:val="98"/>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5"/>
                <w:szCs w:val="15"/>
                <w:color w:val="0000FF"/>
                <w:w w:val="90"/>
              </w:rPr>
              <w:t>04/18/2018</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04/18/2023</w:t>
            </w: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5"/>
              </w:rPr>
              <w:t>$0.01 Par Value Per</w:t>
            </w:r>
          </w:p>
        </w:tc>
        <w:tc>
          <w:tcPr>
            <w:tcW w:w="740" w:type="dxa"/>
            <w:vAlign w:val="bottom"/>
            <w:vMerge w:val="restart"/>
          </w:tcPr>
          <w:p>
            <w:pPr>
              <w:jc w:val="center"/>
              <w:spacing w:after="0"/>
              <w:rPr>
                <w:sz w:val="20"/>
                <w:szCs w:val="20"/>
                <w:color w:val="auto"/>
              </w:rPr>
            </w:pPr>
            <w:r>
              <w:rPr>
                <w:rFonts w:ascii="Arial" w:cs="Arial" w:eastAsia="Arial" w:hAnsi="Arial"/>
                <w:sz w:val="20"/>
                <w:szCs w:val="20"/>
                <w:color w:val="0000FF"/>
                <w:w w:val="89"/>
              </w:rPr>
              <w:t>600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8"/>
              </w:rPr>
              <w:t>70.925</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2"/>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Arial" w:cs="Arial" w:eastAsia="Arial" w:hAnsi="Arial"/>
                <w:sz w:val="20"/>
                <w:szCs w:val="20"/>
                <w:color w:val="0000FF"/>
                <w:w w:val="98"/>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5"/>
                <w:szCs w:val="15"/>
                <w:color w:val="0000FF"/>
                <w:w w:val="90"/>
              </w:rPr>
              <w:t>04/16/2019</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04/16/2024</w:t>
            </w: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5"/>
              </w:rPr>
              <w:t>$0.01 Par Value Per</w:t>
            </w:r>
          </w:p>
        </w:tc>
        <w:tc>
          <w:tcPr>
            <w:tcW w:w="740" w:type="dxa"/>
            <w:vAlign w:val="bottom"/>
            <w:vMerge w:val="restart"/>
          </w:tcPr>
          <w:p>
            <w:pPr>
              <w:jc w:val="center"/>
              <w:spacing w:after="0"/>
              <w:rPr>
                <w:sz w:val="20"/>
                <w:szCs w:val="20"/>
                <w:color w:val="auto"/>
              </w:rPr>
            </w:pPr>
            <w:r>
              <w:rPr>
                <w:rFonts w:ascii="Arial" w:cs="Arial" w:eastAsia="Arial" w:hAnsi="Arial"/>
                <w:sz w:val="20"/>
                <w:szCs w:val="20"/>
                <w:color w:val="0000FF"/>
                <w:w w:val="87"/>
              </w:rPr>
              <w:t>1,500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8"/>
              </w:rPr>
              <w:t>100.555</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2"/>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Arial" w:cs="Arial" w:eastAsia="Arial" w:hAnsi="Arial"/>
                <w:sz w:val="20"/>
                <w:szCs w:val="20"/>
                <w:color w:val="0000FF"/>
                <w:w w:val="98"/>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5"/>
                <w:szCs w:val="15"/>
                <w:color w:val="0000FF"/>
                <w:w w:val="90"/>
              </w:rPr>
              <w:t>04/16/2020</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04/16/2025</w:t>
            </w: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5"/>
              </w:rPr>
              <w:t>$0.01 Par Value Per</w:t>
            </w:r>
          </w:p>
        </w:tc>
        <w:tc>
          <w:tcPr>
            <w:tcW w:w="740" w:type="dxa"/>
            <w:vAlign w:val="bottom"/>
            <w:vMerge w:val="restart"/>
          </w:tcPr>
          <w:p>
            <w:pPr>
              <w:jc w:val="center"/>
              <w:spacing w:after="0"/>
              <w:rPr>
                <w:sz w:val="20"/>
                <w:szCs w:val="20"/>
                <w:color w:val="auto"/>
              </w:rPr>
            </w:pPr>
            <w:r>
              <w:rPr>
                <w:rFonts w:ascii="Arial" w:cs="Arial" w:eastAsia="Arial" w:hAnsi="Arial"/>
                <w:sz w:val="20"/>
                <w:szCs w:val="20"/>
                <w:color w:val="0000FF"/>
                <w:w w:val="87"/>
              </w:rPr>
              <w:t>2,000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91.74</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2"/>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Arial" w:cs="Arial" w:eastAsia="Arial" w:hAnsi="Arial"/>
                <w:sz w:val="20"/>
                <w:szCs w:val="20"/>
                <w:color w:val="0000FF"/>
                <w:w w:val="98"/>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5"/>
                <w:szCs w:val="15"/>
                <w:color w:val="0000FF"/>
                <w:w w:val="90"/>
              </w:rPr>
              <w:t>04/20/2021</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04/20/2026</w:t>
            </w: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5"/>
              </w:rPr>
              <w:t>$0.01 Par Value Per</w:t>
            </w:r>
          </w:p>
        </w:tc>
        <w:tc>
          <w:tcPr>
            <w:tcW w:w="740" w:type="dxa"/>
            <w:vAlign w:val="bottom"/>
            <w:vMerge w:val="restart"/>
          </w:tcPr>
          <w:p>
            <w:pPr>
              <w:jc w:val="center"/>
              <w:spacing w:after="0"/>
              <w:rPr>
                <w:sz w:val="20"/>
                <w:szCs w:val="20"/>
                <w:color w:val="auto"/>
              </w:rPr>
            </w:pPr>
            <w:r>
              <w:rPr>
                <w:rFonts w:ascii="Arial" w:cs="Arial" w:eastAsia="Arial" w:hAnsi="Arial"/>
                <w:sz w:val="20"/>
                <w:szCs w:val="20"/>
                <w:color w:val="0000FF"/>
                <w:w w:val="87"/>
              </w:rPr>
              <w:t>2,000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8"/>
              </w:rPr>
              <w:t>80.525</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2"/>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Arial" w:cs="Arial" w:eastAsia="Arial" w:hAnsi="Arial"/>
                <w:sz w:val="20"/>
                <w:szCs w:val="20"/>
                <w:color w:val="0000FF"/>
                <w:w w:val="98"/>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5"/>
                <w:szCs w:val="15"/>
                <w:color w:val="0000FF"/>
                <w:w w:val="90"/>
              </w:rPr>
              <w:t>01/19/2022</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01/19/2027</w:t>
            </w: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5"/>
              </w:rPr>
              <w:t>$0.01 Par Value Per</w:t>
            </w:r>
          </w:p>
        </w:tc>
        <w:tc>
          <w:tcPr>
            <w:tcW w:w="740" w:type="dxa"/>
            <w:vAlign w:val="bottom"/>
            <w:vMerge w:val="restart"/>
          </w:tcPr>
          <w:p>
            <w:pPr>
              <w:jc w:val="center"/>
              <w:spacing w:after="0"/>
              <w:rPr>
                <w:sz w:val="20"/>
                <w:szCs w:val="20"/>
                <w:color w:val="auto"/>
              </w:rPr>
            </w:pPr>
            <w:r>
              <w:rPr>
                <w:rFonts w:ascii="Arial" w:cs="Arial" w:eastAsia="Arial" w:hAnsi="Arial"/>
                <w:sz w:val="20"/>
                <w:szCs w:val="20"/>
                <w:color w:val="0000FF"/>
                <w:w w:val="87"/>
              </w:rPr>
              <w:t>2,000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87.38</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2"/>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08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8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6"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4196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196080"/>
                    </a:xfrm>
                    <a:prstGeom prst="rect">
                      <a:avLst/>
                    </a:prstGeom>
                    <a:noFill/>
                  </pic:spPr>
                </pic:pic>
              </a:graphicData>
            </a:graphic>
          </wp:anchor>
        </w:drawing>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74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40" w:type="dxa"/>
            <w:vAlign w:val="bottom"/>
          </w:tcPr>
          <w:p>
            <w:pPr>
              <w:ind w:left="10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tcPr>
          <w:p>
            <w:pPr>
              <w:spacing w:after="0"/>
              <w:rPr>
                <w:sz w:val="14"/>
                <w:szCs w:val="14"/>
                <w:color w:val="auto"/>
              </w:rPr>
            </w:pPr>
          </w:p>
        </w:tc>
        <w:tc>
          <w:tcPr>
            <w:tcW w:w="7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740" w:type="dxa"/>
            <w:vAlign w:val="bottom"/>
          </w:tcPr>
          <w:p>
            <w:pPr>
              <w:ind w:left="1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w w:val="98"/>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1000" w:type="dxa"/>
            <w:vAlign w:val="bottom"/>
            <w:vMerge w:val="restart"/>
          </w:tcPr>
          <w:p>
            <w:pPr>
              <w:jc w:val="right"/>
              <w:ind w:right="351"/>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01/15/2030</w:t>
            </w: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5"/>
              </w:rPr>
              <w:t>$0.01 Par Value Per</w:t>
            </w:r>
          </w:p>
        </w:tc>
        <w:tc>
          <w:tcPr>
            <w:tcW w:w="740" w:type="dxa"/>
            <w:vAlign w:val="bottom"/>
            <w:vMerge w:val="restart"/>
          </w:tcPr>
          <w:p>
            <w:pPr>
              <w:jc w:val="right"/>
              <w:ind w:right="54"/>
              <w:spacing w:after="0"/>
              <w:rPr>
                <w:sz w:val="20"/>
                <w:szCs w:val="20"/>
                <w:color w:val="auto"/>
              </w:rPr>
            </w:pPr>
            <w:r>
              <w:rPr>
                <w:rFonts w:ascii="Arial" w:cs="Arial" w:eastAsia="Arial" w:hAnsi="Arial"/>
                <w:sz w:val="20"/>
                <w:szCs w:val="20"/>
                <w:color w:val="0000FF"/>
              </w:rPr>
              <w:t>9,335</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7"/>
              </w:rPr>
              <w:t>38.75</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2"/>
              </w:rPr>
              <w:t>Share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Arial" w:cs="Arial" w:eastAsia="Arial" w:hAnsi="Arial"/>
                <w:sz w:val="20"/>
                <w:szCs w:val="20"/>
                <w:color w:val="0000FF"/>
              </w:rPr>
              <w:t>RSU (Restricted Stock Unit)</w:t>
            </w:r>
          </w:p>
        </w:tc>
        <w:tc>
          <w:tcPr>
            <w:tcW w:w="1000" w:type="dxa"/>
            <w:vAlign w:val="bottom"/>
          </w:tcPr>
          <w:p>
            <w:pPr>
              <w:jc w:val="right"/>
              <w:ind w:right="351"/>
              <w:spacing w:after="0"/>
              <w:rPr>
                <w:sz w:val="20"/>
                <w:szCs w:val="20"/>
                <w:color w:val="auto"/>
              </w:rPr>
            </w:pPr>
            <w:r>
              <w:rPr>
                <w:rFonts w:ascii="Arial" w:cs="Arial" w:eastAsia="Arial" w:hAnsi="Arial"/>
                <w:sz w:val="13"/>
                <w:szCs w:val="13"/>
                <w:color w:val="008000"/>
              </w:rPr>
              <w:t>(4)</w:t>
            </w:r>
          </w:p>
        </w:tc>
        <w:tc>
          <w:tcPr>
            <w:tcW w:w="880" w:type="dxa"/>
            <w:vAlign w:val="bottom"/>
          </w:tcPr>
          <w:p>
            <w:pPr>
              <w:jc w:val="center"/>
              <w:spacing w:after="0"/>
              <w:rPr>
                <w:sz w:val="20"/>
                <w:szCs w:val="20"/>
                <w:color w:val="auto"/>
              </w:rPr>
            </w:pPr>
            <w:r>
              <w:rPr>
                <w:rFonts w:ascii="Arial" w:cs="Arial" w:eastAsia="Arial" w:hAnsi="Arial"/>
                <w:sz w:val="13"/>
                <w:szCs w:val="13"/>
                <w:color w:val="008000"/>
              </w:rPr>
              <w:t>(4)</w:t>
            </w:r>
          </w:p>
        </w:tc>
        <w:tc>
          <w:tcPr>
            <w:tcW w:w="1820" w:type="dxa"/>
            <w:vAlign w:val="bottom"/>
          </w:tcPr>
          <w:p>
            <w:pPr>
              <w:jc w:val="center"/>
              <w:spacing w:after="0"/>
              <w:rPr>
                <w:sz w:val="20"/>
                <w:szCs w:val="20"/>
                <w:color w:val="auto"/>
              </w:rPr>
            </w:pPr>
            <w:r>
              <w:rPr>
                <w:rFonts w:ascii="Arial" w:cs="Arial" w:eastAsia="Arial" w:hAnsi="Arial"/>
                <w:sz w:val="20"/>
                <w:szCs w:val="20"/>
                <w:color w:val="0000FF"/>
                <w:w w:val="85"/>
              </w:rPr>
              <w:t>$0.01 Par Value Per</w:t>
            </w:r>
          </w:p>
        </w:tc>
        <w:tc>
          <w:tcPr>
            <w:tcW w:w="740" w:type="dxa"/>
            <w:vAlign w:val="bottom"/>
          </w:tcPr>
          <w:p>
            <w:pPr>
              <w:jc w:val="right"/>
              <w:ind w:right="54"/>
              <w:spacing w:after="0"/>
              <w:rPr>
                <w:sz w:val="20"/>
                <w:szCs w:val="20"/>
                <w:color w:val="auto"/>
              </w:rPr>
            </w:pPr>
            <w:r>
              <w:rPr>
                <w:rFonts w:ascii="Arial" w:cs="Arial" w:eastAsia="Arial" w:hAnsi="Arial"/>
                <w:sz w:val="20"/>
                <w:szCs w:val="20"/>
                <w:color w:val="0000FF"/>
              </w:rPr>
              <w:t>1,150</w:t>
            </w:r>
          </w:p>
        </w:tc>
        <w:tc>
          <w:tcPr>
            <w:tcW w:w="1000" w:type="dxa"/>
            <w:vAlign w:val="bottom"/>
          </w:tcPr>
          <w:p>
            <w:pPr>
              <w:jc w:val="center"/>
              <w:spacing w:after="0"/>
              <w:rPr>
                <w:sz w:val="20"/>
                <w:szCs w:val="20"/>
                <w:color w:val="auto"/>
              </w:rPr>
            </w:pPr>
            <w:r>
              <w:rPr>
                <w:rFonts w:ascii="Arial" w:cs="Arial" w:eastAsia="Arial" w:hAnsi="Arial"/>
                <w:sz w:val="13"/>
                <w:szCs w:val="13"/>
                <w:color w:val="008000"/>
                <w:w w:val="87"/>
              </w:rPr>
              <w:t>(5)</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20"/>
                <w:szCs w:val="20"/>
                <w:color w:val="0000FF"/>
                <w:w w:val="82"/>
              </w:rPr>
              <w:t>Share</w:t>
            </w: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Arial" w:cs="Arial" w:eastAsia="Arial" w:hAnsi="Arial"/>
                <w:sz w:val="20"/>
                <w:szCs w:val="20"/>
                <w:color w:val="0000FF"/>
              </w:rPr>
              <w:t>RSU (Restricted Stock Unit)</w:t>
            </w:r>
          </w:p>
        </w:tc>
        <w:tc>
          <w:tcPr>
            <w:tcW w:w="1000" w:type="dxa"/>
            <w:vAlign w:val="bottom"/>
          </w:tcPr>
          <w:p>
            <w:pPr>
              <w:jc w:val="right"/>
              <w:ind w:right="351"/>
              <w:spacing w:after="0"/>
              <w:rPr>
                <w:sz w:val="20"/>
                <w:szCs w:val="20"/>
                <w:color w:val="auto"/>
              </w:rPr>
            </w:pPr>
            <w:r>
              <w:rPr>
                <w:rFonts w:ascii="Arial" w:cs="Arial" w:eastAsia="Arial" w:hAnsi="Arial"/>
                <w:sz w:val="13"/>
                <w:szCs w:val="13"/>
                <w:color w:val="008000"/>
              </w:rPr>
              <w:t>(6)</w:t>
            </w:r>
          </w:p>
        </w:tc>
        <w:tc>
          <w:tcPr>
            <w:tcW w:w="880" w:type="dxa"/>
            <w:vAlign w:val="bottom"/>
          </w:tcPr>
          <w:p>
            <w:pPr>
              <w:jc w:val="center"/>
              <w:spacing w:after="0"/>
              <w:rPr>
                <w:sz w:val="20"/>
                <w:szCs w:val="20"/>
                <w:color w:val="auto"/>
              </w:rPr>
            </w:pPr>
            <w:r>
              <w:rPr>
                <w:rFonts w:ascii="Arial" w:cs="Arial" w:eastAsia="Arial" w:hAnsi="Arial"/>
                <w:sz w:val="13"/>
                <w:szCs w:val="13"/>
                <w:color w:val="008000"/>
              </w:rPr>
              <w:t>(6)</w:t>
            </w:r>
          </w:p>
        </w:tc>
        <w:tc>
          <w:tcPr>
            <w:tcW w:w="1820" w:type="dxa"/>
            <w:vAlign w:val="bottom"/>
          </w:tcPr>
          <w:p>
            <w:pPr>
              <w:jc w:val="center"/>
              <w:spacing w:after="0"/>
              <w:rPr>
                <w:sz w:val="20"/>
                <w:szCs w:val="20"/>
                <w:color w:val="auto"/>
              </w:rPr>
            </w:pPr>
            <w:r>
              <w:rPr>
                <w:rFonts w:ascii="Arial" w:cs="Arial" w:eastAsia="Arial" w:hAnsi="Arial"/>
                <w:sz w:val="20"/>
                <w:szCs w:val="20"/>
                <w:color w:val="0000FF"/>
                <w:w w:val="85"/>
              </w:rPr>
              <w:t>$0.01 Par Value Per</w:t>
            </w:r>
          </w:p>
        </w:tc>
        <w:tc>
          <w:tcPr>
            <w:tcW w:w="740" w:type="dxa"/>
            <w:vAlign w:val="bottom"/>
          </w:tcPr>
          <w:p>
            <w:pPr>
              <w:jc w:val="right"/>
              <w:ind w:right="54"/>
              <w:spacing w:after="0"/>
              <w:rPr>
                <w:sz w:val="20"/>
                <w:szCs w:val="20"/>
                <w:color w:val="auto"/>
              </w:rPr>
            </w:pPr>
            <w:r>
              <w:rPr>
                <w:rFonts w:ascii="Arial" w:cs="Arial" w:eastAsia="Arial" w:hAnsi="Arial"/>
                <w:sz w:val="20"/>
                <w:szCs w:val="20"/>
                <w:color w:val="0000FF"/>
              </w:rPr>
              <w:t>4,580</w:t>
            </w:r>
          </w:p>
        </w:tc>
        <w:tc>
          <w:tcPr>
            <w:tcW w:w="1000" w:type="dxa"/>
            <w:vAlign w:val="bottom"/>
          </w:tcPr>
          <w:p>
            <w:pPr>
              <w:jc w:val="center"/>
              <w:spacing w:after="0"/>
              <w:rPr>
                <w:sz w:val="20"/>
                <w:szCs w:val="20"/>
                <w:color w:val="auto"/>
              </w:rPr>
            </w:pPr>
            <w:r>
              <w:rPr>
                <w:rFonts w:ascii="Arial" w:cs="Arial" w:eastAsia="Arial" w:hAnsi="Arial"/>
                <w:sz w:val="13"/>
                <w:szCs w:val="13"/>
                <w:color w:val="008000"/>
                <w:w w:val="87"/>
              </w:rPr>
              <w:t>(5)</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20"/>
                <w:szCs w:val="20"/>
                <w:color w:val="0000FF"/>
                <w:w w:val="82"/>
              </w:rPr>
              <w:t>Share</w:t>
            </w: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Arial" w:cs="Arial" w:eastAsia="Arial" w:hAnsi="Arial"/>
                <w:sz w:val="20"/>
                <w:szCs w:val="20"/>
                <w:color w:val="0000FF"/>
              </w:rPr>
              <w:t>RSU (Restricted Stock Unit)</w:t>
            </w:r>
          </w:p>
        </w:tc>
        <w:tc>
          <w:tcPr>
            <w:tcW w:w="1000" w:type="dxa"/>
            <w:vAlign w:val="bottom"/>
          </w:tcPr>
          <w:p>
            <w:pPr>
              <w:jc w:val="right"/>
              <w:ind w:right="351"/>
              <w:spacing w:after="0"/>
              <w:rPr>
                <w:sz w:val="20"/>
                <w:szCs w:val="20"/>
                <w:color w:val="auto"/>
              </w:rPr>
            </w:pPr>
            <w:r>
              <w:rPr>
                <w:rFonts w:ascii="Arial" w:cs="Arial" w:eastAsia="Arial" w:hAnsi="Arial"/>
                <w:sz w:val="13"/>
                <w:szCs w:val="13"/>
                <w:color w:val="008000"/>
              </w:rPr>
              <w:t>(7)</w:t>
            </w:r>
          </w:p>
        </w:tc>
        <w:tc>
          <w:tcPr>
            <w:tcW w:w="880" w:type="dxa"/>
            <w:vAlign w:val="bottom"/>
          </w:tcPr>
          <w:p>
            <w:pPr>
              <w:jc w:val="center"/>
              <w:spacing w:after="0"/>
              <w:rPr>
                <w:sz w:val="20"/>
                <w:szCs w:val="20"/>
                <w:color w:val="auto"/>
              </w:rPr>
            </w:pPr>
            <w:r>
              <w:rPr>
                <w:rFonts w:ascii="Arial" w:cs="Arial" w:eastAsia="Arial" w:hAnsi="Arial"/>
                <w:sz w:val="13"/>
                <w:szCs w:val="13"/>
                <w:color w:val="008000"/>
              </w:rPr>
              <w:t>(7)</w:t>
            </w:r>
          </w:p>
        </w:tc>
        <w:tc>
          <w:tcPr>
            <w:tcW w:w="1820" w:type="dxa"/>
            <w:vAlign w:val="bottom"/>
          </w:tcPr>
          <w:p>
            <w:pPr>
              <w:jc w:val="center"/>
              <w:spacing w:after="0"/>
              <w:rPr>
                <w:sz w:val="20"/>
                <w:szCs w:val="20"/>
                <w:color w:val="auto"/>
              </w:rPr>
            </w:pPr>
            <w:r>
              <w:rPr>
                <w:rFonts w:ascii="Arial" w:cs="Arial" w:eastAsia="Arial" w:hAnsi="Arial"/>
                <w:sz w:val="20"/>
                <w:szCs w:val="20"/>
                <w:color w:val="0000FF"/>
                <w:w w:val="85"/>
              </w:rPr>
              <w:t>$0.01 Par Value Per</w:t>
            </w:r>
          </w:p>
        </w:tc>
        <w:tc>
          <w:tcPr>
            <w:tcW w:w="740" w:type="dxa"/>
            <w:vAlign w:val="bottom"/>
          </w:tcPr>
          <w:p>
            <w:pPr>
              <w:jc w:val="right"/>
              <w:ind w:right="54"/>
              <w:spacing w:after="0"/>
              <w:rPr>
                <w:sz w:val="20"/>
                <w:szCs w:val="20"/>
                <w:color w:val="auto"/>
              </w:rPr>
            </w:pPr>
            <w:r>
              <w:rPr>
                <w:rFonts w:ascii="Arial" w:cs="Arial" w:eastAsia="Arial" w:hAnsi="Arial"/>
                <w:sz w:val="20"/>
                <w:szCs w:val="20"/>
                <w:color w:val="0000FF"/>
              </w:rPr>
              <w:t>8,260</w:t>
            </w:r>
          </w:p>
        </w:tc>
        <w:tc>
          <w:tcPr>
            <w:tcW w:w="1000" w:type="dxa"/>
            <w:vAlign w:val="bottom"/>
          </w:tcPr>
          <w:p>
            <w:pPr>
              <w:jc w:val="center"/>
              <w:spacing w:after="0"/>
              <w:rPr>
                <w:sz w:val="20"/>
                <w:szCs w:val="20"/>
                <w:color w:val="auto"/>
              </w:rPr>
            </w:pPr>
            <w:r>
              <w:rPr>
                <w:rFonts w:ascii="Arial" w:cs="Arial" w:eastAsia="Arial" w:hAnsi="Arial"/>
                <w:sz w:val="13"/>
                <w:szCs w:val="13"/>
                <w:color w:val="008000"/>
                <w:w w:val="87"/>
              </w:rPr>
              <w:t>(5)</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20"/>
                <w:szCs w:val="20"/>
                <w:color w:val="0000FF"/>
                <w:w w:val="82"/>
              </w:rPr>
              <w:t>Share</w:t>
            </w: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Arial" w:cs="Arial" w:eastAsia="Arial" w:hAnsi="Arial"/>
                <w:sz w:val="20"/>
                <w:szCs w:val="20"/>
                <w:color w:val="0000FF"/>
              </w:rPr>
              <w:t>RSU (Restricted Stock Unit)</w:t>
            </w:r>
          </w:p>
        </w:tc>
        <w:tc>
          <w:tcPr>
            <w:tcW w:w="1000" w:type="dxa"/>
            <w:vAlign w:val="bottom"/>
          </w:tcPr>
          <w:p>
            <w:pPr>
              <w:jc w:val="right"/>
              <w:ind w:right="351"/>
              <w:spacing w:after="0"/>
              <w:rPr>
                <w:sz w:val="20"/>
                <w:szCs w:val="20"/>
                <w:color w:val="auto"/>
              </w:rPr>
            </w:pPr>
            <w:r>
              <w:rPr>
                <w:rFonts w:ascii="Arial" w:cs="Arial" w:eastAsia="Arial" w:hAnsi="Arial"/>
                <w:sz w:val="13"/>
                <w:szCs w:val="13"/>
                <w:color w:val="008000"/>
              </w:rPr>
              <w:t>(8)</w:t>
            </w:r>
          </w:p>
        </w:tc>
        <w:tc>
          <w:tcPr>
            <w:tcW w:w="880" w:type="dxa"/>
            <w:vAlign w:val="bottom"/>
          </w:tcPr>
          <w:p>
            <w:pPr>
              <w:jc w:val="center"/>
              <w:spacing w:after="0"/>
              <w:rPr>
                <w:sz w:val="20"/>
                <w:szCs w:val="20"/>
                <w:color w:val="auto"/>
              </w:rPr>
            </w:pPr>
            <w:r>
              <w:rPr>
                <w:rFonts w:ascii="Arial" w:cs="Arial" w:eastAsia="Arial" w:hAnsi="Arial"/>
                <w:sz w:val="13"/>
                <w:szCs w:val="13"/>
                <w:color w:val="008000"/>
              </w:rPr>
              <w:t>(8)</w:t>
            </w:r>
          </w:p>
        </w:tc>
        <w:tc>
          <w:tcPr>
            <w:tcW w:w="1820" w:type="dxa"/>
            <w:vAlign w:val="bottom"/>
          </w:tcPr>
          <w:p>
            <w:pPr>
              <w:jc w:val="center"/>
              <w:spacing w:after="0"/>
              <w:rPr>
                <w:sz w:val="20"/>
                <w:szCs w:val="20"/>
                <w:color w:val="auto"/>
              </w:rPr>
            </w:pPr>
            <w:r>
              <w:rPr>
                <w:rFonts w:ascii="Arial" w:cs="Arial" w:eastAsia="Arial" w:hAnsi="Arial"/>
                <w:sz w:val="20"/>
                <w:szCs w:val="20"/>
                <w:color w:val="0000FF"/>
                <w:w w:val="85"/>
              </w:rPr>
              <w:t>$0.01 Par Value Per</w:t>
            </w:r>
          </w:p>
        </w:tc>
        <w:tc>
          <w:tcPr>
            <w:tcW w:w="740" w:type="dxa"/>
            <w:vAlign w:val="bottom"/>
          </w:tcPr>
          <w:p>
            <w:pPr>
              <w:jc w:val="right"/>
              <w:ind w:right="54"/>
              <w:spacing w:after="0"/>
              <w:rPr>
                <w:sz w:val="20"/>
                <w:szCs w:val="20"/>
                <w:color w:val="auto"/>
              </w:rPr>
            </w:pPr>
            <w:r>
              <w:rPr>
                <w:rFonts w:ascii="Arial" w:cs="Arial" w:eastAsia="Arial" w:hAnsi="Arial"/>
                <w:sz w:val="20"/>
                <w:szCs w:val="20"/>
                <w:color w:val="0000FF"/>
              </w:rPr>
              <w:t>9,330</w:t>
            </w:r>
          </w:p>
        </w:tc>
        <w:tc>
          <w:tcPr>
            <w:tcW w:w="1000" w:type="dxa"/>
            <w:vAlign w:val="bottom"/>
          </w:tcPr>
          <w:p>
            <w:pPr>
              <w:jc w:val="center"/>
              <w:spacing w:after="0"/>
              <w:rPr>
                <w:sz w:val="20"/>
                <w:szCs w:val="20"/>
                <w:color w:val="auto"/>
              </w:rPr>
            </w:pPr>
            <w:r>
              <w:rPr>
                <w:rFonts w:ascii="Arial" w:cs="Arial" w:eastAsia="Arial" w:hAnsi="Arial"/>
                <w:sz w:val="13"/>
                <w:szCs w:val="13"/>
                <w:color w:val="008000"/>
                <w:w w:val="87"/>
              </w:rPr>
              <w:t>(5)</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20"/>
                <w:szCs w:val="20"/>
                <w:color w:val="0000FF"/>
                <w:w w:val="82"/>
              </w:rPr>
              <w:t>Share</w:t>
            </w: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5"/>
          <w:szCs w:val="15"/>
          <w:color w:val="008000"/>
        </w:rPr>
        <w:t>1. This option is exercisable in five equal annual installments beginning January 17, 2019.</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5"/>
          <w:szCs w:val="15"/>
          <w:color w:val="008000"/>
        </w:rPr>
        <w:t>2. This option is exercisable in five equal annual installments beginning January 16, 2020.</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5"/>
          <w:szCs w:val="15"/>
          <w:color w:val="008000"/>
        </w:rPr>
        <w:t>3. The option is exercisable in five annual installments beginning January 15, 2021.</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5"/>
          <w:szCs w:val="15"/>
          <w:color w:val="008000"/>
        </w:rPr>
        <w:t>4. The restricted stock unit award was granted January 15, 2020 and vests 100% on January 15, 2023.</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5"/>
          <w:szCs w:val="15"/>
          <w:color w:val="008000"/>
        </w:rPr>
        <w:t>5. Each restricted stock unit represents the right to receive, at settlement, one (1) share of common stock.</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5"/>
          <w:szCs w:val="15"/>
          <w:color w:val="008000"/>
        </w:rPr>
        <w:t>6. The restricted stock unit award was granted July 22, 2020 and vests 100% on July 22, 2023.</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5"/>
          <w:szCs w:val="15"/>
          <w:color w:val="008000"/>
        </w:rPr>
        <w:t>7. The restricted stock unit award was granted January 19, 2022 and vests in three equal installments beginning on January 19, 2023.</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5"/>
          <w:szCs w:val="15"/>
          <w:color w:val="008000"/>
        </w:rPr>
        <w:t>8. The restricted stock unit award was granted July 20, 2022 and vests 100% on July 20, 2025.</w: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Samantha Blons,</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08/01/2022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6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20" w:right="2220" w:firstLine="5"/>
        <w:spacing w:after="0" w:line="334" w:lineRule="auto"/>
        <w:tabs>
          <w:tab w:leader="none" w:pos="17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20" w:right="6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500" w:top="194" w:right="4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SCHLUMBERGER LIMITED</w:t>
      </w:r>
    </w:p>
    <w:p>
      <w:pPr>
        <w:spacing w:after="0" w:line="238" w:lineRule="auto"/>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3299" w:firstLine="819"/>
        <w:spacing w:after="0" w:line="264" w:lineRule="auto"/>
        <w:rPr>
          <w:sz w:val="20"/>
          <w:szCs w:val="20"/>
          <w:color w:val="auto"/>
        </w:rPr>
      </w:pPr>
      <w:r>
        <w:rPr>
          <w:rFonts w:ascii="Courier New" w:cs="Courier New" w:eastAsia="Courier New" w:hAnsi="Courier New"/>
          <w:sz w:val="18"/>
          <w:szCs w:val="18"/>
          <w:color w:val="auto"/>
        </w:rPr>
        <w:t>The undersigned, in his capacity as a director or officer, or both, of Schlumberger Limited, a Curacao corporation (the "Company"), does hereby appoint each of Dianne B. Ralston, Samantha Blons, and LaToyia Tilley, or 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10"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20"/>
          <w:szCs w:val="20"/>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237" w:lineRule="exact"/>
        <w:rPr>
          <w:sz w:val="20"/>
          <w:szCs w:val="20"/>
          <w:color w:val="auto"/>
        </w:rPr>
      </w:pPr>
    </w:p>
    <w:p>
      <w:pPr>
        <w:ind w:right="3079" w:firstLine="819"/>
        <w:spacing w:after="0" w:line="237" w:lineRule="auto"/>
        <w:rPr>
          <w:sz w:val="20"/>
          <w:szCs w:val="20"/>
          <w:color w:val="auto"/>
        </w:rPr>
      </w:pPr>
      <w:r>
        <w:rPr>
          <w:rFonts w:ascii="Courier New" w:cs="Courier New" w:eastAsia="Courier New" w:hAnsi="Courier New"/>
          <w:sz w:val="20"/>
          <w:szCs w:val="20"/>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July 21, 2022</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Ugo Prechner</w:t>
      </w:r>
    </w:p>
    <w:p>
      <w:pPr>
        <w:spacing w:after="0" w:line="238" w:lineRule="auto"/>
        <w:rPr>
          <w:sz w:val="20"/>
          <w:szCs w:val="20"/>
          <w:color w:val="auto"/>
        </w:rPr>
      </w:pPr>
      <w:r>
        <w:rPr>
          <w:rFonts w:ascii="Courier New" w:cs="Courier New" w:eastAsia="Courier New" w:hAnsi="Courier New"/>
          <w:sz w:val="20"/>
          <w:szCs w:val="20"/>
          <w:color w:val="auto"/>
        </w:rPr>
        <w:t>Ugo Prechner</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40485" TargetMode="External"/><Relationship Id="rId11"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2022-08-01T15:22:52Z</dcterms:created>
  <dcterms:modified xsi:type="dcterms:W3CDTF">2022-08-01T15:22:52Z</dcterms:modified>
</cp:coreProperties>
</file>