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jc w:val="center"/>
        <w:spacing w:after="0" w:line="225" w:lineRule="auto"/>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6"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 xml:space="preserve">For the transition period from </w:t>
      </w:r>
      <w:r>
        <w:rPr>
          <w:rFonts w:ascii="Arial" w:cs="Arial" w:eastAsia="Arial" w:hAnsi="Arial"/>
          <w:sz w:val="14"/>
          <w:szCs w:val="14"/>
          <w:b w:val="1"/>
          <w:bCs w:val="1"/>
          <w:u w:val="single" w:color="auto"/>
          <w:color w:val="auto"/>
        </w:rPr>
        <w:t>__________</w:t>
      </w:r>
      <w:r>
        <w:rPr>
          <w:rFonts w:ascii="Arial" w:cs="Arial" w:eastAsia="Arial" w:hAnsi="Arial"/>
          <w:sz w:val="14"/>
          <w:szCs w:val="14"/>
          <w:b w:val="1"/>
          <w:bCs w:val="1"/>
          <w:color w:val="auto"/>
        </w:rPr>
        <w:t xml:space="preserve"> to </w:t>
      </w:r>
      <w:r>
        <w:rPr>
          <w:rFonts w:ascii="Arial" w:cs="Arial" w:eastAsia="Arial" w:hAnsi="Arial"/>
          <w:sz w:val="14"/>
          <w:szCs w:val="14"/>
          <w:b w:val="1"/>
          <w:bCs w:val="1"/>
          <w:u w:val="single" w:color="auto"/>
          <w:color w:val="auto"/>
        </w:rPr>
        <w:t>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1-4601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-257810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Limited)</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4680" w:type="dxa"/>
            <w:vAlign w:val="bottom"/>
          </w:tcPr>
          <w:p>
            <w:pPr>
              <w:jc w:val="center"/>
              <w:ind w:right="1610"/>
              <w:spacing w:after="0"/>
              <w:rPr>
                <w:sz w:val="20"/>
                <w:szCs w:val="20"/>
                <w:color w:val="auto"/>
              </w:rPr>
            </w:pPr>
            <w:r>
              <w:rPr>
                <w:rFonts w:ascii="Arial" w:cs="Arial" w:eastAsia="Arial" w:hAnsi="Arial"/>
                <w:sz w:val="14"/>
                <w:szCs w:val="14"/>
                <w:b w:val="1"/>
                <w:bCs w:val="1"/>
                <w:color w:val="auto"/>
                <w:w w:val="92"/>
              </w:rPr>
              <w:t>Curaçao</w:t>
            </w:r>
          </w:p>
        </w:tc>
        <w:tc>
          <w:tcPr>
            <w:tcW w:w="3420" w:type="dxa"/>
            <w:vAlign w:val="bottom"/>
          </w:tcPr>
          <w:p>
            <w:pPr>
              <w:jc w:val="center"/>
              <w:ind w:left="1611"/>
              <w:spacing w:after="0"/>
              <w:rPr>
                <w:sz w:val="20"/>
                <w:szCs w:val="20"/>
                <w:color w:val="auto"/>
              </w:rPr>
            </w:pPr>
            <w:r>
              <w:rPr>
                <w:rFonts w:ascii="Arial" w:cs="Arial" w:eastAsia="Arial" w:hAnsi="Arial"/>
                <w:sz w:val="14"/>
                <w:szCs w:val="14"/>
                <w:b w:val="1"/>
                <w:bCs w:val="1"/>
                <w:color w:val="auto"/>
                <w:w w:val="93"/>
              </w:rPr>
              <w:t>52-0684746</w:t>
            </w:r>
          </w:p>
        </w:tc>
        <w:tc>
          <w:tcPr>
            <w:tcW w:w="0" w:type="dxa"/>
            <w:vAlign w:val="bottom"/>
          </w:tcPr>
          <w:p>
            <w:pPr>
              <w:spacing w:after="0"/>
              <w:rPr>
                <w:sz w:val="1"/>
                <w:szCs w:val="1"/>
                <w:color w:val="auto"/>
              </w:rPr>
            </w:pPr>
          </w:p>
        </w:tc>
      </w:tr>
      <w:tr>
        <w:trPr>
          <w:trHeight w:val="160"/>
        </w:trPr>
        <w:tc>
          <w:tcPr>
            <w:tcW w:w="4680" w:type="dxa"/>
            <w:vAlign w:val="bottom"/>
          </w:tcPr>
          <w:p>
            <w:pPr>
              <w:jc w:val="center"/>
              <w:ind w:right="1610"/>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3420" w:type="dxa"/>
            <w:vAlign w:val="bottom"/>
          </w:tcPr>
          <w:p>
            <w:pPr>
              <w:jc w:val="center"/>
              <w:ind w:left="1611"/>
              <w:spacing w:after="0"/>
              <w:rPr>
                <w:sz w:val="20"/>
                <w:szCs w:val="20"/>
                <w:color w:val="auto"/>
              </w:rPr>
            </w:pPr>
            <w:r>
              <w:rPr>
                <w:rFonts w:ascii="Arial" w:cs="Arial" w:eastAsia="Arial" w:hAnsi="Arial"/>
                <w:sz w:val="13"/>
                <w:szCs w:val="13"/>
                <w:color w:val="auto"/>
                <w:w w:val="91"/>
              </w:rPr>
              <w:t>(IRS Employer Identification No.)</w:t>
            </w:r>
          </w:p>
        </w:tc>
        <w:tc>
          <w:tcPr>
            <w:tcW w:w="0" w:type="dxa"/>
            <w:vAlign w:val="bottom"/>
          </w:tcPr>
          <w:p>
            <w:pPr>
              <w:spacing w:after="0"/>
              <w:rPr>
                <w:sz w:val="1"/>
                <w:szCs w:val="1"/>
                <w:color w:val="auto"/>
              </w:rPr>
            </w:pPr>
          </w:p>
        </w:tc>
      </w:tr>
      <w:tr>
        <w:trPr>
          <w:trHeight w:val="155"/>
        </w:trPr>
        <w:tc>
          <w:tcPr>
            <w:tcW w:w="4680" w:type="dxa"/>
            <w:vAlign w:val="bottom"/>
          </w:tcPr>
          <w:p>
            <w:pPr>
              <w:jc w:val="center"/>
              <w:ind w:right="1610"/>
              <w:spacing w:after="0" w:line="155" w:lineRule="exact"/>
              <w:rPr>
                <w:sz w:val="20"/>
                <w:szCs w:val="20"/>
                <w:color w:val="auto"/>
              </w:rPr>
            </w:pPr>
            <w:r>
              <w:rPr>
                <w:rFonts w:ascii="Arial" w:cs="Arial" w:eastAsia="Arial" w:hAnsi="Arial"/>
                <w:sz w:val="14"/>
                <w:szCs w:val="14"/>
                <w:b w:val="1"/>
                <w:bCs w:val="1"/>
                <w:color w:val="auto"/>
                <w:w w:val="94"/>
              </w:rPr>
              <w:t>42 rue Saint-Dominique</w:t>
            </w:r>
          </w:p>
        </w:tc>
        <w:tc>
          <w:tcPr>
            <w:tcW w:w="342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auto"/>
                <w:w w:val="92"/>
              </w:rPr>
              <w:t>75007</w:t>
            </w:r>
          </w:p>
        </w:tc>
        <w:tc>
          <w:tcPr>
            <w:tcW w:w="0" w:type="dxa"/>
            <w:vAlign w:val="bottom"/>
          </w:tcPr>
          <w:p>
            <w:pPr>
              <w:spacing w:after="0"/>
              <w:rPr>
                <w:sz w:val="1"/>
                <w:szCs w:val="1"/>
                <w:color w:val="auto"/>
              </w:rPr>
            </w:pPr>
          </w:p>
        </w:tc>
      </w:tr>
      <w:tr>
        <w:trPr>
          <w:trHeight w:val="186"/>
        </w:trPr>
        <w:tc>
          <w:tcPr>
            <w:tcW w:w="4680" w:type="dxa"/>
            <w:vAlign w:val="bottom"/>
          </w:tcPr>
          <w:p>
            <w:pPr>
              <w:jc w:val="center"/>
              <w:ind w:right="1590"/>
              <w:spacing w:after="0"/>
              <w:rPr>
                <w:sz w:val="20"/>
                <w:szCs w:val="20"/>
                <w:color w:val="auto"/>
              </w:rPr>
            </w:pPr>
            <w:r>
              <w:rPr>
                <w:rFonts w:ascii="Arial" w:cs="Arial" w:eastAsia="Arial" w:hAnsi="Arial"/>
                <w:sz w:val="14"/>
                <w:szCs w:val="14"/>
                <w:b w:val="1"/>
                <w:bCs w:val="1"/>
                <w:color w:val="auto"/>
                <w:w w:val="93"/>
              </w:rPr>
              <w:t>Paris, France</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680" w:type="dxa"/>
            <w:vAlign w:val="bottom"/>
          </w:tcPr>
          <w:p>
            <w:pPr>
              <w:jc w:val="center"/>
              <w:ind w:right="1590"/>
              <w:spacing w:after="0" w:line="151" w:lineRule="exact"/>
              <w:rPr>
                <w:sz w:val="20"/>
                <w:szCs w:val="20"/>
                <w:color w:val="auto"/>
              </w:rPr>
            </w:pPr>
            <w:r>
              <w:rPr>
                <w:rFonts w:ascii="Arial" w:cs="Arial" w:eastAsia="Arial" w:hAnsi="Arial"/>
                <w:sz w:val="14"/>
                <w:szCs w:val="14"/>
                <w:b w:val="1"/>
                <w:bCs w:val="1"/>
                <w:color w:val="auto"/>
                <w:w w:val="92"/>
              </w:rPr>
              <w:t>5599 San Felipe, 17</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2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auto"/>
                <w:w w:val="92"/>
              </w:rPr>
              <w:t>77056</w:t>
            </w:r>
          </w:p>
        </w:tc>
        <w:tc>
          <w:tcPr>
            <w:tcW w:w="0" w:type="dxa"/>
            <w:vAlign w:val="bottom"/>
          </w:tcPr>
          <w:p>
            <w:pPr>
              <w:spacing w:after="0"/>
              <w:rPr>
                <w:sz w:val="1"/>
                <w:szCs w:val="1"/>
                <w:color w:val="auto"/>
              </w:rPr>
            </w:pPr>
          </w:p>
        </w:tc>
      </w:tr>
      <w:tr>
        <w:trPr>
          <w:trHeight w:val="186"/>
        </w:trPr>
        <w:tc>
          <w:tcPr>
            <w:tcW w:w="4680" w:type="dxa"/>
            <w:vAlign w:val="bottom"/>
          </w:tcPr>
          <w:p>
            <w:pPr>
              <w:jc w:val="center"/>
              <w:ind w:right="1610"/>
              <w:spacing w:after="0"/>
              <w:rPr>
                <w:sz w:val="20"/>
                <w:szCs w:val="20"/>
                <w:color w:val="auto"/>
              </w:rPr>
            </w:pPr>
            <w:r>
              <w:rPr>
                <w:rFonts w:ascii="Arial" w:cs="Arial" w:eastAsia="Arial" w:hAnsi="Arial"/>
                <w:sz w:val="14"/>
                <w:szCs w:val="14"/>
                <w:b w:val="1"/>
                <w:bCs w:val="1"/>
                <w:color w:val="auto"/>
                <w:w w:val="92"/>
              </w:rPr>
              <w:t>Houston, Texas, United States of America</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680" w:type="dxa"/>
            <w:vAlign w:val="bottom"/>
          </w:tcPr>
          <w:p>
            <w:pPr>
              <w:jc w:val="center"/>
              <w:ind w:right="1610"/>
              <w:spacing w:after="0" w:line="151" w:lineRule="exact"/>
              <w:rPr>
                <w:sz w:val="20"/>
                <w:szCs w:val="20"/>
                <w:color w:val="auto"/>
              </w:rPr>
            </w:pPr>
            <w:r>
              <w:rPr>
                <w:rFonts w:ascii="Arial" w:cs="Arial" w:eastAsia="Arial" w:hAnsi="Arial"/>
                <w:sz w:val="14"/>
                <w:szCs w:val="14"/>
                <w:b w:val="1"/>
                <w:bCs w:val="1"/>
                <w:color w:val="auto"/>
                <w:w w:val="92"/>
              </w:rPr>
              <w:t>62 Buckingham Gate</w:t>
            </w:r>
          </w:p>
        </w:tc>
        <w:tc>
          <w:tcPr>
            <w:tcW w:w="342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auto"/>
                <w:w w:val="98"/>
              </w:rPr>
              <w:t>SW1E 6AJ</w:t>
            </w:r>
          </w:p>
        </w:tc>
        <w:tc>
          <w:tcPr>
            <w:tcW w:w="0" w:type="dxa"/>
            <w:vAlign w:val="bottom"/>
          </w:tcPr>
          <w:p>
            <w:pPr>
              <w:spacing w:after="0"/>
              <w:rPr>
                <w:sz w:val="1"/>
                <w:szCs w:val="1"/>
                <w:color w:val="auto"/>
              </w:rPr>
            </w:pPr>
          </w:p>
        </w:tc>
      </w:tr>
      <w:tr>
        <w:trPr>
          <w:trHeight w:val="186"/>
        </w:trPr>
        <w:tc>
          <w:tcPr>
            <w:tcW w:w="4680" w:type="dxa"/>
            <w:vAlign w:val="bottom"/>
          </w:tcPr>
          <w:p>
            <w:pPr>
              <w:jc w:val="center"/>
              <w:ind w:right="1590"/>
              <w:spacing w:after="0"/>
              <w:rPr>
                <w:sz w:val="20"/>
                <w:szCs w:val="20"/>
                <w:color w:val="auto"/>
              </w:rPr>
            </w:pPr>
            <w:r>
              <w:rPr>
                <w:rFonts w:ascii="Arial" w:cs="Arial" w:eastAsia="Arial" w:hAnsi="Arial"/>
                <w:sz w:val="14"/>
                <w:szCs w:val="14"/>
                <w:b w:val="1"/>
                <w:bCs w:val="1"/>
                <w:color w:val="auto"/>
                <w:w w:val="94"/>
              </w:rPr>
              <w:t>London, United Kingdom</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680" w:type="dxa"/>
            <w:vAlign w:val="bottom"/>
          </w:tcPr>
          <w:p>
            <w:pPr>
              <w:jc w:val="center"/>
              <w:ind w:right="1610"/>
              <w:spacing w:after="0" w:line="151" w:lineRule="exact"/>
              <w:rPr>
                <w:sz w:val="20"/>
                <w:szCs w:val="20"/>
                <w:color w:val="auto"/>
              </w:rPr>
            </w:pPr>
            <w:r>
              <w:rPr>
                <w:rFonts w:ascii="Arial" w:cs="Arial" w:eastAsia="Arial" w:hAnsi="Arial"/>
                <w:sz w:val="14"/>
                <w:szCs w:val="14"/>
                <w:b w:val="1"/>
                <w:bCs w:val="1"/>
                <w:color w:val="auto"/>
                <w:w w:val="95"/>
              </w:rPr>
              <w:t>Parkstraat 83</w:t>
            </w:r>
          </w:p>
        </w:tc>
        <w:tc>
          <w:tcPr>
            <w:tcW w:w="3420" w:type="dxa"/>
            <w:vAlign w:val="bottom"/>
            <w:vMerge w:val="restart"/>
          </w:tcPr>
          <w:p>
            <w:pPr>
              <w:jc w:val="center"/>
              <w:ind w:left="1611"/>
              <w:spacing w:after="0"/>
              <w:rPr>
                <w:sz w:val="20"/>
                <w:szCs w:val="20"/>
                <w:color w:val="auto"/>
              </w:rPr>
            </w:pPr>
            <w:r>
              <w:rPr>
                <w:rFonts w:ascii="Arial" w:cs="Arial" w:eastAsia="Arial" w:hAnsi="Arial"/>
                <w:sz w:val="14"/>
                <w:szCs w:val="14"/>
                <w:b w:val="1"/>
                <w:bCs w:val="1"/>
                <w:color w:val="auto"/>
                <w:w w:val="93"/>
              </w:rPr>
              <w:t>2514 JG</w:t>
            </w:r>
          </w:p>
        </w:tc>
        <w:tc>
          <w:tcPr>
            <w:tcW w:w="0" w:type="dxa"/>
            <w:vAlign w:val="bottom"/>
          </w:tcPr>
          <w:p>
            <w:pPr>
              <w:spacing w:after="0"/>
              <w:rPr>
                <w:sz w:val="1"/>
                <w:szCs w:val="1"/>
                <w:color w:val="auto"/>
              </w:rPr>
            </w:pPr>
          </w:p>
        </w:tc>
      </w:tr>
      <w:tr>
        <w:trPr>
          <w:trHeight w:val="157"/>
        </w:trPr>
        <w:tc>
          <w:tcPr>
            <w:tcW w:w="4680" w:type="dxa"/>
            <w:vAlign w:val="bottom"/>
          </w:tcPr>
          <w:p>
            <w:pPr>
              <w:jc w:val="center"/>
              <w:ind w:right="1610"/>
              <w:spacing w:after="0" w:line="157" w:lineRule="exact"/>
              <w:rPr>
                <w:sz w:val="20"/>
                <w:szCs w:val="20"/>
                <w:color w:val="auto"/>
              </w:rPr>
            </w:pPr>
            <w:r>
              <w:rPr>
                <w:rFonts w:ascii="Arial" w:cs="Arial" w:eastAsia="Arial" w:hAnsi="Arial"/>
                <w:sz w:val="14"/>
                <w:szCs w:val="14"/>
                <w:b w:val="1"/>
                <w:bCs w:val="1"/>
                <w:color w:val="auto"/>
                <w:w w:val="93"/>
              </w:rPr>
              <w:t>The Hague, The Netherlands</w:t>
            </w: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80" w:type="dxa"/>
            <w:vAlign w:val="bottom"/>
          </w:tcPr>
          <w:p>
            <w:pPr>
              <w:jc w:val="center"/>
              <w:ind w:right="1590"/>
              <w:spacing w:after="0"/>
              <w:rPr>
                <w:sz w:val="20"/>
                <w:szCs w:val="20"/>
                <w:color w:val="auto"/>
              </w:rPr>
            </w:pPr>
            <w:r>
              <w:rPr>
                <w:rFonts w:ascii="Arial" w:cs="Arial" w:eastAsia="Arial" w:hAnsi="Arial"/>
                <w:sz w:val="13"/>
                <w:szCs w:val="13"/>
                <w:color w:val="auto"/>
                <w:w w:val="88"/>
              </w:rPr>
              <w:t>(Addresses of principal executive offices)</w:t>
            </w:r>
          </w:p>
        </w:tc>
        <w:tc>
          <w:tcPr>
            <w:tcW w:w="3420" w:type="dxa"/>
            <w:vAlign w:val="bottom"/>
          </w:tcPr>
          <w:p>
            <w:pPr>
              <w:jc w:val="center"/>
              <w:ind w:left="1631"/>
              <w:spacing w:after="0"/>
              <w:rPr>
                <w:sz w:val="20"/>
                <w:szCs w:val="20"/>
                <w:color w:val="auto"/>
              </w:rPr>
            </w:pPr>
            <w:r>
              <w:rPr>
                <w:rFonts w:ascii="Arial" w:cs="Arial" w:eastAsia="Arial" w:hAnsi="Arial"/>
                <w:sz w:val="13"/>
                <w:szCs w:val="13"/>
                <w:color w:val="auto"/>
                <w:w w:val="88"/>
              </w:rPr>
              <w:t>(Zip Codes)</w:t>
            </w:r>
          </w:p>
        </w:tc>
        <w:tc>
          <w:tcPr>
            <w:tcW w:w="0" w:type="dxa"/>
            <w:vAlign w:val="bottom"/>
          </w:tcPr>
          <w:p>
            <w:pPr>
              <w:spacing w:after="0"/>
              <w:rPr>
                <w:sz w:val="1"/>
                <w:szCs w:val="1"/>
                <w:color w:val="auto"/>
              </w:rPr>
            </w:pPr>
          </w:p>
        </w:tc>
      </w:tr>
    </w:tbl>
    <w:p>
      <w:pPr>
        <w:ind w:left="2840"/>
        <w:spacing w:after="0"/>
        <w:rPr>
          <w:sz w:val="20"/>
          <w:szCs w:val="20"/>
          <w:color w:val="auto"/>
        </w:rPr>
      </w:pPr>
      <w:r>
        <w:rPr>
          <w:rFonts w:ascii="Arial" w:cs="Arial" w:eastAsia="Arial" w:hAnsi="Arial"/>
          <w:sz w:val="14"/>
          <w:szCs w:val="14"/>
          <w:b w:val="1"/>
          <w:bCs w:val="1"/>
          <w:color w:val="auto"/>
        </w:rPr>
        <w:t>Registrant’s telephone number in the United States, including area code, is: (713) 513-2000</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364" w:right="339" w:bottom="1440" w:gutter="0" w:footer="0" w:header="0"/>
        </w:sectPr>
      </w:pPr>
    </w:p>
    <w:p>
      <w:pPr>
        <w:spacing w:after="0" w:line="24" w:lineRule="exact"/>
        <w:rPr>
          <w:sz w:val="24"/>
          <w:szCs w:val="24"/>
          <w:color w:val="auto"/>
        </w:rPr>
      </w:pPr>
    </w:p>
    <w:p>
      <w:pPr>
        <w:jc w:val="center"/>
        <w:ind w:left="780"/>
        <w:spacing w:after="0"/>
        <w:rPr>
          <w:sz w:val="20"/>
          <w:szCs w:val="20"/>
          <w:color w:val="auto"/>
        </w:rPr>
      </w:pPr>
      <w:r>
        <w:rPr>
          <w:rFonts w:ascii="Arial" w:cs="Arial" w:eastAsia="Arial" w:hAnsi="Arial"/>
          <w:sz w:val="14"/>
          <w:szCs w:val="14"/>
          <w:b w:val="1"/>
          <w:bCs w:val="1"/>
          <w:color w:val="auto"/>
        </w:rPr>
        <w:t>Title of each class</w:t>
      </w:r>
    </w:p>
    <w:p>
      <w:pPr>
        <w:spacing w:after="0" w:line="4" w:lineRule="exact"/>
        <w:rPr>
          <w:sz w:val="24"/>
          <w:szCs w:val="24"/>
          <w:color w:val="auto"/>
        </w:rPr>
      </w:pPr>
    </w:p>
    <w:p>
      <w:pPr>
        <w:jc w:val="center"/>
        <w:ind w:left="780"/>
        <w:spacing w:after="0"/>
        <w:rPr>
          <w:sz w:val="20"/>
          <w:szCs w:val="20"/>
          <w:color w:val="auto"/>
        </w:rPr>
      </w:pPr>
      <w:r>
        <w:rPr>
          <w:rFonts w:ascii="Arial" w:cs="Arial" w:eastAsia="Arial" w:hAnsi="Arial"/>
          <w:sz w:val="12"/>
          <w:szCs w:val="12"/>
          <w:color w:val="auto"/>
        </w:rPr>
        <w:t>Common Stock, par value $0.01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Trading Symbol(s)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SLB</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509905</wp:posOffset>
            </wp:positionH>
            <wp:positionV relativeFrom="paragraph">
              <wp:posOffset>55245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New York Stock Exchange</w:t>
      </w:r>
    </w:p>
    <w:p>
      <w:pPr>
        <w:spacing w:after="0" w:line="254" w:lineRule="exact"/>
        <w:rPr>
          <w:sz w:val="24"/>
          <w:szCs w:val="24"/>
          <w:color w:val="auto"/>
        </w:rPr>
      </w:pPr>
    </w:p>
    <w:p>
      <w:pPr>
        <w:sectPr>
          <w:pgSz w:w="11900" w:h="16838" w:orient="portrait"/>
          <w:cols w:equalWidth="0" w:num="3">
            <w:col w:w="3200" w:space="500"/>
            <w:col w:w="3860" w:space="360"/>
            <w:col w:w="3320"/>
          </w:cols>
          <w:pgMar w:left="320" w:top="364" w:right="339" w:bottom="1440" w:gutter="0" w:footer="0" w:header="0"/>
          <w:type w:val="continuous"/>
        </w:sectPr>
      </w:pPr>
    </w:p>
    <w:p>
      <w:pPr>
        <w:ind w:right="4020"/>
        <w:spacing w:after="0" w:line="201" w:lineRule="exact"/>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w:t>
      </w:r>
      <w:r>
        <w:rPr>
          <w:rFonts w:ascii="Arial" w:cs="Arial" w:eastAsia="Arial" w:hAnsi="Arial"/>
          <w:sz w:val="8"/>
          <w:szCs w:val="8"/>
          <w:color w:val="auto"/>
        </w:rPr>
        <w:t>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w:t>
      </w:r>
      <w:r>
        <w:rPr>
          <w:rFonts w:ascii="Arial" w:cs="Arial" w:eastAsia="Arial" w:hAnsi="Arial"/>
          <w:sz w:val="8"/>
          <w:szCs w:val="8"/>
          <w:color w:val="auto"/>
        </w:rPr>
        <w:t>O</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w:t>
      </w:r>
      <w:r>
        <w:rPr>
          <w:rFonts w:ascii="Arial" w:cs="Arial" w:eastAsia="Arial" w:hAnsi="Arial"/>
          <w:sz w:val="8"/>
          <w:szCs w:val="8"/>
          <w:color w:val="auto"/>
        </w:rPr>
        <w:t>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w:t>
      </w:r>
      <w:r>
        <w:rPr>
          <w:rFonts w:ascii="Arial" w:cs="Arial" w:eastAsia="Arial" w:hAnsi="Arial"/>
          <w:sz w:val="8"/>
          <w:szCs w:val="8"/>
          <w:color w:val="auto"/>
        </w:rPr>
        <w:t>O</w:t>
      </w:r>
      <w:r>
        <w:rPr>
          <w:rFonts w:ascii="Arial" w:cs="Arial" w:eastAsia="Arial" w:hAnsi="Arial"/>
          <w:sz w:val="12"/>
          <w:szCs w:val="12"/>
          <w:color w:val="auto"/>
        </w:rPr>
        <w:t xml:space="preserve"> </w:t>
      </w:r>
      <w:r>
        <w:rPr>
          <w:rFonts w:ascii="MS PGothic" w:cs="MS PGothic" w:eastAsia="MS PGothic" w:hAnsi="MS PGothic"/>
          <w:sz w:val="12"/>
          <w:szCs w:val="12"/>
          <w:color w:val="auto"/>
        </w:rPr>
        <w:t>☑</w:t>
      </w:r>
    </w:p>
    <w:p>
      <w:pPr>
        <w:ind w:right="200"/>
        <w:spacing w:after="0" w:line="162" w:lineRule="exact"/>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MS PGothic" w:cs="MS PGothic" w:eastAsia="MS PGothic" w:hAnsi="MS PGothic"/>
          <w:sz w:val="13"/>
          <w:szCs w:val="13"/>
          <w:color w:val="auto"/>
        </w:rPr>
        <w:t>☐</w:t>
      </w:r>
    </w:p>
    <w:p>
      <w:pPr>
        <w:spacing w:after="0" w:line="3" w:lineRule="exact"/>
        <w:rPr>
          <w:sz w:val="24"/>
          <w:szCs w:val="24"/>
          <w:color w:val="auto"/>
        </w:rPr>
      </w:pPr>
    </w:p>
    <w:p>
      <w:pPr>
        <w:ind w:right="80"/>
        <w:spacing w:after="0" w:line="167"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4" w:lineRule="exact"/>
        <w:rPr>
          <w:sz w:val="24"/>
          <w:szCs w:val="24"/>
          <w:color w:val="auto"/>
        </w:rPr>
      </w:pPr>
    </w:p>
    <w:p>
      <w:pPr>
        <w:jc w:val="both"/>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ind w:right="16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As of June 30, 2021, the aggregate market value of the common stock of the registrant held by non-affiliates of the registrant was approximately $44.72 billion.</w:t>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As of December 31, 2021, the number of shares of common stock outstanding was 1,403,381,685.</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28" w:lineRule="exact"/>
        <w:rPr>
          <w:sz w:val="24"/>
          <w:szCs w:val="24"/>
          <w:color w:val="auto"/>
        </w:rPr>
      </w:pPr>
    </w:p>
    <w:p>
      <w:pPr>
        <w:jc w:val="both"/>
        <w:spacing w:after="0" w:line="256" w:lineRule="auto"/>
        <w:rPr>
          <w:sz w:val="20"/>
          <w:szCs w:val="20"/>
          <w:color w:val="auto"/>
        </w:rPr>
      </w:pPr>
      <w:r>
        <w:rPr>
          <w:rFonts w:ascii="Arial" w:cs="Arial" w:eastAsia="Arial" w:hAnsi="Arial"/>
          <w:sz w:val="13"/>
          <w:szCs w:val="13"/>
          <w:color w:val="auto"/>
        </w:rPr>
        <w:t>Certain information required to be furnished pursuant to Part III of this Form 10-K is set forth in, and is incorporated by reference from, Schlumberger’s definitive proxy statement for its 2022 Annual General Meeting of Stockholders, to be filed by Schlumberger with the Securities and Exchange Commission (“SEC”) pursuant to Regulation 14A within 120 days after December 31, 2021 (the “2022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80" w:type="dxa"/>
            <w:vAlign w:val="bottom"/>
            <w:gridSpan w:val="8"/>
          </w:tcPr>
          <w:p>
            <w:pPr>
              <w:jc w:val="center"/>
              <w:ind w:right="3960"/>
              <w:spacing w:after="0"/>
              <w:rPr>
                <w:sz w:val="20"/>
                <w:szCs w:val="20"/>
                <w:color w:val="auto"/>
              </w:rPr>
            </w:pPr>
            <w:r>
              <w:rPr>
                <w:rFonts w:ascii="Arial" w:cs="Arial" w:eastAsia="Arial" w:hAnsi="Arial"/>
                <w:sz w:val="18"/>
                <w:szCs w:val="18"/>
                <w:b w:val="1"/>
                <w:bCs w:val="1"/>
                <w:color w:val="auto"/>
              </w:rPr>
              <w:t>SCHLUMBERGER LIMITED</w:t>
            </w:r>
          </w:p>
        </w:tc>
        <w:tc>
          <w:tcPr>
            <w:tcW w:w="400" w:type="dxa"/>
            <w:vAlign w:val="bottom"/>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gridSpan w:val="8"/>
          </w:tcPr>
          <w:p>
            <w:pPr>
              <w:jc w:val="center"/>
              <w:ind w:right="3960"/>
              <w:spacing w:after="0"/>
              <w:rPr>
                <w:sz w:val="20"/>
                <w:szCs w:val="20"/>
                <w:color w:val="auto"/>
              </w:rPr>
            </w:pPr>
            <w:r>
              <w:rPr>
                <w:rFonts w:ascii="Arial" w:cs="Arial" w:eastAsia="Arial" w:hAnsi="Arial"/>
                <w:sz w:val="18"/>
                <w:szCs w:val="18"/>
                <w:color w:val="auto"/>
                <w:w w:val="90"/>
              </w:rPr>
              <w:t>Table of Contents</w:t>
            </w:r>
          </w:p>
        </w:tc>
        <w:tc>
          <w:tcPr>
            <w:tcW w:w="40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80" w:type="dxa"/>
            <w:vAlign w:val="bottom"/>
            <w:gridSpan w:val="8"/>
          </w:tcPr>
          <w:p>
            <w:pPr>
              <w:jc w:val="center"/>
              <w:ind w:right="3960"/>
              <w:spacing w:after="0"/>
              <w:rPr>
                <w:sz w:val="20"/>
                <w:szCs w:val="20"/>
                <w:color w:val="auto"/>
              </w:rPr>
            </w:pPr>
            <w:r>
              <w:rPr>
                <w:rFonts w:ascii="Arial" w:cs="Arial" w:eastAsia="Arial" w:hAnsi="Arial"/>
                <w:sz w:val="18"/>
                <w:szCs w:val="18"/>
                <w:color w:val="auto"/>
                <w:w w:val="94"/>
              </w:rPr>
              <w:t>Form 10-K</w:t>
            </w:r>
          </w:p>
        </w:tc>
        <w:tc>
          <w:tcPr>
            <w:tcW w:w="400" w:type="dxa"/>
            <w:vAlign w:val="bottom"/>
          </w:tcPr>
          <w:p>
            <w:pPr>
              <w:spacing w:after="0"/>
              <w:rPr>
                <w:sz w:val="20"/>
                <w:szCs w:val="20"/>
                <w:color w:val="auto"/>
              </w:rPr>
            </w:pPr>
          </w:p>
        </w:tc>
      </w:tr>
      <w:tr>
        <w:trPr>
          <w:trHeight w:val="40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45"/>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160" w:type="dxa"/>
            <w:vAlign w:val="bottom"/>
            <w:gridSpan w:val="1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890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Unresolved Staff Comments</w:t>
              </w:r>
            </w:hyperlink>
          </w:p>
        </w:tc>
        <w:tc>
          <w:tcPr>
            <w:tcW w:w="776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58"/>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Schlumberger’s Common Stock, Related Stockholder Matters and Issuer Purchases of Equity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280" w:type="dxa"/>
            <w:vAlign w:val="bottom"/>
            <w:tcBorders>
              <w:top w:val="single" w:sz="8" w:color="0000EE"/>
            </w:tcBorders>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[Reserved]</w:t>
              </w:r>
            </w:hyperlink>
          </w:p>
        </w:tc>
        <w:tc>
          <w:tcPr>
            <w:tcW w:w="15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544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98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Financial Statements and Supplementary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80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334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804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9C.</w:t>
            </w:r>
          </w:p>
        </w:tc>
        <w:tc>
          <w:tcPr>
            <w:tcW w:w="980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Disclosure Regarding Foreign Jurisdictions that Prevent Inspections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58"/>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53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Directors, Executive Officers and Corporate Governance of Schlumberger</w:t>
              </w:r>
            </w:hyperlink>
          </w:p>
        </w:tc>
        <w:tc>
          <w:tcPr>
            <w:tcW w:w="44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Executive Compensation</w:t>
              </w:r>
            </w:hyperlink>
          </w:p>
        </w:tc>
        <w:tc>
          <w:tcPr>
            <w:tcW w:w="800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252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436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58"/>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Exhibits and Financial Statement Schedules</w:t>
              </w:r>
            </w:hyperlink>
          </w:p>
        </w:tc>
        <w:tc>
          <w:tcPr>
            <w:tcW w:w="664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9800" w:type="dxa"/>
            <w:vAlign w:val="bottom"/>
            <w:gridSpan w:val="2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Form 10-K Summary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2"/>
        </w:trPr>
        <w:tc>
          <w:tcPr>
            <w:tcW w:w="1040" w:type="dxa"/>
            <w:vAlign w:val="bottom"/>
          </w:tcPr>
          <w:p>
            <w:pPr>
              <w:spacing w:after="0"/>
              <w:rPr>
                <w:sz w:val="24"/>
                <w:szCs w:val="24"/>
                <w:color w:val="auto"/>
              </w:rPr>
            </w:pPr>
          </w:p>
        </w:tc>
        <w:tc>
          <w:tcPr>
            <w:tcW w:w="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75">
              <w:r>
                <w:rPr>
                  <w:rFonts w:ascii="Arial" w:cs="Arial" w:eastAsia="Arial" w:hAnsi="Arial"/>
                  <w:sz w:val="18"/>
                  <w:szCs w:val="18"/>
                  <w:color w:val="0000EE"/>
                  <w:w w:val="85"/>
                </w:rPr>
                <w:t>Signatures</w:t>
              </w:r>
            </w:hyperlink>
          </w:p>
        </w:tc>
        <w:tc>
          <w:tcPr>
            <w:tcW w:w="760" w:type="dxa"/>
            <w:vAlign w:val="bottom"/>
            <w:tcBorders>
              <w:top w:val="single" w:sz="8" w:color="0000EE"/>
            </w:tcBorders>
            <w:gridSpan w:val="3"/>
          </w:tcPr>
          <w:p>
            <w:pPr>
              <w:spacing w:after="0"/>
              <w:rPr>
                <w:sz w:val="24"/>
                <w:szCs w:val="24"/>
                <w:color w:val="auto"/>
              </w:rPr>
            </w:pPr>
          </w:p>
        </w:tc>
        <w:tc>
          <w:tcPr>
            <w:tcW w:w="826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58"/>
        </w:trPr>
        <w:tc>
          <w:tcPr>
            <w:tcW w:w="10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Arial" w:cs="Arial" w:eastAsia="Arial" w:hAnsi="Arial"/>
                <w:sz w:val="18"/>
                <w:szCs w:val="18"/>
                <w:color w:val="auto"/>
              </w:rPr>
              <w:t>Certifications</w:t>
            </w:r>
          </w:p>
        </w:tc>
        <w:tc>
          <w:tcPr>
            <w:tcW w:w="400" w:type="dxa"/>
            <w:vAlign w:val="bottom"/>
          </w:tcPr>
          <w:p>
            <w:pPr>
              <w:spacing w:after="0"/>
              <w:rPr>
                <w:sz w:val="24"/>
                <w:szCs w:val="24"/>
                <w:color w:val="auto"/>
              </w:rPr>
            </w:pPr>
          </w:p>
        </w:tc>
      </w:tr>
      <w:tr>
        <w:trPr>
          <w:trHeight w:val="648"/>
        </w:trPr>
        <w:tc>
          <w:tcPr>
            <w:tcW w:w="1040" w:type="dxa"/>
            <w:vAlign w:val="bottom"/>
          </w:tcPr>
          <w:p>
            <w:pPr>
              <w:spacing w:after="0"/>
              <w:rPr>
                <w:sz w:val="24"/>
                <w:szCs w:val="24"/>
                <w:color w:val="auto"/>
              </w:rPr>
            </w:pPr>
          </w:p>
        </w:tc>
        <w:tc>
          <w:tcPr>
            <w:tcW w:w="4900" w:type="dxa"/>
            <w:vAlign w:val="bottom"/>
            <w:gridSpan w:val="14"/>
          </w:tcPr>
          <w:p>
            <w:pPr>
              <w:jc w:val="center"/>
              <w:ind w:left="4170"/>
              <w:spacing w:after="0"/>
              <w:rPr>
                <w:sz w:val="20"/>
                <w:szCs w:val="20"/>
                <w:color w:val="auto"/>
              </w:rPr>
            </w:pPr>
            <w:r>
              <w:rPr>
                <w:rFonts w:ascii="Arial" w:cs="Arial" w:eastAsia="Arial" w:hAnsi="Arial"/>
                <w:sz w:val="18"/>
                <w:szCs w:val="18"/>
                <w:color w:val="auto"/>
                <w:w w:val="79"/>
              </w:rPr>
              <w:t>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report to “Registrant,” “Company,” “Schlumberger,” “we” or “our” are to Schlumberger Limited (Schlumberger N.V.) and its consolidated subsidiaries.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a technology company that partners with customers to access energy by providing leading digital solutions and deploying innovative technologies to enable performance and sustainability for the global energy industry. Schlumberger collaborates to create technology that unlocks access to energy for the benefit of all.</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Schlumberger is organized under four Divisions operating in five distinct Basins that are aligned with critical hubs of activity. These Divisions combine and integrate Schlumberger’s technologies, enhancing our ability to support the emerging long-term growth opportunities in each of these market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four Divisions are:</w:t>
      </w:r>
    </w:p>
    <w:p>
      <w:pPr>
        <w:spacing w:after="0" w:line="117"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&amp; Integration</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Construction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Systems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Digital &amp; Integration </w:t>
      </w:r>
      <w:r>
        <w:rPr>
          <w:rFonts w:ascii="Arial" w:cs="Arial" w:eastAsia="Arial" w:hAnsi="Arial"/>
          <w:sz w:val="18"/>
          <w:szCs w:val="18"/>
          <w:color w:val="auto"/>
        </w:rPr>
        <w:t>– Combines Schlumberger’s digital workflow solutions and seismic data interpretation and management businesses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offering of Asset Performance Solutions (“APS”). Through digital solutions and technologies, supported by the future of software, digital, infrastructure, connected assets, and data, this Division enhances efficiency to improve asset and enterprise-wide performance for customers. APS helps develop or redevelop fields while increasing production, improving cash flow, and extending recovery for customers by providing fit-for-purpose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17" w:lineRule="exact"/>
        <w:rPr>
          <w:sz w:val="20"/>
          <w:szCs w:val="20"/>
          <w:color w:val="auto"/>
        </w:rPr>
      </w:pPr>
    </w:p>
    <w:p>
      <w:pPr>
        <w:jc w:val="both"/>
        <w:ind w:left="740" w:hanging="368"/>
        <w:spacing w:after="0" w:line="25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Digital solutions: </w:t>
      </w:r>
      <w:r>
        <w:rPr>
          <w:rFonts w:ascii="Arial" w:cs="Arial" w:eastAsia="Arial" w:hAnsi="Arial"/>
          <w:sz w:val="18"/>
          <w:szCs w:val="18"/>
          <w:color w:val="auto"/>
        </w:rPr>
        <w:t>Includes proprietary software, an expanding digital ecosystem, consulting services, information management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to customers in the energy industry. Offers expert consulting services for reservoir characterization, field development planning and production enhancement, as well as industry-leading petrotechnical data services and training solutions.</w:t>
      </w:r>
    </w:p>
    <w:p>
      <w:pPr>
        <w:spacing w:after="0" w:line="2" w:lineRule="exact"/>
        <w:rPr>
          <w:rFonts w:ascii="Arial" w:cs="Arial" w:eastAsia="Arial" w:hAnsi="Arial"/>
          <w:sz w:val="18"/>
          <w:szCs w:val="18"/>
          <w:color w:val="auto"/>
        </w:rPr>
      </w:pPr>
    </w:p>
    <w:p>
      <w:pPr>
        <w:jc w:val="both"/>
        <w:ind w:left="74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Multiclient seismic surveys and data processing: </w:t>
      </w:r>
      <w:r>
        <w:rPr>
          <w:rFonts w:ascii="Arial" w:cs="Arial" w:eastAsia="Arial" w:hAnsi="Arial"/>
          <w:sz w:val="18"/>
          <w:szCs w:val="18"/>
          <w:color w:val="auto"/>
        </w:rPr>
        <w:t>WesternGeco</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leading geophysical services supplier, providing comprehensive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reservoir interpretation and data processing services. It provides a highly efficient and scientifically advanced imaging platform and innovative and accurate subsurface imagery for multiclient surveys, also referred to as exploration data. WesternGeco offers one of the industry’s most extensive multiclient libraries.</w:t>
      </w:r>
    </w:p>
    <w:p>
      <w:pPr>
        <w:spacing w:after="0" w:line="1" w:lineRule="exact"/>
        <w:rPr>
          <w:rFonts w:ascii="Arial" w:cs="Arial" w:eastAsia="Arial" w:hAnsi="Arial"/>
          <w:sz w:val="18"/>
          <w:szCs w:val="18"/>
          <w:color w:val="auto"/>
        </w:rPr>
      </w:pPr>
    </w:p>
    <w:p>
      <w:pPr>
        <w:jc w:val="both"/>
        <w:ind w:left="740" w:hanging="368"/>
        <w:spacing w:after="0" w:line="25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Asset Performance Solutions: </w:t>
      </w:r>
      <w:r>
        <w:rPr>
          <w:rFonts w:ascii="Arial" w:cs="Arial" w:eastAsia="Arial" w:hAnsi="Arial"/>
          <w:sz w:val="18"/>
          <w:szCs w:val="18"/>
          <w:color w:val="auto"/>
        </w:rPr>
        <w:t>APS offers an integrated business model for field production projects. This model combines Schlumberger’s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products with drilling rig management and specialized engineering and project management expertise, to provide a complete solution to well construction and production improvement.</w:t>
      </w:r>
    </w:p>
    <w:p>
      <w:pPr>
        <w:spacing w:after="0" w:line="81" w:lineRule="exact"/>
        <w:rPr>
          <w:rFonts w:ascii="Arial" w:cs="Arial" w:eastAsia="Arial" w:hAnsi="Arial"/>
          <w:sz w:val="18"/>
          <w:szCs w:val="18"/>
          <w:color w:val="auto"/>
        </w:rPr>
      </w:pPr>
    </w:p>
    <w:p>
      <w:pPr>
        <w:jc w:val="both"/>
        <w:ind w:left="760"/>
        <w:spacing w:after="0" w:line="293" w:lineRule="auto"/>
        <w:rPr>
          <w:rFonts w:ascii="Arial" w:cs="Arial" w:eastAsia="Arial" w:hAnsi="Arial"/>
          <w:sz w:val="18"/>
          <w:szCs w:val="18"/>
          <w:color w:val="auto"/>
        </w:rPr>
      </w:pPr>
      <w:r>
        <w:rPr>
          <w:rFonts w:ascii="Arial" w:cs="Arial" w:eastAsia="Arial" w:hAnsi="Arial"/>
          <w:sz w:val="16"/>
          <w:szCs w:val="16"/>
          <w:color w:val="auto"/>
        </w:rPr>
        <w:t>APS creates alignment between Schlumberger and the asset holder and/or the operator utilizing a commercial model whereby Schlumberger receives remuneration in line with the value it creates. These projects are generally focused on developing and co-managing production of customer assets under long-term agreements. Schlumberger invests its services and products into the field development activities and operations and is compensated on a fee-per-barrel basis or based on cash flow generated. This includes certain arrangements whereby Schlumberger is only compensated based on incremental production that it helps deliver above a mutually agreed baseline. As of December 31, 2021, Schlumberger’s APS portfolio primarily consisted of three field production projects in Ecuador and one in Canada.</w:t>
      </w:r>
    </w:p>
    <w:p>
      <w:pPr>
        <w:spacing w:after="0" w:line="19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 xml:space="preserve">Reservoir Performance </w:t>
      </w:r>
      <w:r>
        <w:rPr>
          <w:rFonts w:ascii="Arial" w:cs="Arial" w:eastAsia="Arial" w:hAnsi="Arial"/>
          <w:sz w:val="18"/>
          <w:szCs w:val="18"/>
          <w:color w:val="auto"/>
        </w:rPr>
        <w:t>– Consists of reservoir-centric technologies and services that are critical to optimizing reservoir productivity and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Reservoir Performance develops and deploys innovative technologies and services to evaluate, intervene, and stimulate reservoirs that help customers understand subsurface assets and maximize their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31" w:lineRule="exact"/>
        <w:rPr>
          <w:sz w:val="20"/>
          <w:szCs w:val="20"/>
          <w:color w:val="auto"/>
        </w:rPr>
      </w:pPr>
    </w:p>
    <w:p>
      <w:pPr>
        <w:ind w:left="740" w:hanging="368"/>
        <w:spacing w:after="0" w:line="258"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Wireline: </w:t>
      </w:r>
      <w:r>
        <w:rPr>
          <w:rFonts w:ascii="Arial" w:cs="Arial" w:eastAsia="Arial" w:hAnsi="Arial"/>
          <w:sz w:val="18"/>
          <w:szCs w:val="18"/>
          <w:color w:val="auto"/>
        </w:rPr>
        <w:t>Provides the information necessary to evaluate subsurface geology and fluids to plan and monitor well construction and to monitor and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well production. Offers both openhole and cased-hole services, including wireline logging and perforating.</w:t>
      </w:r>
    </w:p>
    <w:p>
      <w:pPr>
        <w:spacing w:after="0" w:line="1"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Testing: </w:t>
      </w:r>
      <w:r>
        <w:rPr>
          <w:rFonts w:ascii="Arial" w:cs="Arial" w:eastAsia="Arial" w:hAnsi="Arial"/>
          <w:sz w:val="18"/>
          <w:szCs w:val="18"/>
          <w:color w:val="auto"/>
        </w:rPr>
        <w:t>Provides exploration and production pressure and flow-rate measurement services both at the surface and downhole. Testing has a</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of laboratories that facilitate formation and fluid characterization.</w:t>
      </w:r>
    </w:p>
    <w:p>
      <w:pPr>
        <w:jc w:val="both"/>
        <w:ind w:left="740" w:hanging="368"/>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Stimulation and Intervention</w:t>
      </w:r>
      <w:r>
        <w:rPr>
          <w:rFonts w:ascii="Arial" w:cs="Arial" w:eastAsia="Arial" w:hAnsi="Arial"/>
          <w:sz w:val="18"/>
          <w:szCs w:val="18"/>
          <w:color w:val="auto"/>
        </w:rPr>
        <w:t>: Provides services used during well completions, as well as those used to maintain optimal production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 of a well. Includes pressure pumping, well stimulation, and coiled tubing equipment for downhole mechanical well intervention, reservoir monitoring, and downhole data acquisition.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2020, Schlumberger contributed its onshore hydraulic fracturing business in the United States and Canada (“OneStim</w:t>
      </w:r>
      <w:r>
        <w:rPr>
          <w:rFonts w:ascii="Arial" w:cs="Arial" w:eastAsia="Arial" w:hAnsi="Arial"/>
          <w:sz w:val="15"/>
          <w:szCs w:val="15"/>
          <w:color w:val="auto"/>
        </w:rPr>
        <w:t>®</w:t>
      </w:r>
      <w:r>
        <w:rPr>
          <w:rFonts w:ascii="Arial" w:cs="Arial" w:eastAsia="Arial" w:hAnsi="Arial"/>
          <w:sz w:val="18"/>
          <w:szCs w:val="18"/>
          <w:color w:val="auto"/>
        </w:rPr>
        <w:t>”), including its pressure pumping, pumpdown perforating, and Permian frac sand businesses, to Liberty Oilfield Services Inc. (“Liberty”), in exchange for a 37% equity interest in Liberty. OneStim’s historical results were reported as part of the Reservoir Performance Division through the closing of the transaction. As of December 31, 2021, Schlumberger had a 31% equity interest in Liberty.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 Combines the full portfolio of products and services to optimize well placement and performance, maximize drilling efficiency,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wellbore assurance. Well Construction provides operators and drilling rig manufacturers with services and products related to designing and constructing a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17" w:lineRule="exact"/>
        <w:rPr>
          <w:sz w:val="20"/>
          <w:szCs w:val="20"/>
          <w:color w:val="auto"/>
        </w:rPr>
      </w:pPr>
    </w:p>
    <w:p>
      <w:pPr>
        <w:ind w:left="740" w:hanging="368"/>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Drilling &amp; Measurements: </w:t>
      </w:r>
      <w:r>
        <w:rPr>
          <w:rFonts w:ascii="Arial" w:cs="Arial" w:eastAsia="Arial" w:hAnsi="Arial"/>
          <w:sz w:val="18"/>
          <w:szCs w:val="18"/>
          <w:color w:val="auto"/>
        </w:rPr>
        <w:t>Provides mud logging services for geological and drilling surveillance, directional drilling, measurement-while-drilling and logging-while-drilling services for all well profiles as well as engineering support.</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Drilling Fluids: </w:t>
      </w:r>
      <w:r>
        <w:rPr>
          <w:rFonts w:ascii="Arial" w:cs="Arial" w:eastAsia="Arial" w:hAnsi="Arial"/>
          <w:sz w:val="18"/>
          <w:szCs w:val="18"/>
          <w:color w:val="auto"/>
        </w:rPr>
        <w:t>Supplies individually engineered drilling fluid systems that improve drilling performance and maintain well control and wellbore</w:t>
      </w:r>
      <w:r>
        <w:rPr>
          <w:rFonts w:ascii="Arial" w:cs="Arial" w:eastAsia="Arial" w:hAnsi="Arial"/>
          <w:sz w:val="18"/>
          <w:szCs w:val="18"/>
          <w:i w:val="1"/>
          <w:iCs w:val="1"/>
          <w:color w:val="auto"/>
        </w:rPr>
        <w:t xml:space="preserve"> </w:t>
      </w:r>
      <w:r>
        <w:rPr>
          <w:rFonts w:ascii="Arial" w:cs="Arial" w:eastAsia="Arial" w:hAnsi="Arial"/>
          <w:sz w:val="18"/>
          <w:szCs w:val="18"/>
          <w:color w:val="auto"/>
        </w:rPr>
        <w:t>stability throughout the drilling operation.</w:t>
      </w: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Drill Bits: </w:t>
      </w:r>
      <w:r>
        <w:rPr>
          <w:rFonts w:ascii="Arial" w:cs="Arial" w:eastAsia="Arial" w:hAnsi="Arial"/>
          <w:sz w:val="18"/>
          <w:szCs w:val="18"/>
          <w:color w:val="auto"/>
        </w:rPr>
        <w:t>Designs, manufactures and markets roller cone and fixed cutter drill bits for all drilling environments.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Drilling Tools</w:t>
      </w:r>
      <w:r>
        <w:rPr>
          <w:rFonts w:ascii="Arial" w:cs="Arial" w:eastAsia="Arial" w:hAnsi="Arial"/>
          <w:sz w:val="18"/>
          <w:szCs w:val="18"/>
          <w:color w:val="auto"/>
        </w:rPr>
        <w:t>: Includes a wide variety of bottom-hole-assembly and borehole enlargement technologies for drilling operations.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Well Cementing</w:t>
      </w:r>
      <w:r>
        <w:rPr>
          <w:rFonts w:ascii="Arial" w:cs="Arial" w:eastAsia="Arial" w:hAnsi="Arial"/>
          <w:sz w:val="18"/>
          <w:szCs w:val="18"/>
          <w:color w:val="auto"/>
        </w:rPr>
        <w:t>: Provides products and services that secure and protect well casings while isolating fluid zones and maximizing wellbore</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w:t>
      </w:r>
    </w:p>
    <w:p>
      <w:pPr>
        <w:ind w:left="74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Integrated Well Construction: </w:t>
      </w:r>
      <w:r>
        <w:rPr>
          <w:rFonts w:ascii="Arial" w:cs="Arial" w:eastAsia="Arial" w:hAnsi="Arial"/>
          <w:sz w:val="18"/>
          <w:szCs w:val="18"/>
          <w:color w:val="auto"/>
        </w:rPr>
        <w:t>Provides integrated solutions to construct or change the architecture (re-entry) of wells, including well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well drilling, engineering, supervision, logistics, procurement and contracting of third parties, and drilling rig management.</w:t>
      </w:r>
    </w:p>
    <w:p>
      <w:pPr>
        <w:ind w:left="740" w:hanging="36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Rigs and Equipment</w:t>
      </w:r>
      <w:r>
        <w:rPr>
          <w:rFonts w:ascii="Arial" w:cs="Arial" w:eastAsia="Arial" w:hAnsi="Arial"/>
          <w:sz w:val="16"/>
          <w:szCs w:val="16"/>
          <w:color w:val="auto"/>
        </w:rPr>
        <w:t>: Provides drilling equipment and services for shipyards, drilling contractors, energy companies and rental tool companies, as</w:t>
      </w:r>
    </w:p>
    <w:p>
      <w:pPr>
        <w:spacing w:after="0" w:line="32" w:lineRule="exact"/>
        <w:rPr>
          <w:rFonts w:ascii="Arial" w:cs="Arial" w:eastAsia="Arial" w:hAnsi="Arial"/>
          <w:sz w:val="16"/>
          <w:szCs w:val="16"/>
          <w:color w:val="auto"/>
        </w:rPr>
      </w:pPr>
    </w:p>
    <w:p>
      <w:pPr>
        <w:jc w:val="both"/>
        <w:ind w:left="740"/>
        <w:spacing w:after="0" w:line="253" w:lineRule="auto"/>
        <w:rPr>
          <w:rFonts w:ascii="Arial" w:cs="Arial" w:eastAsia="Arial" w:hAnsi="Arial"/>
          <w:sz w:val="16"/>
          <w:szCs w:val="16"/>
          <w:color w:val="auto"/>
        </w:rPr>
      </w:pPr>
      <w:r>
        <w:rPr>
          <w:rFonts w:ascii="Arial" w:cs="Arial" w:eastAsia="Arial" w:hAnsi="Arial"/>
          <w:sz w:val="18"/>
          <w:szCs w:val="18"/>
          <w:color w:val="auto"/>
        </w:rPr>
        <w:t>well as land drilling rigs and related services. Drilling equipment falls into two broad categories: pressure control equipment and rotary drilling equipment. These products are designed for either onshore or offshore applications and include drilling equipment packages, blowout preventers, blowout preventer control systems, connectors, riser systems, valves and choke manifold systems, top drives, mud pumps, pipe handling equipment, rig designs and rig kits.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Production Systems </w:t>
      </w:r>
      <w:r>
        <w:rPr>
          <w:rFonts w:ascii="Arial" w:cs="Arial" w:eastAsia="Arial" w:hAnsi="Arial"/>
          <w:sz w:val="18"/>
          <w:szCs w:val="18"/>
          <w:color w:val="auto"/>
        </w:rPr>
        <w:t>– Develops technologies and provides expertise that enhance production and recovery from subsurface reservoirs to the surface,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pipelines, and to refineries. Production Systems provides a comprehensive portfolio of equipment and services including subsurface production systems, subsea and surface equipment and services, and midstream production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31" w:lineRule="exact"/>
        <w:rPr>
          <w:sz w:val="20"/>
          <w:szCs w:val="20"/>
          <w:color w:val="auto"/>
        </w:rPr>
      </w:pPr>
    </w:p>
    <w:p>
      <w:pPr>
        <w:ind w:left="740" w:hanging="368"/>
        <w:spacing w:after="0" w:line="258"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Artificial Lift: </w:t>
      </w:r>
      <w:r>
        <w:rPr>
          <w:rFonts w:ascii="Arial" w:cs="Arial" w:eastAsia="Arial" w:hAnsi="Arial"/>
          <w:sz w:val="18"/>
          <w:szCs w:val="18"/>
          <w:color w:val="auto"/>
        </w:rPr>
        <w:t>Provides production equipment and optimization services using electrical submersible pumps, gas lift equipment, progressing</w:t>
      </w:r>
      <w:r>
        <w:rPr>
          <w:rFonts w:ascii="Arial" w:cs="Arial" w:eastAsia="Arial" w:hAnsi="Arial"/>
          <w:sz w:val="18"/>
          <w:szCs w:val="18"/>
          <w:i w:val="1"/>
          <w:iCs w:val="1"/>
          <w:color w:val="auto"/>
        </w:rPr>
        <w:t xml:space="preserve"> </w:t>
      </w:r>
      <w:r>
        <w:rPr>
          <w:rFonts w:ascii="Arial" w:cs="Arial" w:eastAsia="Arial" w:hAnsi="Arial"/>
          <w:sz w:val="18"/>
          <w:szCs w:val="18"/>
          <w:color w:val="auto"/>
        </w:rPr>
        <w:t>cavity pumps and surface horizontal pumping systems.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Completions Equipment: </w:t>
      </w:r>
      <w:r>
        <w:rPr>
          <w:rFonts w:ascii="Arial" w:cs="Arial" w:eastAsia="Arial" w:hAnsi="Arial"/>
          <w:sz w:val="18"/>
          <w:szCs w:val="18"/>
          <w:color w:val="auto"/>
        </w:rPr>
        <w:t>Supplies well completion services and equipment that include packers, safety valves and sand control technology,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range of intelligent well completions technology and equipment.</w:t>
      </w:r>
    </w:p>
    <w:p>
      <w:pPr>
        <w:jc w:val="both"/>
        <w:ind w:left="740" w:hanging="368"/>
        <w:spacing w:after="0" w:line="25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OneSubsea</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integrated solutions, products, systems and services for the subsea market, including integrated subsea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involving wellheads, subsea trees, manifolds and flowline connectors, control systems, connectors and services designed to maximize reservoir recovery and extend the life of each field.</w:t>
      </w:r>
    </w:p>
    <w:p>
      <w:pPr>
        <w:spacing w:after="0" w:line="1" w:lineRule="exact"/>
        <w:rPr>
          <w:rFonts w:ascii="Arial" w:cs="Arial" w:eastAsia="Arial" w:hAnsi="Arial"/>
          <w:sz w:val="18"/>
          <w:szCs w:val="18"/>
          <w:color w:val="auto"/>
        </w:rPr>
      </w:pPr>
    </w:p>
    <w:p>
      <w:pPr>
        <w:ind w:left="740" w:hanging="368"/>
        <w:spacing w:after="0" w:line="26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Surface: </w:t>
      </w:r>
      <w:r>
        <w:rPr>
          <w:rFonts w:ascii="Arial" w:cs="Arial" w:eastAsia="Arial" w:hAnsi="Arial"/>
          <w:sz w:val="18"/>
          <w:szCs w:val="18"/>
          <w:color w:val="auto"/>
        </w:rPr>
        <w:t>Designs and manufactures onshore and offshore platform wellhead systems and processing solutions, including valves, chokes,</w:t>
      </w:r>
      <w:r>
        <w:rPr>
          <w:rFonts w:ascii="Arial" w:cs="Arial" w:eastAsia="Arial" w:hAnsi="Arial"/>
          <w:sz w:val="18"/>
          <w:szCs w:val="18"/>
          <w:i w:val="1"/>
          <w:iCs w:val="1"/>
          <w:color w:val="auto"/>
        </w:rPr>
        <w:t xml:space="preserve"> </w:t>
      </w:r>
      <w:r>
        <w:rPr>
          <w:rFonts w:ascii="Arial" w:cs="Arial" w:eastAsia="Arial" w:hAnsi="Arial"/>
          <w:sz w:val="18"/>
          <w:szCs w:val="18"/>
          <w:color w:val="auto"/>
        </w:rPr>
        <w:t>actuators and surface trees, and provides services to operators.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both"/>
        <w:ind w:left="740" w:hanging="368"/>
        <w:spacing w:after="0" w:line="25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Valves: </w:t>
      </w:r>
      <w:r>
        <w:rPr>
          <w:rFonts w:ascii="Arial" w:cs="Arial" w:eastAsia="Arial" w:hAnsi="Arial"/>
          <w:sz w:val="18"/>
          <w:szCs w:val="18"/>
          <w:color w:val="auto"/>
        </w:rPr>
        <w:t>Serves portions of the upstream, midstream and downstream markets and provides valve products that are primarily used to control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 the flow of hydrocarbons as they are moved from wellheads through flow lines, gathering lines and transmission systems to refineries, petrochemical plants and industrial centers for processing.</w:t>
      </w:r>
    </w:p>
    <w:p>
      <w:pPr>
        <w:spacing w:after="0" w:line="2" w:lineRule="exact"/>
        <w:rPr>
          <w:rFonts w:ascii="Arial" w:cs="Arial" w:eastAsia="Arial" w:hAnsi="Arial"/>
          <w:sz w:val="18"/>
          <w:szCs w:val="18"/>
          <w:color w:val="auto"/>
        </w:rPr>
      </w:pPr>
    </w:p>
    <w:p>
      <w:pPr>
        <w:jc w:val="both"/>
        <w:ind w:left="740" w:hanging="368"/>
        <w:spacing w:after="0" w:line="25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Processing: </w:t>
      </w:r>
      <w:r>
        <w:rPr>
          <w:rFonts w:ascii="Arial" w:cs="Arial" w:eastAsia="Arial" w:hAnsi="Arial"/>
          <w:sz w:val="18"/>
          <w:szCs w:val="18"/>
          <w:color w:val="auto"/>
        </w:rPr>
        <w:t>Enables efficient monetization of subsurface assets using standard and custom-designed onshore, offshore and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treatment systems, as well as unique, reservoir-driven, fit-for-purpose integrated production systems for accelerating first production and maximizing project economics.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Supporting the Divisions is a global network of research and engineering centers. Through these centers Schlumberger advances its technology programs to safely and sustainably enhance industry efficiency, lower finding and producing costs, improve productivity, maximize reserve recovery and increase asset value.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Divisions are deployed around a geographical structure within five Basins: Americas Land, Offshore Atlantic, Middle East &amp; North Africa, Asia, and Russia &amp; Central Asia. The Basins are configured around common regional characteristics to deploy fit-for-purpose technologies, operating models and skills and are focused on agility, responsiveness and competitiveness. The Basins are comprised of GeoUnits, which can be a single country or made up of several countries. With a strong focus on the customers, Basins identify opportunities for local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Schlumberger’s strategy is designed to adapt the Company to an evolving industry landscape shaped by emerging drivers, including capital discipline, regionalization of supply and demand, an efficiency imperative, and resilience—defined by sustainability and lower carbon footprint. This strategy is designed to magnify Schlumberger’s ability to improve customer performance, which is the differentiating factor that will help our industry meet higher stakeholder expectations.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Oil and gas will remain critical to economic activity and prosperity. According to the most recent International Energy Agency Sustainable Development Scenario, oil and gas are expected to represent approximately 45% of the global energy mix through 2040. Schlumberger’s role is twofold: to enable customers to produce these resources efficiently, cost effectively and with the lowest carbon footprint and to support the world’s transition to a more diversified energy mix.</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Schlumberger’s strategy is structured around three major themes, all of which are focused on customer performance: (i) strengthen the core; (ii) go-to-market; and (iii) horizons of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the Core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core of Schlumberger is how we work with customers and execute our business. The elements in this theme—which include customer collaboration, the integrity and efficiency of our operations, and capital stewardship—are enabled by our people and technology.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service company, Schlumberger has always worked closely with customers. We are exploring new ways to collaborate and help them overcome their challenges and improve performance.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integrity and efficiency—core to Schlumberger’s culture—are enhanced by the digitization of our operations. Just as Schlumberger is delivering digital solutions to our customers, we are advancing them in our own operations to capture value from our equipment and services businesses by integrating them into our digital structure.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stewardship is a crucial factor for our industry. Schlumberger has implemented a capital allocation framework that governs all investments, whether related to capital expenditures, mergers and acquisitions, or research and engineering. The underlying principle behind this framework is that investment opportunities are prioritized based on returns and cash flow. Our focus on capital stewardship also includes evolving certain businesses into innovative, less capital-intensive commercial models.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Go-to-Market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Industry markets have evolved into multiple, diverse regional markets that are increasingly competing with each other to meet global, regional, and domestic oil and gas demand. Each of these regions has a set of resource plays—or basins—with localized economics and operational drivers. As a result, the industry is witnessing a decoupling of the activity characteristics of each major region, resulting in a unique set of dynamics for each oil and gas basin across the world. This presents Schlumberger with opportunities that can be optimally addressed with a basin-specific approach.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A key differentiator for Schlumberger is its “fit-for-basin” approach and ability. Fit-for-basin describes the mindset Schlumberger has adopted toward technology development, in-country value, and market access. Schlumberger is developing and deploying basin-specific technology that helps its customers overcome the challenges of their respective regions. At the same time, in-country value enables regional efficiency and performance, while creating opportunity and aligning with the strategic priorities of our clients.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technology access and performance models are highly strategic elements of our go-to-market strategy. Technology access is fundamentally about making the right decisions with respect to our technology portfolio and how we go to market. Performance models are focused on commercial and contractual innovations.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elements of our go-to-market strategy enable Schlumberger to develop deeper partnerships with customers, expanding on their needs and challenges from a basin-specific perspective to provide technology and business models tailored to regional or individual customer requirements. These elements allow us to share in the performance improvement we deliver for customers and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Horizons of Growth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strategic element positions Schlumberger to increase its share in existing markets and expand into new long-term markets in digital, production and recovery, and energy transition, including Schlumberger New Energy and Transition Technologies.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Digital capabilities are crucial to long-term performance and resilience. Through its industry-leading digital platform, Schlumberger will enable digital transformation at scale, unlocking significant value, and leading innovation across the digital domain in the industry.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Schlumberger seeks to define the future of digital technology in the energy industry and has designed and built a secure and flexible digital industry platform centered around differentiated digital technologies. Enabled by key partnerships with companies such as Google, IBM, Microsoft, Amazon Web Services, AVEVA and NOV, Schlumberger provides an open digital platform that takes advantage of on-demand, high-performance computing and makes digital capabilities such as embedded artificial intelligence or machine learning readily accessible to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application of digital technology across the entire E&amp;P value chain—from subsurface to drilling to production—has the potential to deliver a step-change in operational workflows that will significantly elevate our customers’ performance sustainably. Digital technology can move technical workflows from the desktop to the cloud, creating data structures that enable artificial intelligence and machine learning to provide insights at scale across our customers’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Production and recovery is about positioning Schlumberger to take advantage of two key trends shaping the market. The first trend relates to accelerating gas discovery, development and production, as Schlumberger expects to see significant growth in gas demand over the next two decades as the world seeks to decarbonize its energy mix. The second trend relates to operators’ increased focus on improving recovery from their existing wells, fields and infrastructure—ultimately achieving the most capital efficient production. As a result and based on our deep domain knowledge from the subsurface to midstream production facilities, we are positioning our technology portfolio to participate and lead in these growing markets.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Schlumberger recognizes that its future will expand beyond oil and gas with energy transition, and the Company is positioning itself for long-term growth opportunities. In this regard, in 2020 the Company created Schlumberger New Energy to develop businesses in low-carbon or carbon-neutral energy technologies, and in 2021 it announced its commitment to reach net-zero emissions by 2050 and launched its Transition Technologies portfolio to reduce emissions from oil and gas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New Energy is using partnership models and Schlumberger’s experience in technology industrialization to expand into energy verticals beyond oil and gas. Schlumberger’s approach is to apply its domain expertise in areas adjacent to its existing activities where it can use its global footprint and execution platform to deliver at scale.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Schlumberger New Energy portfolio consists of ventures in the domains of hydrogen, lithium, energy storage, carbon capture and sequestration (“CCS”), geothermal power and geoenergy for heating and cooling buildings. While many of these investments are in new energy emerging sectors, Schlumberger New Energy has leveraged Schlumberger’s extensive experience in both the CCS and geothermal sectors. For more than two decades, Schlumberger has participated in CCS projects providing consulting, technology services and project management. In geothermal, Schlumberger provides the full spectrum of geothermal resource development services through GeothermEx, a consulting and services company we acquired in 2010. Schlumberger New Energy has extended Schlumberger’s geothermal reach by exploring opportunities in the development of geothermal power projects.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Schlumberger New Energy activities currently include the following ventures and strategic partnerships:</w:t>
      </w:r>
    </w:p>
    <w:p>
      <w:pPr>
        <w:spacing w:after="0" w:line="158" w:lineRule="exact"/>
        <w:rPr>
          <w:sz w:val="20"/>
          <w:szCs w:val="20"/>
          <w:color w:val="auto"/>
        </w:rPr>
      </w:pPr>
    </w:p>
    <w:p>
      <w:pPr>
        <w:jc w:val="both"/>
        <w:ind w:left="740" w:hanging="368"/>
        <w:spacing w:after="0" w:line="255"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Celsius Energy is a Schlumberger start-up that combines in-house technology, proprietary design optimization and modern digital control systems to offer a fit-for-purpose solution that uses low-heat geothermal energy for heating and cooling buildings. Celsius Energy reduces overall building energy consumption from conventional sources, resulting in reduced carbon emissions.</w:t>
      </w:r>
    </w:p>
    <w:p>
      <w:pPr>
        <w:spacing w:after="0" w:line="2" w:lineRule="exact"/>
        <w:rPr>
          <w:rFonts w:ascii="Arial" w:cs="Arial" w:eastAsia="Arial" w:hAnsi="Arial"/>
          <w:sz w:val="18"/>
          <w:szCs w:val="18"/>
          <w:color w:val="auto"/>
        </w:rPr>
      </w:pPr>
    </w:p>
    <w:p>
      <w:pPr>
        <w:jc w:val="both"/>
        <w:ind w:left="740" w:hanging="368"/>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Genvia is a clean hydrogen production technology venture with the French Alternative Energies and Atomic Energy Commission and partners. This unique private-public partnership aims to deliver the most efficient and cost-effective technology for producing clean hydrogen, a versatile energy carrier and key component of the energy transition.</w:t>
      </w:r>
    </w:p>
    <w:p>
      <w:pPr>
        <w:spacing w:after="0" w:line="1" w:lineRule="exact"/>
        <w:rPr>
          <w:rFonts w:ascii="Arial" w:cs="Arial" w:eastAsia="Arial" w:hAnsi="Arial"/>
          <w:sz w:val="18"/>
          <w:szCs w:val="18"/>
          <w:color w:val="auto"/>
        </w:rPr>
      </w:pPr>
    </w:p>
    <w:p>
      <w:pPr>
        <w:jc w:val="both"/>
        <w:ind w:left="740" w:hanging="368"/>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NeoLith Energy is a Schlumberger New Energy venture to enable a sustainable, efficient and flexible lithium production ecosystem using a differentiated direct lithium extraction process. NeoLith Energy has a strategic collaboration agreement with Panasonic Energy of North America for the validation and optimization of its pilot plant in Nevada.</w:t>
      </w:r>
    </w:p>
    <w:p>
      <w:pPr>
        <w:spacing w:after="0" w:line="1" w:lineRule="exact"/>
        <w:rPr>
          <w:rFonts w:ascii="Arial" w:cs="Arial" w:eastAsia="Arial" w:hAnsi="Arial"/>
          <w:sz w:val="18"/>
          <w:szCs w:val="18"/>
          <w:color w:val="auto"/>
        </w:rPr>
      </w:pPr>
    </w:p>
    <w:p>
      <w:pPr>
        <w:jc w:val="both"/>
        <w:ind w:left="740" w:hanging="368"/>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CCS, Schlumberger New Energy is developing capabilities and forging partnerships to provide integrated solutions and technologies to CCS projects in selected markets and geographies where existing policies and regulations can make projects attractive. Schlumberger New Energy has partnered with Chevron, Microsoft and Clean Energy Systems to utilize biomass fuel that consumes CO</w:t>
      </w:r>
      <w:r>
        <w:rPr>
          <w:rFonts w:ascii="Arial" w:cs="Arial" w:eastAsia="Arial" w:hAnsi="Arial"/>
          <w:sz w:val="15"/>
          <w:szCs w:val="15"/>
          <w:color w:val="auto"/>
        </w:rPr>
        <w:t>2</w:t>
      </w:r>
      <w:r>
        <w:rPr>
          <w:rFonts w:ascii="Arial" w:cs="Arial" w:eastAsia="Arial" w:hAnsi="Arial"/>
          <w:sz w:val="18"/>
          <w:szCs w:val="18"/>
          <w:color w:val="auto"/>
        </w:rPr>
        <w:t xml:space="preserve"> over its lifetime to produce power and then safely and permanently sequestrates the produced CO</w:t>
      </w:r>
      <w:r>
        <w:rPr>
          <w:rFonts w:ascii="Arial" w:cs="Arial" w:eastAsia="Arial" w:hAnsi="Arial"/>
          <w:sz w:val="15"/>
          <w:szCs w:val="15"/>
          <w:color w:val="auto"/>
        </w:rPr>
        <w:t>2</w:t>
      </w:r>
      <w:r>
        <w:rPr>
          <w:rFonts w:ascii="Arial" w:cs="Arial" w:eastAsia="Arial" w:hAnsi="Arial"/>
          <w:sz w:val="18"/>
          <w:szCs w:val="18"/>
          <w:color w:val="auto"/>
        </w:rPr>
        <w:t>. This process results in net-negative carbon emissions, effectively removing greenhouse gas from the atmosphere.</w:t>
      </w:r>
    </w:p>
    <w:p>
      <w:pPr>
        <w:spacing w:after="0" w:line="1" w:lineRule="exact"/>
        <w:rPr>
          <w:rFonts w:ascii="Arial" w:cs="Arial" w:eastAsia="Arial" w:hAnsi="Arial"/>
          <w:sz w:val="18"/>
          <w:szCs w:val="18"/>
          <w:color w:val="auto"/>
        </w:rPr>
      </w:pPr>
    </w:p>
    <w:p>
      <w:pPr>
        <w:jc w:val="both"/>
        <w:ind w:left="740" w:right="20" w:hanging="368"/>
        <w:spacing w:after="0" w:line="277"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Schlumberger invested in EnerVenue and entered into a collaboration agreement to deploy EnerVenue’s uniquely differentiated nickel-hydrogen battery technology, which is a key enabler of stationary energy storage solutions. Schlumberger New Energy and EnerVenue will work together to progress large-scale deployment of nickel-hydrogen battery technology across selected global markets.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Schlumberger announced its commitment to achieve net-zero greenhouse gas (“GHG”) emissions by 2050. Guided by climate science and GHG Protocol, Schlumberger spent 18 months conducting extensive analysis and working with experts to produce its decarbonization plan, which is aligned with the Paris Agreement ambition of limiting global warming to 1.5 degrees Celsius. Schlumberger was the first energy services company to set a net-zero target inclusive of all three emission scopes. By setting targets with respect to the Company’s total 2019 baseline GHG footprint of approximately 54 million metric tons of CO</w:t>
      </w:r>
      <w:r>
        <w:rPr>
          <w:rFonts w:ascii="Arial" w:cs="Arial" w:eastAsia="Arial" w:hAnsi="Arial"/>
          <w:sz w:val="15"/>
          <w:szCs w:val="15"/>
          <w:color w:val="auto"/>
        </w:rPr>
        <w:t>2</w:t>
      </w:r>
      <w:r>
        <w:rPr>
          <w:rFonts w:ascii="Arial" w:cs="Arial" w:eastAsia="Arial" w:hAnsi="Arial"/>
          <w:sz w:val="18"/>
          <w:szCs w:val="18"/>
          <w:color w:val="auto"/>
        </w:rPr>
        <w:t xml:space="preserve"> equivalent (which consisted of 52 million metric tons of Scope 3 emissions and two million metric tons of Scope 1 and Scope 2 emissions), and not just its Scope 1 and 2 footprint, Schlumberger’s comprehensive emissions reduction roadmap addresses the entire oil and gas value chain.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Schlumberger’s 2050 net zero target is supported by the following interim milestones, using 2019 as the baseline year:</w:t>
      </w:r>
    </w:p>
    <w:p>
      <w:pPr>
        <w:spacing w:after="0" w:line="158"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2025, a 30% reduction in Scope 1 and Scope 2 emissions;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2030, a 50% reduction in Scope 1 and Scope 2 emissions;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2030, a 30% reduction in Scope 3 emissions.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three key components to Schlumberger achieving its net-zero target: reducing operational emissions, reducing customer emissions that occur while using Schlumberger technology, and taking carbon-negative actions of sufficient scale to offset any residual operational and technology emissions that the Company may have in 2050.</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Scope 1 and 2 emissions primarily come from its fuel use and electricity consumption, whereas its Scope 3 emissions are indirect, such as customer emissions related to the use of Schlumberger technology and operational emissions related to purchased goods and services. In 2021, Schlumberger launched its Transition Technologies portfolio. This portfolio is focused on addressing fugitive emissions, flaring reduction, electrification, well construction emissions, and full field development solutions. Comprised of proprietary technologies and solutions, the Transition Technologies portfolio will help reduce direct and indirect emissions along with other environmental attributes, while simultaneously driving efficiency, reliability and performance for our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Schlumberger’s workforce consisted of approximately 92,000 people representing more than 160 nationalities.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believes that the diversity of its workforce is one of its greatest strengths and its ambition is to maintain a workforce nationality mix that is aligned to its geographical revenue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280035</wp:posOffset>
            </wp:positionV>
            <wp:extent cx="4911725" cy="2357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172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Schlumberger recognizes that its ability to attract, develop, motivate and retain a highly competent and diverse workforce has been key to its success for many decades. As a global company focused on creating and optimizing value for its customers, Schlumberger believes it is critical for its people to communicate with customers in their native languages and to share the values of the people in the countries where it works. Furthermore, Schlumberger’s diverse workforce positions the Company to effectively deliver services and products that meet the unique expectations and requirements of, its stakeholders, including customers, suppliers and shareholders. Schlumberger’s long-standing commitment to national and cultural diversity fosters a culture that is global in outlook, yet local in practice, which permeates every layer of the Company.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national and cultural diversity, gender balance is another important pillar of our diversity and inclusion strategy. Schlumberger is committed to lead our industry in gender diversity. Schlumberger has made significant progress towards achieving its gender balance goal of having women comprise 25% of the Company’s salaried workforce by 2025. In this regard, in 2021, Schlumberger set its next goal which is for women to comprise 30% of the Company’s salaried workforce by 2030. As of December 31, 2021, women made up approximately 23% of the Company’s salaried workforce. Additionally, approximately 22% of management roles were held by women in 2021 and women represented approximately 48% of our 2021 new hires of salaried employees with science, technology, engineering and mathematics backgrounds.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Schlumberger is proud to provide a career platform that enables a culture of lifelong learning for all employees. Schlumberger is committed to offering borderless careers and making career decisions based on merit. Schlumberger’s borderless careers philosophy is powered by its internal mobility practices, which offer employees multiple, flexible, career paths to help them acquire the required skills to reach their ambition. We seek to provide continuous growth opportunities through a combination of training and experience. Schlumberger strives to identify talent early and to provide opportunities for those employees who demonstrate exceptional performance and potential to progress to higher levels within the organization. These opportunities accelerate career development while fostering an agile workforce and the next generation of business leaders.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methods of competition within the energy services industry are technological innovation, quality of service and price differentiation. These factors vary geographically and are dependent upon the different services and products that Schlumberger offers. Schlumberger has numerous competitors, both large and small.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owns and controls a variety of intellectual property, including but not limited to patents, proprietary information, trade secrets and software tools and applications that, in the aggregate, are material to Schlumberger’s business. While Schlumberger seeks and holds numerous patents covering various products and processes, no particular patent or group of patents is material to Schlumberger’s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Seasonal changes in weather and significant weather events can temporarily affect the delivery of Schlumberger’s products and services. For example, the spring thaw in Canada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multiclient data, software and other products may result in higher activity in the fourth quarter of the year as clients seek to fully utilize their annual budgets. Conversely, customer budget constraints in North America may lead to lower demand for our services and products in the fourth quarter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Schlumberger’s primary customers are national oil companies, large integrated oil companies and independent operators. No single customer exceeded 10% of Schlumberger’s consolidated revenue during each of 2021,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is subject to numerous environmental and other governmental and regulatory requirements related to its operations worldwide. For additional details, see “Item 1(a). Risk Factors – Legal and Regulatory Risks”, which is incorporated by reference in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was founded in 1926. The Company is incorporated under the laws of Curaçao and has executive offices in Paris, Houston, London and The Hague.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Schlumberger website is </w:t>
      </w:r>
      <w:r>
        <w:rPr>
          <w:rFonts w:ascii="Arial" w:cs="Arial" w:eastAsia="Arial" w:hAnsi="Arial"/>
          <w:sz w:val="17"/>
          <w:szCs w:val="17"/>
          <w:u w:val="single" w:color="auto"/>
          <w:color w:val="auto"/>
        </w:rPr>
        <w:t>www.slb.com</w:t>
      </w:r>
      <w:r>
        <w:rPr>
          <w:rFonts w:ascii="Arial" w:cs="Arial" w:eastAsia="Arial" w:hAnsi="Arial"/>
          <w:sz w:val="17"/>
          <w:szCs w:val="17"/>
          <w:color w:val="auto"/>
        </w:rPr>
        <w:t xml:space="preserve">. Schlumberger uses its Investor Relations website, </w:t>
      </w:r>
      <w:r>
        <w:rPr>
          <w:rFonts w:ascii="Arial" w:cs="Arial" w:eastAsia="Arial" w:hAnsi="Arial"/>
          <w:sz w:val="17"/>
          <w:szCs w:val="17"/>
          <w:u w:val="single" w:color="auto"/>
          <w:color w:val="auto"/>
        </w:rPr>
        <w:t>www.slb.com/ir</w:t>
      </w:r>
      <w:r>
        <w:rPr>
          <w:rFonts w:ascii="Arial" w:cs="Arial" w:eastAsia="Arial" w:hAnsi="Arial"/>
          <w:sz w:val="17"/>
          <w:szCs w:val="17"/>
          <w:color w:val="auto"/>
        </w:rPr>
        <w:t xml:space="preserve">, as a routine channel for distribution of important information, including news releases, analyst presentations, and financial information. Schlumberger makes available free of charge through its Investor Relations website at </w:t>
      </w:r>
      <w:r>
        <w:rPr>
          <w:rFonts w:ascii="Arial" w:cs="Arial" w:eastAsia="Arial" w:hAnsi="Arial"/>
          <w:sz w:val="17"/>
          <w:szCs w:val="17"/>
          <w:u w:val="single" w:color="auto"/>
          <w:color w:val="auto"/>
        </w:rPr>
        <w:t>www.slb.com/ir,</w:t>
      </w:r>
      <w:r>
        <w:rPr>
          <w:rFonts w:ascii="Arial" w:cs="Arial" w:eastAsia="Arial" w:hAnsi="Arial"/>
          <w:sz w:val="17"/>
          <w:szCs w:val="17"/>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Copies are also available, without charge, from Schlumberger Investor Relations, 5599 San Felipe, 17</w:t>
      </w:r>
      <w:r>
        <w:rPr>
          <w:rFonts w:ascii="Arial" w:cs="Arial" w:eastAsia="Arial" w:hAnsi="Arial"/>
          <w:sz w:val="14"/>
          <w:szCs w:val="14"/>
          <w:color w:val="auto"/>
        </w:rPr>
        <w:t>th</w:t>
      </w:r>
      <w:r>
        <w:rPr>
          <w:rFonts w:ascii="Arial" w:cs="Arial" w:eastAsia="Arial" w:hAnsi="Arial"/>
          <w:sz w:val="17"/>
          <w:szCs w:val="17"/>
          <w:color w:val="auto"/>
        </w:rPr>
        <w:t xml:space="preserve"> Floor, Houston, Texas 77056. Unless expressly noted, the information on its website or any other website is not incorporated by reference in this Form 10-K and should not be considered part of this Form 10-K or any other filing Schlumberger makes with the SEC.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as of January 26, 2022, the names and ages of the executive officers of Schlumberger, including all offices and positions held by each for the past five years.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80" w:type="dxa"/>
            <w:vAlign w:val="bottom"/>
          </w:tcPr>
          <w:p>
            <w:pPr>
              <w:spacing w:after="0"/>
              <w:rPr>
                <w:sz w:val="20"/>
                <w:szCs w:val="20"/>
                <w:color w:val="auto"/>
              </w:rPr>
            </w:pPr>
            <w:r>
              <w:rPr>
                <w:rFonts w:ascii="Arial" w:cs="Arial" w:eastAsia="Arial" w:hAnsi="Arial"/>
                <w:sz w:val="18"/>
                <w:szCs w:val="18"/>
                <w:color w:val="auto"/>
              </w:rPr>
              <w:t>Name</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93"/>
              </w:rPr>
              <w:t>Age</w:t>
            </w:r>
          </w:p>
        </w:tc>
        <w:tc>
          <w:tcPr>
            <w:tcW w:w="8540" w:type="dxa"/>
            <w:vAlign w:val="bottom"/>
          </w:tcPr>
          <w:p>
            <w:pPr>
              <w:ind w:left="120"/>
              <w:spacing w:after="0"/>
              <w:rPr>
                <w:sz w:val="20"/>
                <w:szCs w:val="20"/>
                <w:color w:val="auto"/>
              </w:rPr>
            </w:pPr>
            <w:r>
              <w:rPr>
                <w:rFonts w:ascii="Arial" w:cs="Arial" w:eastAsia="Arial" w:hAnsi="Arial"/>
                <w:sz w:val="18"/>
                <w:szCs w:val="18"/>
                <w:color w:val="auto"/>
              </w:rPr>
              <w:t>Current Position and Five-Year Business Experience</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Olivier Le Peuch</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58</w:t>
            </w:r>
          </w:p>
        </w:tc>
        <w:tc>
          <w:tcPr>
            <w:tcW w:w="8540" w:type="dxa"/>
            <w:vAlign w:val="bottom"/>
          </w:tcPr>
          <w:p>
            <w:pPr>
              <w:ind w:left="120"/>
              <w:spacing w:after="0"/>
              <w:rPr>
                <w:sz w:val="20"/>
                <w:szCs w:val="20"/>
                <w:color w:val="auto"/>
              </w:rPr>
            </w:pPr>
            <w:r>
              <w:rPr>
                <w:rFonts w:ascii="Arial" w:cs="Arial" w:eastAsia="Arial" w:hAnsi="Arial"/>
                <w:sz w:val="18"/>
                <w:szCs w:val="18"/>
                <w:color w:val="auto"/>
                <w:w w:val="96"/>
              </w:rPr>
              <w:t>Chief Executive Officer and Director, since August 2019; Chief Operating Officer, February 2019 to July 2019;</w:t>
            </w:r>
          </w:p>
        </w:tc>
      </w:tr>
      <w:tr>
        <w:trPr>
          <w:trHeight w:val="216"/>
        </w:trPr>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4"/>
              </w:rPr>
              <w:t>Executive Vice President, Reservoir and Infrastructure, May 2018 to February 2019; President, Cameron Group,</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February 2017 to May 2018; and President, Completions, October 2014 to January 2017.</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Khaled Al Mogharbel</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51</w:t>
            </w:r>
          </w:p>
        </w:tc>
        <w:tc>
          <w:tcPr>
            <w:tcW w:w="8540" w:type="dxa"/>
            <w:vAlign w:val="bottom"/>
          </w:tcPr>
          <w:p>
            <w:pPr>
              <w:ind w:left="120"/>
              <w:spacing w:after="0"/>
              <w:rPr>
                <w:sz w:val="20"/>
                <w:szCs w:val="20"/>
                <w:color w:val="auto"/>
              </w:rPr>
            </w:pPr>
            <w:r>
              <w:rPr>
                <w:rFonts w:ascii="Arial" w:cs="Arial" w:eastAsia="Arial" w:hAnsi="Arial"/>
                <w:sz w:val="18"/>
                <w:szCs w:val="18"/>
                <w:color w:val="auto"/>
                <w:w w:val="92"/>
              </w:rPr>
              <w:t>Executive Vice President, Geographies, since July 2020; Executive Vice President, Operations, April 2019 to June</w:t>
            </w:r>
          </w:p>
        </w:tc>
      </w:tr>
      <w:tr>
        <w:trPr>
          <w:trHeight w:val="216"/>
        </w:trPr>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89"/>
              </w:rPr>
              <w:t>2020; Executive Vice President, Eastern Hemisphere, February 2019 to March 2019; President, Eastern Hemisphere,</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May 2017 to January 2019; and President, Drilling Group, July 2013 to April 2017.</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Ashok Belani</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63</w:t>
            </w:r>
          </w:p>
        </w:tc>
        <w:tc>
          <w:tcPr>
            <w:tcW w:w="8540" w:type="dxa"/>
            <w:vAlign w:val="bottom"/>
          </w:tcPr>
          <w:p>
            <w:pPr>
              <w:ind w:left="120"/>
              <w:spacing w:after="0"/>
              <w:rPr>
                <w:sz w:val="20"/>
                <w:szCs w:val="20"/>
                <w:color w:val="auto"/>
              </w:rPr>
            </w:pPr>
            <w:r>
              <w:rPr>
                <w:rFonts w:ascii="Arial" w:cs="Arial" w:eastAsia="Arial" w:hAnsi="Arial"/>
                <w:sz w:val="18"/>
                <w:szCs w:val="18"/>
                <w:color w:val="auto"/>
                <w:w w:val="99"/>
              </w:rPr>
              <w:t>Executive Vice President, Schlumberger New Energy, since February 2020; and Executive Vice President,</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Technology, January 2011 to January 2020.</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Stephane Biguet</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53</w:t>
            </w: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Executive Vice President and Chief Financial Officer, since January 2020; Vice President, Finance, December 2017</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to January 2020; and Vice President, Treasurer, December 2016 to November 2017.</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Hinda Gharbi</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51</w:t>
            </w:r>
          </w:p>
        </w:tc>
        <w:tc>
          <w:tcPr>
            <w:tcW w:w="8540" w:type="dxa"/>
            <w:vAlign w:val="bottom"/>
          </w:tcPr>
          <w:p>
            <w:pPr>
              <w:ind w:left="120"/>
              <w:spacing w:after="0"/>
              <w:rPr>
                <w:sz w:val="20"/>
                <w:szCs w:val="20"/>
                <w:color w:val="auto"/>
              </w:rPr>
            </w:pPr>
            <w:r>
              <w:rPr>
                <w:rFonts w:ascii="Arial" w:cs="Arial" w:eastAsia="Arial" w:hAnsi="Arial"/>
                <w:sz w:val="18"/>
                <w:szCs w:val="18"/>
                <w:color w:val="auto"/>
                <w:w w:val="96"/>
              </w:rPr>
              <w:t>Executive Vice President, Services and Equipment, since July 2020; Executive Vice President, Reservoir and</w:t>
            </w:r>
          </w:p>
        </w:tc>
      </w:tr>
      <w:tr>
        <w:trPr>
          <w:trHeight w:val="216"/>
        </w:trPr>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8"/>
              </w:rPr>
              <w:t>Infrastructure, February 2019 to June 2020; Vice President, Human Resources, May 2018 to January 2019;</w:t>
            </w:r>
          </w:p>
        </w:tc>
      </w:tr>
      <w:tr>
        <w:trPr>
          <w:trHeight w:val="216"/>
        </w:trPr>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3"/>
              </w:rPr>
              <w:t>President, Reservoir Characterization Group, June 2017 to May 2018; and President, Wireline, July 2013 to May</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2017.</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Abdellah Merad</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48</w:t>
            </w: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Executive Vice President, Performance Management, since May 2019; President NAL Production Group, May 2018</w:t>
            </w:r>
          </w:p>
        </w:tc>
      </w:tr>
      <w:tr>
        <w:trPr>
          <w:trHeight w:val="216"/>
        </w:trPr>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to April 2019; President, Production Group, October 2017 to May 2018; and Vice President, Controller, Operations,</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December 2016 to September 2017.</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Katharina Beumelburg</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45</w:t>
            </w:r>
          </w:p>
        </w:tc>
        <w:tc>
          <w:tcPr>
            <w:tcW w:w="8540" w:type="dxa"/>
            <w:vAlign w:val="bottom"/>
          </w:tcPr>
          <w:p>
            <w:pPr>
              <w:ind w:left="120"/>
              <w:spacing w:after="0"/>
              <w:rPr>
                <w:sz w:val="20"/>
                <w:szCs w:val="20"/>
                <w:color w:val="auto"/>
              </w:rPr>
            </w:pPr>
            <w:r>
              <w:rPr>
                <w:rFonts w:ascii="Arial" w:cs="Arial" w:eastAsia="Arial" w:hAnsi="Arial"/>
                <w:sz w:val="18"/>
                <w:szCs w:val="18"/>
                <w:color w:val="auto"/>
                <w:w w:val="93"/>
              </w:rPr>
              <w:t>Chief Strategy and Sustainability Officer, since May 2021; Senior Vice President, Transmission Service, Siemens</w:t>
            </w:r>
          </w:p>
        </w:tc>
      </w:tr>
      <w:tr>
        <w:trPr>
          <w:trHeight w:val="216"/>
        </w:trPr>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3"/>
              </w:rPr>
              <w:t>Energy, Siemens AG (a multinational industrial manufacturing company), April 2020 to May 2021; Executive Vice</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President, Strategy, Siemens Gas and Power, Siemens AG, November 2016 to April 2020.</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Demosthenis Pafitis</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54</w:t>
            </w: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Chief Technology Officer, since February 2020; Senior Vice President, Schlumberger 4.0 Platforms, from December</w:t>
            </w:r>
          </w:p>
        </w:tc>
      </w:tr>
      <w:tr>
        <w:trPr>
          <w:trHeight w:val="216"/>
        </w:trPr>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w w:val="98"/>
              </w:rPr>
              <w:t>2017 to January 2020; and Vice President, Engineering, Manufacturing and Sustaining, September 2014 to</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December 2017.</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Dianne Ralston</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55</w:t>
            </w:r>
          </w:p>
        </w:tc>
        <w:tc>
          <w:tcPr>
            <w:tcW w:w="8540" w:type="dxa"/>
            <w:vAlign w:val="bottom"/>
          </w:tcPr>
          <w:p>
            <w:pPr>
              <w:ind w:left="120"/>
              <w:spacing w:after="0"/>
              <w:rPr>
                <w:sz w:val="20"/>
                <w:szCs w:val="20"/>
                <w:color w:val="auto"/>
              </w:rPr>
            </w:pPr>
            <w:r>
              <w:rPr>
                <w:rFonts w:ascii="Arial" w:cs="Arial" w:eastAsia="Arial" w:hAnsi="Arial"/>
                <w:sz w:val="18"/>
                <w:szCs w:val="18"/>
                <w:color w:val="auto"/>
                <w:w w:val="97"/>
              </w:rPr>
              <w:t>Chief Legal Officer, since December 2020; and Executive Vice President, Chief Legal Officer and Secretary,</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TechnipFMC plc (a global oilfield services company), January 2017 to October 2020.</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Gavin Rennick</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47</w:t>
            </w:r>
          </w:p>
        </w:tc>
        <w:tc>
          <w:tcPr>
            <w:tcW w:w="8540" w:type="dxa"/>
            <w:vAlign w:val="bottom"/>
          </w:tcPr>
          <w:p>
            <w:pPr>
              <w:ind w:left="120"/>
              <w:spacing w:after="0"/>
              <w:rPr>
                <w:sz w:val="20"/>
                <w:szCs w:val="20"/>
                <w:color w:val="auto"/>
              </w:rPr>
            </w:pPr>
            <w:r>
              <w:rPr>
                <w:rFonts w:ascii="Arial" w:cs="Arial" w:eastAsia="Arial" w:hAnsi="Arial"/>
                <w:sz w:val="18"/>
                <w:szCs w:val="18"/>
                <w:color w:val="auto"/>
                <w:w w:val="89"/>
              </w:rPr>
              <w:t>Vice President, Human Resources, since February 2019; and President, Software Integrated Solutions, January 2017</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to February 2019.</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Pierre Chereque</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67</w:t>
            </w:r>
          </w:p>
        </w:tc>
        <w:tc>
          <w:tcPr>
            <w:tcW w:w="8540" w:type="dxa"/>
            <w:vAlign w:val="bottom"/>
          </w:tcPr>
          <w:p>
            <w:pPr>
              <w:ind w:left="120"/>
              <w:spacing w:after="0"/>
              <w:rPr>
                <w:sz w:val="20"/>
                <w:szCs w:val="20"/>
                <w:color w:val="auto"/>
              </w:rPr>
            </w:pPr>
            <w:r>
              <w:rPr>
                <w:rFonts w:ascii="Arial" w:cs="Arial" w:eastAsia="Arial" w:hAnsi="Arial"/>
                <w:sz w:val="18"/>
                <w:szCs w:val="18"/>
                <w:color w:val="auto"/>
                <w:w w:val="92"/>
              </w:rPr>
              <w:t>Vice President and Director of Taxes, since June 2017; and Director of Taxes, Operations, July 2004 to May 2017.</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Kevin Fyfe</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48</w:t>
            </w:r>
          </w:p>
        </w:tc>
        <w:tc>
          <w:tcPr>
            <w:tcW w:w="8540" w:type="dxa"/>
            <w:vAlign w:val="bottom"/>
          </w:tcPr>
          <w:p>
            <w:pPr>
              <w:ind w:left="120"/>
              <w:spacing w:after="0"/>
              <w:rPr>
                <w:sz w:val="20"/>
                <w:szCs w:val="20"/>
                <w:color w:val="auto"/>
              </w:rPr>
            </w:pPr>
            <w:r>
              <w:rPr>
                <w:rFonts w:ascii="Arial" w:cs="Arial" w:eastAsia="Arial" w:hAnsi="Arial"/>
                <w:sz w:val="18"/>
                <w:szCs w:val="18"/>
                <w:color w:val="auto"/>
                <w:w w:val="94"/>
              </w:rPr>
              <w:t>Vice President and Controller, since October 2017; and Controller, Cameron Group, April 2016 to October 2017.</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Howard Guild</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50</w:t>
            </w:r>
          </w:p>
        </w:tc>
        <w:tc>
          <w:tcPr>
            <w:tcW w:w="8540" w:type="dxa"/>
            <w:vAlign w:val="bottom"/>
          </w:tcPr>
          <w:p>
            <w:pPr>
              <w:ind w:left="120"/>
              <w:spacing w:after="0"/>
              <w:rPr>
                <w:sz w:val="20"/>
                <w:szCs w:val="20"/>
                <w:color w:val="auto"/>
              </w:rPr>
            </w:pPr>
            <w:r>
              <w:rPr>
                <w:rFonts w:ascii="Arial" w:cs="Arial" w:eastAsia="Arial" w:hAnsi="Arial"/>
                <w:sz w:val="18"/>
                <w:szCs w:val="18"/>
                <w:color w:val="auto"/>
              </w:rPr>
              <w:t>Chief Accounting Officer, since July 2005.</w:t>
            </w:r>
          </w:p>
        </w:tc>
      </w:tr>
      <w:tr>
        <w:trPr>
          <w:trHeight w:val="418"/>
        </w:trPr>
        <w:tc>
          <w:tcPr>
            <w:tcW w:w="1980" w:type="dxa"/>
            <w:vAlign w:val="bottom"/>
          </w:tcPr>
          <w:p>
            <w:pPr>
              <w:spacing w:after="0"/>
              <w:rPr>
                <w:sz w:val="20"/>
                <w:szCs w:val="20"/>
                <w:color w:val="auto"/>
              </w:rPr>
            </w:pPr>
            <w:r>
              <w:rPr>
                <w:rFonts w:ascii="Arial" w:cs="Arial" w:eastAsia="Arial" w:hAnsi="Arial"/>
                <w:sz w:val="18"/>
                <w:szCs w:val="18"/>
                <w:color w:val="auto"/>
              </w:rPr>
              <w:t>Claudia Jaramillo</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49</w:t>
            </w:r>
          </w:p>
        </w:tc>
        <w:tc>
          <w:tcPr>
            <w:tcW w:w="8540" w:type="dxa"/>
            <w:vAlign w:val="bottom"/>
          </w:tcPr>
          <w:p>
            <w:pPr>
              <w:ind w:left="120"/>
              <w:spacing w:after="0"/>
              <w:rPr>
                <w:sz w:val="20"/>
                <w:szCs w:val="20"/>
                <w:color w:val="auto"/>
              </w:rPr>
            </w:pPr>
            <w:r>
              <w:rPr>
                <w:rFonts w:ascii="Arial" w:cs="Arial" w:eastAsia="Arial" w:hAnsi="Arial"/>
                <w:sz w:val="18"/>
                <w:szCs w:val="18"/>
                <w:color w:val="auto"/>
                <w:w w:val="91"/>
              </w:rPr>
              <w:t>Vice President and Treasurer, since December 2017; ERM and Treasury Projects Manager, July 2017 to November</w:t>
            </w:r>
          </w:p>
        </w:tc>
      </w:tr>
      <w:tr>
        <w:trPr>
          <w:trHeight w:val="230"/>
        </w:trPr>
        <w:tc>
          <w:tcPr>
            <w:tcW w:w="1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2017; and Controller, North America Area, July 2014 to July 2017.</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Vijay Kasibhatla</w:t>
            </w: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58</w:t>
            </w:r>
          </w:p>
        </w:tc>
        <w:tc>
          <w:tcPr>
            <w:tcW w:w="8540" w:type="dxa"/>
            <w:vAlign w:val="bottom"/>
          </w:tcPr>
          <w:p>
            <w:pPr>
              <w:ind w:left="120"/>
              <w:spacing w:after="0"/>
              <w:rPr>
                <w:sz w:val="20"/>
                <w:szCs w:val="20"/>
                <w:color w:val="auto"/>
              </w:rPr>
            </w:pPr>
            <w:r>
              <w:rPr>
                <w:rFonts w:ascii="Arial" w:cs="Arial" w:eastAsia="Arial" w:hAnsi="Arial"/>
                <w:sz w:val="18"/>
                <w:szCs w:val="18"/>
                <w:color w:val="auto"/>
              </w:rPr>
              <w:t>Director, Mergers and Acquisitions, since January 2013.</w:t>
            </w:r>
          </w:p>
        </w:tc>
      </w:tr>
      <w:tr>
        <w:trPr>
          <w:trHeight w:val="432"/>
        </w:trPr>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40" w:type="dxa"/>
            <w:vAlign w:val="bottom"/>
          </w:tcPr>
          <w:p>
            <w:pPr>
              <w:ind w:left="2840"/>
              <w:spacing w:after="0"/>
              <w:rPr>
                <w:sz w:val="20"/>
                <w:szCs w:val="20"/>
                <w:color w:val="auto"/>
              </w:rPr>
            </w:pPr>
            <w:r>
              <w:rPr>
                <w:rFonts w:ascii="Arial" w:cs="Arial" w:eastAsia="Arial" w:hAnsi="Arial"/>
                <w:sz w:val="18"/>
                <w:szCs w:val="18"/>
                <w:color w:val="auto"/>
              </w:rPr>
              <w:t>10</w:t>
            </w:r>
          </w:p>
        </w:tc>
      </w:tr>
      <w:tr>
        <w:trPr>
          <w:trHeight w:val="115"/>
        </w:trPr>
        <w:tc>
          <w:tcPr>
            <w:tcW w:w="19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related notes included in this Form 10-K.</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We urge you to consider carefully the risks described below, which discuss the material factors that make an investment in our securities speculative or risky, as well as in other reports and materials that we file with the SEC and the other information included or incorporated by reference in this Form 10-</w:t>
      </w:r>
    </w:p>
    <w:p>
      <w:pPr>
        <w:ind w:firstLine="8"/>
        <w:spacing w:after="0" w:line="260" w:lineRule="auto"/>
        <w:tabs>
          <w:tab w:leader="none" w:pos="27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risks and uncertainties not currently known to us or that we currently deem immaterial may also materially adversely affect our business, reputation, financial condition, results of operations, cash flows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Demand for our products and services is substantially dependent on the levels of expenditures by our customers. Recent oil and gas industry downturns have resulted in reduced demand for oilfield products and services and lower expenditures by our customers, which has in the past had, and may in the future have, a material adverse effect on our financial condition, results of operations and cash flows.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Demand for our products and services depends substantially on expenditures by our customers for the exploration, development and production of oil and gas reserves. These expenditures are generally dependent on our customers’ views of future demand for oil and gas and future oil and gas prices, as well as our customers’ ability to access capital. In addition, the transition of the global energy sector from primarily a fossil fuel-based system to renewable energy sources could affect our customers’ levels of expenditures.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Actual and anticipated declines in oil and gas prices have in the past resulted in, and may in the future result in, lower capital expenditures, project modifications, delays or cancellations, general business disruptions, and delays in payment of, or nonpayment of, amounts that are owed to us. These effects have had, and may in the future have, a material adverse effect on our financial condition, results of operations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Historically, oil and gas prices have experienced significant volatility and can be affected by a variety of factors, including:</w:t>
      </w:r>
    </w:p>
    <w:p>
      <w:pPr>
        <w:spacing w:after="0" w:line="117"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supply of and demand for hydrocarbons, which are affected by general economic and business conditions;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exploring for, producing and delivering oil and gas;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and the expanded alliance known as OPEC+ to set and maintain production levels for oil;</w:t>
      </w: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oil and gas exploration and production activity;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oil and gas inventories;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potential resources;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uncertainty and geopolitical unrest;</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laws, policies, regulations and subsidies, including initiatives to promote the use of renewable energy sources;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speculation as to the future price of oil and the speculative trading of oil and gas futures contracts;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extreme weather conditions, natural disasters, and public health or similar issues, such as pandemics and epidemics.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products and services and downward pressure on the prices that we are able to charge. Sustained market uncertainty can also result in lower demand and pricing for our products and services. A significant industry downturn, sustained market uncertainty, or increased availability of economical alternative energy sources could result in a reduction in demand for our products and services, which could adversely affect our business, financial condition, results of operations, cash flows and prospects.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Disruptions in the political, regulatory, economic, and social environments of the countries in which we operate could adversely affect our financial condition, results of operations and cash flows.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revenue in more than 120 countries across the world. Our non-US operations accounted for approximately 85% of our consolidated revenue in 2021, 81% in 2020 and 72% in 2019. Instability and unforeseen changes in any of the markets in which we operate could result in business disruptions that may have an adverse effect on the demand for our products and services or our financial condition, results of operations or cash flows. These factors include, but are not limited to, the following:</w:t>
      </w:r>
    </w:p>
    <w:p>
      <w:pPr>
        <w:spacing w:after="0" w:line="79"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 or volatile political, social and economic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left="740" w:hanging="368"/>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exposure to expropriation, nationalization, deprivation or confiscation of our assets or the assets of our customers, or other governmental actions;</w:t>
      </w:r>
    </w:p>
    <w:p>
      <w:pPr>
        <w:spacing w:after="0" w:line="46" w:lineRule="exact"/>
        <w:rPr>
          <w:rFonts w:ascii="Arial" w:cs="Arial" w:eastAsia="Arial" w:hAnsi="Arial"/>
          <w:sz w:val="16"/>
          <w:szCs w:val="16"/>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health crises and other catastrophic events, such as the COVID-19 pandemic;</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theft of, or lack of sufficient legal protection for, proprietary technology and other intellectual property;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9"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regions or countries that could restrict or curtail our ability to operate in certain markets;</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 including changes in interpretation or enforcement of existing laws;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effectively and timely address the energy transition could adversely affect our business, results of operations and cash flows.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long-term success depends on our ability to effectively address the energy transition, which will require adapting our technology portfolio to potentially changing government requirements and customer preferences, as well as engaging with our customers to develop solutions to decarbonize oil and gas operations.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in fossil fuel-related industries, our access to capital or the market for our securities could be negatively impacted.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 highly competitive environment. If we are unable to maintain technology leadership, this could adversely affect any competitive advantage we hold.</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energy industry is highly competitive. Our business may be adversely affected if we fail to continue developing and producing innovative technologies in response to changes in the market, including customer and government requirements, or if we fail to deliver such technologies to our customers in a timely and cost-competitive manner. If we are unable to maintain technology leadership in our industry, our ability to maintain market share, defend, maintain or increase prices for our products and services, and negotiate acceptable contract terms with our customers could be adversely affected. Furthermore, if competing technology accelerates the obsolescence of any of our products or services, the value of our intellectual property may be reduced, which could adversely affect our financial condition, results of operations and cash flows.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Limitations on our ability to obtain, maintain, protect or enforce our intellectual property rights, including our trade secrets, could cause a loss in revenue and any competitive advantage we hold.</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the steps we take to obtain, maintain, protect and enforce our intellectual property rights will be adequate. 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Patent protection on some types of technology, such as software or machine learning processes, may not be available in certain countries in which we operate. Our competitors may also be able to develop technology independently that is similar to ours without infringing on our patents or gaining access to our trade secrets, which could adversely affect our financial condition, results of operations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may claim that we have infringed upon or otherwise violated their intellectual property rights.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tools, techniques, methodologies, programs and components we use to provide our services and products may infringe upon or otherwise violate the intellectual property rights of others or be challenged on that basis. Regardless of the merits, any such claims generally result in significant legal and other costs, including reputational harm, and may distract management from running our business. Resolving such claims could increase our costs, including through royalty payments to acquire licenses, if available, from third parties and through the development of replacement technologies. If a license to resolve a claim were not available, we might not be able to continue providing a particular service or product, which could adversely affect our financial condition, results of operations and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operations require us to comply with numerous laws and regulations, violations of which could have a material adverse effect on our financial condition, results of operations or cash flows.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international, regional, national, and local laws and regulations in every place where we operate, relating to matters such as environmental protection, health and safety, labor and employment, import/export controls, currency exchange, bribery and corruption, data privacy and cybersecurity, intellectual property, immigration, and taxation. These laws and regulations are complex, frequently change, and have tended to become more stringent over time. In the event the scope of these laws and regulations expands in the future, the incremental cost of compliance could adversely affect our financial condition, results of operations, or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subject to anti-corruption and anti-bribery laws and regulations, such as the Foreign Corrupt Practices Act, the U.K. Bribery Act and other similar laws. We are also subject to trade control regulations and trade sanctions laws that restrict the movement of certain goods to, and certain operations in, various countries or with certain persons. Our ability to transfer people, products and data among certain countries is subject to maintaining required licenses and complying with these laws and regulations.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anti-bribery,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business, operations and financial condition. In addition, any major violations could have a significant effect on our reputation and consequently on our ability to win future business and maintain existing customer and supplier relationships.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Existing or future laws, regulations, court orders or other initiatives to limit greenhouse gas emissions or relating to climate change may reduce demand for our products and services.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Continuing political and social attention to the issue of climate change has resulted in both existing and proposed international agreements and national, regional and local legislation and regulatory measures to limit GHG emissions. The implementation of these agreements, including the Paris Agreement, the Europe Climate Law, and other existing or future regulatory mandates, may adversely affect the demand for our products and services, impose taxes on us or our customers, require us or our customers to reduce GHG emissions from our technologies or operations, or accelerate the obsolescence of our products or services.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increasing attention to the risks of climate change has resulted in an increased possibility of litigation or investigations brought by public and private entities against oil and gas companies in connection with their GHG emissions. As a result, we or our customers may become subject to court orders compelling a reduction of GHG emissions or requiring mitigation of the effects of climate change.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also increased focus by governments and our customers, investors and other stakeholders on climate change, sustainability and energy transition matters. Negative attitudes toward or perceptions of our industry or fossil fuel products and their relationship to the environment have led governments, non-governmental organizations, and companies to implement initiatives to conserve energy and promote the use of alternative energy sources, which may reduce the demand for and production of oil and gas in areas of the world where our customers operate, and thus reduce future demand for our products and services. In addition, initiatives by investors and financial institutions to limit funding to companies in fossil fuel-related industries may adversely affect our liquidity or access to capital. Any of these initiatives may, in turn, adversely affect our financial condition, results of operations and cash flows.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Environmental compliance costs and liabilities arising as a result of environmental laws and regulations could have a material adverse effect on our business, financial condition and results of operations.</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laws and regulations relating to environmental protection, including those governing air and GHG emissions, water discharges and waste management, as well as the importation and use of hazardous materials, radioactive materials, chemicals and explosives. The technical requirements of these laws and regulations are becoming increasingly complex, stringent and expensive to implement. These laws sometimes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jc w:val="both"/>
        <w:spacing w:after="0" w:line="301" w:lineRule="auto"/>
        <w:rPr>
          <w:sz w:val="20"/>
          <w:szCs w:val="20"/>
          <w:color w:val="auto"/>
        </w:rPr>
      </w:pPr>
      <w:r>
        <w:rPr>
          <w:rFonts w:ascii="Arial" w:cs="Arial" w:eastAsia="Arial" w:hAnsi="Arial"/>
          <w:sz w:val="16"/>
          <w:szCs w:val="16"/>
          <w:color w:val="auto"/>
        </w:rPr>
        <w:t>and cleanup of potentially contaminated properties, and to claims alleging personal injury or property damage as a result of exposures to, or releases of, hazardous substances. In addition, stricter enforcement or changing interpretations of existing laws and regulations, the enactment of new laws and regulations, the discovery of previously unknown contamination or the imposition of new or increased requirements could require us to incur costs or become the basis for new or increased liabilities that could have a material adverse effect on our business, operations and financial condition.</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be subject to substantial liability claims, including as a result of well incidents, which could adversely affect our reputation, financial condition, results of operations and cash flows.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technical complexities of our operations expose us to a wide range of significant health, safety and environmental risks. Our operations involve production-related activities, radioactive materials, chemicals, explosives and other equipment and services that are deployed in challenging exploration, development and production environments. Accidents or acts of malfeasance involving these services or equipment, or a failure of a product (including as a result of a cyberattack), could cause personal injury, loss of life, damage to or destruction of property, equipment or the environment, or suspension of operations, which could materially adversely affect us. Any well incidents, including blowouts at a well site or any loss of containment or well control,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COVID-19 pandemic and resulting adverse economic conditions have had, and may to continue to have, a material adverse effect on our financial condition, results of operations and cash flows.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COVID-19 pandemic caused a significant and swift reduction in global economic activity during 2020, which significantly weakened demand for oil and gas, and in turn, for our products and services. Other effects of the pandemic included, and may continue to include, significant volatility and disruption of the global financial markets; adverse revenue and net income effects; disruptions to our operations, including suspension or deferral of drilling activities; customer shutdowns of oil and gas exploration and production; downward revisions to customer budgets; limitations on access to sources of liquidity; supply chain disruptions; limitations on access to raw materials; employee impacts from illness, school closures and other community response measures; and temporary closures of our facilities or the facilities of our customers and suppliers. The pandemic is continuously evolving, and the extent to which our operating and financial results will continue to be affected will depend on various factors beyond our control, such as the ultimate duration, severity and sustained geographic resurgence of the virus; the emergence of new variants and strains of the virus; and the success of actions to contain the virus and its variants, or treat its impact, such as the availability and acceptance of vaccines. COVID-19, and the volatile regional and global economic conditions stemming from the pandemic, could also aggravate our other risk factors described in this Form 10-K.</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operations are subject to cyber incidents that could have a material adverse effect on our business, financial condition and results of operations.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highly dependent on digital technologies and services to conduct our business. We use these technologies for internal purposes, including data storage, processing and transmission, as well as in our interactions with our business associates, such as customers and suppliers. In addition, we develop software and other digital products and services that store, retrieve, manipulate and manage our customers’ information and data, external data, personal data, and our own data. Our digital technologies and services, and those of our business associates, are subject to the risk of cyberattacks and, given the nature of such attacks, some incidents can remain undetected for a period of time despite efforts to detect and respond to them in a timely manner. There can be no assurance that the systems we have designed to prevent or limit the effects of cyber incidents or attacks will be sufficient to prevent or detect material consequences arising from such incidents or attacks, or to avoid a material adverse impact on our systems after such incidents or attacks do occur. We have experienced and will continue to experience varying degrees of cyber incidents in the normal conduct of our business, including attacks resulting from phishing emails and ransomware infections. Even if we successfully defend our own digital technologies and services, we also rely on third-party business associates, with whom we may share data and services, to defend their digital technologies and services against attack.</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could suffer significant damage to our reputation if a cyber incident or attack were to allow unauthorized access to or modification of our customers’ data, other external data, personal data, or our own data, or if the services we provide to our customers were disrupted, or if our digital products or services were reported to have or were perceived as having security vulnerabilities. This could lead to fewer customers using our digital products and services, which could have a material adverse impact on our financial condition and results of operations. In addition, if our systems, or our third-party business associates’ systems, for protecting against cybersecurity risks prove to be insufficient, we could be adversely affected by, among other things, loss of or damage to intellectual property, proprietary or confidential information, or customer, supplier, or employee data; breach of personal data; interruption of our business operations; increased legal and regulatory exposure, including fines and remediation costs; and increased costs required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prevent, respond to, or mitigate cybersecurity attacks. These risks could harm our reputation and our relationships with our employees, business associates and other third parties, and may result in claims against us. The occurrence of any of these risks could have a material adverse effect on our business, financial condition and results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aspirations, goals, and initiatives related to sustainability and emissions reduction, and our public statements and disclosures regarding them, expose us to numerous risks.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developed, and will continue to develop and set, goals, targets, and other objectives related to sustainability matters, including our net-zero target and our energy transition strategy. Statements related to these goals, targets and objectives reflect our current plans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including with respect to emissions reduction, is subject to numerous factors and conditions, some of which are outside of our control.</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and retain qualified personnel could impede our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depends on our ability to recruit, train, and retain qualified personnel. We require highly skilled personnel to operate and provide technical services and support for our business. Competition for the personnel necessary for our businesses intensifies as activity increases and technology evolves. In periods of high utilization, it is often more difficult to find and retain qualified individuals. This could increase our costs or have other material adverse effects on our operations.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Severe weather, including extreme weather conditions associated with climate change, has in the past and may in the future adversely affect our operations and financial results.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has been, and in the future will be, affected by severe weather in areas where we operate, which could materially affect our operations and financial results. Extreme weather conditions such as hurricanes, flooding and landslides have in the past resulted in, and may in the future result in, the evacuation of personnel, stoppage of services and activity disruptions at our facilities, in our supply chain, or at well-sites, or result in disruptions of our customers’ operations. Particularly severe weather events affecting platforms or structures may result in a suspension of activities. In addition, acute or chronic physical impacts of climate change, such as sea level rise, coastal storm surge, inland flooding from intense rainfall and hurricane-strength winds may damage our facilities. Any such extreme weather events may result in increased operating costs or decreases in revenue, which could adversely affect our financial condition, results of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owns or leases numerous manufacturing facilities, administrative offices, service centers, research centers, data processing centers, mines, and other facilities throughout the world, none of which are individually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information with respect to this Item 3. Legal Proceedings is set forth in Note 14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Schlumberger’s Common Stock, Related Stockholder Matters and Issuer Purchases of Equity Securities.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there were 23,753 stockholders of record. The principal US market for Schlumberger’s common stock is the New York Stock Exchange (“NYSE”), where it is traded under the symbol “SLB.”</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graph compares the cumulative total stockholder return on Schlumberger common stock with the cumulative total return on the Standard &amp; Poor’s 500 Index (“S&amp;P 500 Index”) and the cumulative total return on the Philadelphia Oil Service Index. It assumes $100 was invested on December 31, 2016 in Schlumberger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 Among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Common Stock, the S&amp;P 500 Index and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142875</wp:posOffset>
            </wp:positionV>
            <wp:extent cx="5126355" cy="3446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26355"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21, 2016, the Schlumberger Board of Directors approved a $10 billion share repurchase program for Schlumberger common stock. Schlumberger had repurchased $1.0 billion of its common stock under this program as of December 31, 2021. Schlumberger did not repurchase any of its common stock during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of the Form 10-K generally discusses 2021 and 2020 items and year-to-year comparisons between 2021 and 2020. Discussions of 2019 items and year-to-year comparison between 2020 and 2019 that are not included in this Form 10-K can be found in “Management’s Discussion and Analysis of Financial Condition and Results of Operations” in Part II, Item 7 of Schlumberger’s Annual Report on Form 10-K for the fiscal year ended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Executive Overview</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Continuing a broad recovery that began in 2020, oil markets were generally positive throughout the year, with Brent oil price starting 2021 at the year’s low of $51 per barrel, reaching a high of $85 in November. Sentiment in oil markets was largely positive as global demand recovered and supply was managed by a combination of the reassurance of continued intervention from OPEC+, and ongoing capital discipline by publicly traded operators in North America.</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the context of strengthening fundamentals across the year, there were several instances where the potential impact of COVID-19 variants raised concerns regarding demand growth. However, these periods were shorter lived than the prolonged decline in 2020, which was characterized by economic lockdowns, and oil prices soon rebounded. Pricing was initially supported by OPEC+ production agreements that had come into effect in 2020 and remained resilient as those production targets were gradually increased in the second half of 2021, as crude and product stocks continued a multiyear downward trend.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activity grew broadly across geographies in the second half of the year, including offshore and deepwater, with operators investing in projects to meet long-term objectives and regional demand growth.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Activity in North America land also rebounded, albeit from a very low base in 2020, but did not return to prepandemic levels, as investment and production were subdued as a result of continued capital discipline on the part of larger producers.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International natural gas pricing, while following the traditional seasonal pattern, was volatile, swinging from pandemic-driven lows in 2020 to record highs around the world. Domestically, US Henry Hub natural gas prices rose dramatically, averaging $3.91 per million British thermal units on a monthly basis—as compared to $2.04 in 2020—and reaching a peak of $5.87 in October before ending the year at $3.73.</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Against this backdrop, Schlumberger’s full-year 2021 revenue of $22.9 billion decreased 3% year-on-year as a result of the divestitures of the OneStim pressure pumping business and the North America low-flow artificial lift business during the fourth quarter of 2020. These divestitures were consistent with Schlumberger’s strategy to focus on expanding margins, minimizing earnings volatility and focusing on less capital-intensive businesses by high-grading and rationalizing its business portfolio. The divested businesses accounted for approximately 25% of Schlumberger’s North America revenue in 2020. Excluding the impact of these divestitures, which generated $1.3 billion of revenue during 2020 (all of which was in North America), full-year 2021 global revenue grew 3% year-on-year, driven by an 8% increase in North America and a 2% increase in international revenue.</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performance in 2021 was driven by global oil and gas activity growth in the second half of the year as investment spending experienced double-digit growth year-on-year. Consequently, Schlumberger’s revenue in the second half of 2021 grew 12% compared to the same period of 2020, and increased 18% when adjusted for the effects of the divestitures. International revenue increased 12% year-on-year during the second half of 2021, and North America revenue increased 10%, or 44% when adjusted for the effects of the divestitures (which generated $0.5 billion of revenue during the second half of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Looking ahead into 2022, we believe the industry macro fundamentals are very favorable, due to the combination of projected steady demand recovery, an increasingly tight supply market, and supportive oil prices. Schlumberger expects this to result in a material step up in industry capital spending with double-digit growth in both the international and North American markets. Absent any further significant COVID-related disruption, oil demand is expected to exceed prepandemic levels before the end of the year and further strengthen in 2023. We believe these favorable market conditions are similar to those experienced during the last industry supercycle, suggesting that resurgent global demand-led capital spending will result in an exceptional multiyear growth cycle.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Throughout 2021, Schlumberger continued to strengthen its core portfolio, enhanced its sustainability leadership, successfully advanced its digital journey, and expanded its new energy portfolio. Schlumberger is well prepared to fully seize this growth ahead. Schlumberger is entering this cycle in a position of strength, having reset its operating leverage, expanded peer-leading margins across multiple quarters, and aligned its technology and business portfolio with the new industry imperatives.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Fourth Quarter 2021 Results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Fourth Quarter 2021</w:t>
            </w:r>
          </w:p>
        </w:tc>
        <w:tc>
          <w:tcPr>
            <w:tcW w:w="180" w:type="dxa"/>
            <w:vAlign w:val="bottom"/>
          </w:tcPr>
          <w:p>
            <w:pPr>
              <w:spacing w:after="0"/>
              <w:rPr>
                <w:sz w:val="24"/>
                <w:szCs w:val="24"/>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color w:val="auto"/>
              </w:rPr>
              <w:t>Third Quarter 2021</w:t>
            </w:r>
          </w:p>
        </w:tc>
      </w:tr>
      <w:tr>
        <w:trPr>
          <w:trHeight w:val="218"/>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r>
      <w:tr>
        <w:trPr>
          <w:trHeight w:val="229"/>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18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2,388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(140)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2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6,225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380" w:right="20" w:hanging="372"/>
        <w:spacing w:after="0" w:line="203" w:lineRule="auto"/>
        <w:tabs>
          <w:tab w:leader="none" w:pos="38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1"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(fourth quarter 2021: $1 million; third quarter 2021: $- million).</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(fourth quarter 2021: $4 million; third quarter 2021: $3 million).</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$6.22 billion increased 6% sequentially as a result of broad-based growth across all geographies and Divisions.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revenue of $4.90 billion grew 5% sequentially, driven primarily by strengthening activity, increased digital sales, and early benefits of pricing improvements. The sequential revenue increase was led by growth in Europe/CIS/Africa largely due to strong offshore activity in Africa. This growth was complemented by project startups and activity gains in the Middle East &amp; Asia and sustained activity growth in Latin America.</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North America, revenue of $1.28 billion grew 13% sequentially, outperforming the rig count growth. The sequential growth was driven by strong offshore and land drilling activity and increased exploration data licensing.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Fourth-quarter pretax segment operating margin of 16% increased 31 basis points (bps) sequentially, reaching its highest quarterly level since 2015, largely as a result of the accretive effect of accelerating digital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Fourth-quarter revenue of $889 million increased 10% sequentially, propelled by accelerated digital sales internationally, particularly in Europe/CIS/Africa and Middle East &amp; Asia, and increased exploration data licensing sales in North America offshore and the Permian. These increases, however, were partially offset by the effects of a temporary production interruption in the APS projects in Ecuador due to pipeline disruption.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Digital &amp; Integration pretax operating margin of 38% expanded 268 bps sequentially, primarily due to higher digital and exploration data licensing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Fourth-quarter revenue of $1.3 billion increased 8% sequentially, primarily due to higher intervention activity across the international offshore markets and activity gains in the Middle East &amp; Asia.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 pretax operating margin of 16% was essentially flat sequentially.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Fourth-quarter revenue of $2.4 billion increased 5% sequentially, driven by higher measurements and drilling fluids activity and increased drilling equipment sales. North America revenue increased 15% due to higher rig count on land and increased well construction activity in the US Gulf of Mexico. International revenue growth of 3% was driven by growth in Latin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 pretax operating margin of 15% was essentially flat sequentially.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Fourth-quarter revenue of $1.8 billion increased 5% sequentially driven by a 6% increase in international revenue. This growth was mainly in Europe/CIS/Africa as a result of strong project progress.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Systems pretax operating margin of 9% declined 85 bps sequentially due to an unfavorable mix and the impact of delayed deliveries due to global supply and logistics constraints.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Full-Year 2021 Results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(Loss)</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Taxes</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3,290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(376)</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(253)</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(573)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(514)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(12,515)</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22,929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80" w:right="20" w:hanging="372"/>
        <w:spacing w:after="0" w:line="203" w:lineRule="auto"/>
        <w:tabs>
          <w:tab w:leader="none" w:pos="38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1"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(2021: $2 million; 2020: $2 million).</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(2021: $15 million; 2020: $28 million).</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Full-year 2021 revenue of $22.9 billion decreased 3% year-on-year primarily as a result of the divestitures of the OneStim pressure pumping business and the low-flow artificial lift business during the fourth quarter of 2020. Excluding the impact of these divestitures, which generated $1.3 billion of revenue (all of which was in North America) during 2020, global revenue increased 3% year-on-year.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North America revenue declined 18% year-on-year; however, excluding the impact of the previously described divestitures, full-year revenue increased 8%. International revenue also increased 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growth in 2021 was driven by strong global oil and gas activity in the second half of the year. Schlumberger’s revenue in the second half of 2021 grew 12% compared to the same period of 2020 and increased 18% when adjusted for the effects of the divestitures. This growth was pervasive across all geographies and Divisions.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Full-year 2021 pretax operating margin of 15% was 450 bps higher compared to 2020, primarily due to the divestiture of certain businesses in North America, which were previously dilutive to margins, combined with reduced depreciation and amortization expense following the asset impairment charges recorded during 2020 and the effects of cost reduction measures.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Full-year 2021 revenue of $3.3 billion increased 7% year-on-year, primarily driven by robust APS project revenue from higher production and improved oil prices.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Year-on-year, pretax operating margin increased 11 percentage points to 35%. Operating margin increased due to improved profitability from APS projects as a result of higher oil prices and reduced amortization expense following the asset impairment charges that were recorded during 2020 relating to certain APS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Full-year 2021 revenue of $4.6 billion decreased 18% year-on-year, largely reflecting the effects of the OneStim divestiture, which generated $1.2 billion of revenue during 2020. Excluding the impact of the OneStim divestiture, revenue increased 5% year-on-year primarily driven by strong activity in Latin America.</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increased by 779 bps to 14% despite the significant drop in revenue, primarily due to the divestiture of the OneStim business, which was previously dilutive to margins.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Full-year 2021 revenue of $8.7 billion increased 1% year-on-year.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increased 363 bps to 14% despite the relatively flat revenue, largely as a result of the implementation of cost control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Full-year 2021 revenue of $6.7 billion increased 1% year-on-year, primarily driven by improved international activity that was largely offset by a decline in completions activity in North America as a result of the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was essentially flat at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320" w:type="dxa"/>
            <w:vAlign w:val="bottom"/>
          </w:tcPr>
          <w:p>
            <w:pPr>
              <w:spacing w:after="0"/>
              <w:rPr>
                <w:sz w:val="24"/>
                <w:szCs w:val="24"/>
                <w:color w:val="auto"/>
              </w:rPr>
            </w:pPr>
          </w:p>
        </w:tc>
        <w:tc>
          <w:tcPr>
            <w:tcW w:w="35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of equity method investments</w:t>
            </w:r>
          </w:p>
        </w:tc>
        <w:tc>
          <w:tcPr>
            <w:tcW w:w="23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2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sale of Liberty shares</w:t>
            </w:r>
          </w:p>
        </w:tc>
        <w:tc>
          <w:tcPr>
            <w:tcW w:w="23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earnings of equity method investments in 2021 as compared to 2020 is primarily attributable to Schlumberger’s share of net losses associated with Schlumberger’s investment in Liberty. Schlumberger records its share of Liberty’s net income or loss on a one-quarter lag.</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fourth quarter of 2021 Schlumberger sold 9.5 million of its shares of Liberty and recognized a gain of $28 million. See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During the third quarter of 2021, a start-up company that Schlumberger previously invested in was acquired. As a result of this transaction, Schlumberger’s ownership interest was converted into shares of a publicly traded company. Schlumberger recognized an unrealized pretax gain of $47 million to increase the carrying value of this investment to its estimated fair value of approximately $55 million. See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2020, a start-up company that Schlumberger previously invested in completed an initial public offering. As a result, Schlumberger recognized an unrealized gain of $39 million to increase the carrying value of this investment to its fair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 xml:space="preserve">value of $43 million as of December 31, 2020. See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Schlumberger sold this investment during 2021, which did not result in a material gain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of $539 million in 2021 decreased $24 million compared to 2020 primarily as a result of the $2.7 billion year-on-year reduction in total debt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20"/>
                <w:szCs w:val="20"/>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Research &amp; engineering</w:t>
            </w:r>
          </w:p>
        </w:tc>
        <w:tc>
          <w:tcPr>
            <w:tcW w:w="1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2.4%</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General &amp; administrative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Schlumberger effective tax rate is sensitive to the geographic mix of earnings. When the percentage of pretax earnings generated outside of North America increases, the Schlumberger effective tax rate generally decreases. Conversely, when the percentage of pretax earnings generated outside of North America decreases, the Schlumberger effective tax rate generally increases.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Schlumberger effective tax rate was 19% in 2021 as compared to 7% in 2020. The increase in the effective tax rate was primarily due to the charges and credits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These charges and credits reduced the effective tax rate in 2020 by 12 percentage points as a significant portion of these charges were not tax-effective.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Schlumberger recorded charges and credits during 2021 and 2020.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2021 charges and credits.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4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Pretax</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Third quarter:</w:t>
            </w:r>
          </w:p>
        </w:tc>
        <w:tc>
          <w:tcPr>
            <w:tcW w:w="2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3220" w:type="dxa"/>
            <w:vAlign w:val="bottom"/>
            <w:gridSpan w:val="2"/>
          </w:tcPr>
          <w:p>
            <w:pPr>
              <w:jc w:val="right"/>
              <w:ind w:right="81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Fourth quarter:</w:t>
            </w:r>
          </w:p>
        </w:tc>
        <w:tc>
          <w:tcPr>
            <w:tcW w:w="2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Gain on sale of Liberty shares</w:t>
            </w:r>
          </w:p>
        </w:tc>
        <w:tc>
          <w:tcPr>
            <w:tcW w:w="2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9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Early repayment of bonds</w:t>
            </w:r>
          </w:p>
        </w:tc>
        <w:tc>
          <w:tcPr>
            <w:tcW w:w="2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40" w:type="dxa"/>
            <w:vAlign w:val="bottom"/>
            <w:vMerge w:val="restart"/>
          </w:tcPr>
          <w:p>
            <w:pPr>
              <w:jc w:val="right"/>
              <w:ind w:right="790"/>
              <w:spacing w:after="0"/>
              <w:rPr>
                <w:sz w:val="20"/>
                <w:szCs w:val="20"/>
                <w:color w:val="auto"/>
              </w:rPr>
            </w:pPr>
            <w:r>
              <w:rPr>
                <w:rFonts w:ascii="Arial" w:cs="Arial" w:eastAsia="Arial" w:hAnsi="Arial"/>
                <w:sz w:val="18"/>
                <w:szCs w:val="18"/>
                <w:color w:val="auto"/>
              </w:rPr>
              <w:t>21</w:t>
            </w: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is a summary of the 2020 charges and credits.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673"/>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impairments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pressure pumping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Third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exit charges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OneStim</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first quarter 2020 impairment charges, commencing with the second quarter of 2020, depreciation and amortization expense was reduced by approximately $95 million on a quarterly basis. Approximately $33 million of this quarterly reduction is reflected in the Digital &amp; Integration Division and $12 million is reflected in the Reservoir Performance Division. The remaining $50 million is reflected in the “Corporate &amp; other” line item.</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second quarter 2020 restructuring and impairment charges, commencing with the third quarter of 2020, depreciation and amortization expense was reduced by approximately $80 million and lease expense was reduced by $25 million on a quarterly basis. Approximately $51 million of this quarterly reduction is reflected in the Digital &amp; Integration Division and $31 million is reflected in the Reservoir Performance Division, with the remaining $23 million reflected among the Well Construction Division and Production Systems Division.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third quarter 2020 restructuring charges, commencing with the fourth quarter of 2020, depreciation and lease expense was reduced by $15 million on a quarterly basis. This quarterly reduction is reflected among all of the Divisions.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Dec.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Dec. 31,</w:t>
            </w:r>
          </w:p>
        </w:tc>
      </w:tr>
      <w:tr>
        <w:trPr>
          <w:trHeight w:val="234"/>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7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(909)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(850)</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(13,286)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(16,036)</w:t>
            </w:r>
          </w:p>
        </w:tc>
      </w:tr>
      <w:tr>
        <w:trPr>
          <w:trHeight w:val="223"/>
        </w:trPr>
        <w:tc>
          <w:tcPr>
            <w:tcW w:w="6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(11,056)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Changes in Liquidity:</w:t>
            </w:r>
          </w:p>
        </w:tc>
        <w:tc>
          <w:tcPr>
            <w:tcW w:w="7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1,928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(10,486)</w:t>
            </w:r>
          </w:p>
        </w:tc>
        <w:tc>
          <w:tcPr>
            <w:tcW w:w="120" w:type="dxa"/>
            <w:vAlign w:val="bottom"/>
            <w:gridSpan w:val="2"/>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Impairments and other charges and credits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Deferred taxes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(1,248)</w:t>
            </w: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(833)</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US Federal tax refund</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7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4,651</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(1,141)</w:t>
            </w:r>
          </w:p>
        </w:tc>
        <w:tc>
          <w:tcPr>
            <w:tcW w:w="28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120" w:type="dxa"/>
            <w:vAlign w:val="bottom"/>
            <w:gridSpan w:val="2"/>
            <w:shd w:val="clear" w:color="auto" w:fill="CFF0FC"/>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APS investments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(303)</w:t>
            </w: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capitalized</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(101)</w:t>
            </w:r>
          </w:p>
        </w:tc>
      </w:tr>
      <w:tr>
        <w:trPr>
          <w:trHeight w:val="22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7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2,997</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(699)</w:t>
            </w:r>
          </w:p>
        </w:tc>
        <w:tc>
          <w:tcPr>
            <w:tcW w:w="28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20" w:type="dxa"/>
            <w:vAlign w:val="bottom"/>
            <w:gridSpan w:val="2"/>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Proceeds from sale of Liberty shares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divestitures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Repayment of finance lease obligations</w:t>
            </w: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(188)</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(181)</w:t>
            </w: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8"/>
              </w:rPr>
              <w:t>Change in net debt before impact of changes in foreign exchange rates on net debt</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2,336</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FF0FC"/>
            </w:tcBorders>
            <w:gridSpan w:val="2"/>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(595)</w:t>
            </w: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decrease in Net Debt</w:t>
            </w:r>
          </w:p>
        </w:tc>
        <w:tc>
          <w:tcPr>
            <w:tcW w:w="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2,824</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top w:val="single" w:sz="8" w:color="CFF0FC"/>
            </w:tcBorders>
            <w:gridSpan w:val="2"/>
            <w:shd w:val="clear" w:color="auto" w:fill="CFF0FC"/>
          </w:tcPr>
          <w:p>
            <w:pPr>
              <w:spacing w:after="0"/>
              <w:rPr>
                <w:sz w:val="19"/>
                <w:szCs w:val="19"/>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Net Debt, Beginning of period</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(13,880)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(13,127)</w:t>
            </w:r>
          </w:p>
        </w:tc>
      </w:tr>
      <w:tr>
        <w:trPr>
          <w:trHeight w:val="223"/>
        </w:trPr>
        <w:tc>
          <w:tcPr>
            <w:tcW w:w="6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Debt, End of period</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(11,056)</w:t>
            </w:r>
          </w:p>
        </w:tc>
        <w:tc>
          <w:tcPr>
            <w:tcW w:w="2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(13,880)</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380" w:hanging="372"/>
        <w:spacing w:after="0" w:line="213" w:lineRule="auto"/>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380" w:hanging="372"/>
        <w:spacing w:after="0" w:line="195" w:lineRule="auto"/>
        <w:tabs>
          <w:tab w:leader="none" w:pos="38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50"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$248 million and $843 million during 2021 and 2020, respectively.</w:t>
      </w:r>
    </w:p>
    <w:p>
      <w:pPr>
        <w:spacing w:after="0" w:line="118" w:lineRule="exact"/>
        <w:rPr>
          <w:rFonts w:ascii="Arial" w:cs="Arial" w:eastAsia="Arial" w:hAnsi="Arial"/>
          <w:sz w:val="22"/>
          <w:szCs w:val="22"/>
          <w:color w:val="auto"/>
          <w:vertAlign w:val="superscript"/>
        </w:rPr>
      </w:pPr>
    </w:p>
    <w:p>
      <w:pPr>
        <w:jc w:val="both"/>
        <w:ind w:left="380" w:hanging="372"/>
        <w:spacing w:after="0" w:line="247" w:lineRule="auto"/>
        <w:tabs>
          <w:tab w:leader="none" w:pos="38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Key liquidity events during 2021 and 2020 included:</w:t>
      </w:r>
    </w:p>
    <w:p>
      <w:pPr>
        <w:spacing w:after="0" w:line="117" w:lineRule="exact"/>
        <w:rPr>
          <w:sz w:val="20"/>
          <w:szCs w:val="20"/>
          <w:color w:val="auto"/>
        </w:rPr>
      </w:pPr>
    </w:p>
    <w:p>
      <w:pPr>
        <w:jc w:val="both"/>
        <w:ind w:left="740" w:hanging="368"/>
        <w:spacing w:after="0" w:line="273"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April 2020, in light of the uncertainty of the depth and extent of the contraction in oil demand due to the COVID-19 pandemic combined with the weaker commodity price environment at the time, Schlumberger announced a 75% reduction to its quarterly cash dividend. The revised dividend supports Schlumberger’s value proposition through a balanced approach of shareholder distributions and organic investment, and provided flexibility to address the uncertain environment. This decision reflected the Company’s focus on its capital stewardship program as well as its commitment to maintain both a strong liquidity position and a strong investment grade credit rating that provides privileged access to the financial markets. Dividends paid during 2021 and 2020 were $0.7 billion and $1.7 billion, respectively.</w:t>
      </w:r>
    </w:p>
    <w:p>
      <w:pPr>
        <w:spacing w:after="0" w:line="69" w:lineRule="exact"/>
        <w:rPr>
          <w:rFonts w:ascii="Arial" w:cs="Arial" w:eastAsia="Arial" w:hAnsi="Arial"/>
          <w:sz w:val="17"/>
          <w:szCs w:val="17"/>
          <w:color w:val="auto"/>
        </w:rPr>
      </w:pPr>
    </w:p>
    <w:p>
      <w:pPr>
        <w:jc w:val="both"/>
        <w:ind w:left="740" w:hanging="368"/>
        <w:spacing w:after="0" w:line="25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flow from operations was $4.7 billion in 2021 and $2.9 billion in 2020. The increase in cash flow from operations in 2021 as compared to 2020 was driven by the sharp increase in earnings excluding non-cash charges and credits and depreciation and amortization expense as a result of the improved business conditions in 2021, as well as the receipt of the $0.5 billion US federal tax refund described below and a $0.6 billion year-on-year reduction in severance payments.</w:t>
      </w:r>
    </w:p>
    <w:p>
      <w:pPr>
        <w:spacing w:after="0" w:line="78"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January 21, 2016, the Schlumberger Board of Directors approved a $10 billion share repurchase program for Schlumberger common stock. Schlumberger had repurchased $1.0 billion of Schlumberger common stock under this program as of December 31, 2021. Schlumberger did not repurchase any of its common stock during 2021, and repurchased $26 million of its common stock during 2020.</w:t>
      </w:r>
    </w:p>
    <w:p>
      <w:pPr>
        <w:spacing w:after="0" w:line="57"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investments (consisting of capital expenditures, APS investments and multiclient seismic data capitalized) were $1.7 billion in 2021 and $1.5 billion in 2020. Capital investments during 2022 are expected to be between $1.9 billion and $2.0 billion.</w:t>
      </w:r>
    </w:p>
    <w:p>
      <w:pPr>
        <w:spacing w:after="0" w:line="62"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During the fourth quarter of 2021, Schlumberger deposited sufficient funds with the trustee for its $1.0 billion of 2.40% Senior Notes due 2022 (including payment of the February 1, 2022 interest payment) to satisfy and discharge all of its obligations relating to such notes. As a result of this transaction, Schlumberger recorded a charge of $10 million. This charge is reflected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t>
      </w:r>
      <w:r>
        <w:rPr>
          <w:rFonts w:ascii="Arial" w:cs="Arial" w:eastAsia="Arial" w:hAnsi="Arial"/>
          <w:sz w:val="18"/>
          <w:szCs w:val="18"/>
          <w:i w:val="1"/>
          <w:iCs w:val="1"/>
          <w:color w:val="auto"/>
        </w:rPr>
        <w:t>(Loss)</w:t>
      </w:r>
      <w:r>
        <w:rPr>
          <w:rFonts w:ascii="Arial" w:cs="Arial" w:eastAsia="Arial" w:hAnsi="Arial"/>
          <w:sz w:val="18"/>
          <w:szCs w:val="18"/>
          <w:color w:val="auto"/>
        </w:rPr>
        <w:t>. See Note 3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fourth quarter of 2021 Schlumberger sold 9.5 million of its shares of Liberty and received proceeds of $109 million.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second quarter of 2021, Schlumberger repurchased all $665 million of its 3.30% Senior Notes due 2021.</w:t>
      </w:r>
    </w:p>
    <w:p>
      <w:pPr>
        <w:spacing w:after="0" w:line="117"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second quarter of 2021, Schlumberger received a federal tax refund of $477 million relating to the carryback of US net operating losses pursuant to the Coronavirus Aid, Relief and Economic Security Act.</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fourth quarter of 2020, Schlumberger repaid certain finance lease obligations totaling $188 million as a result of the OneStim transaction.</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third quarter of 2020, Schlumberger issued $500 million of 1.40% Senior Notes due 2025 and $350 million of 2.65% Senior Notes due 2030.</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second quarter of 2020, Schlumberger issued €1.0 billion of 1.375% Guaranteed Notes due 2026, $900 million of 2.650% Senior Notes due 2030 and €1.0 billion of 2.00% Guaranteed Notes due 2032.</w:t>
      </w:r>
    </w:p>
    <w:p>
      <w:pPr>
        <w:spacing w:after="0" w:line="62"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See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740" w:hanging="368"/>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the first quarter of 2020, Schlumberger issued €400 million of 0.25% Notes due 2027 and €400 million of 0.50% Notes due 2031.</w:t>
      </w:r>
    </w:p>
    <w:p>
      <w:pPr>
        <w:spacing w:after="0" w:line="128" w:lineRule="exact"/>
        <w:rPr>
          <w:rFonts w:ascii="Arial" w:cs="Arial" w:eastAsia="Arial" w:hAnsi="Arial"/>
          <w:sz w:val="17"/>
          <w:szCs w:val="17"/>
          <w:color w:val="auto"/>
        </w:rPr>
      </w:pPr>
    </w:p>
    <w:p>
      <w:pPr>
        <w:ind w:left="740" w:hanging="368"/>
        <w:spacing w:after="0" w:line="34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Schlumberger had $3.14 billion of cash and short-term investments and committed credit facility agreements with commercial banks aggregating $6.60 billion, all of which was available and unused. Schlumberger believes these amounts, along with cash generated by ongoing operations, will be sufficient to meet future business requirements for the next 12 months and beyond.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reflects the carrying amounts of Schlumberger’s debt at December 31, 2021 by year of maturity:</w:t>
      </w:r>
    </w:p>
    <w:p>
      <w:pPr>
        <w:spacing w:after="0" w:line="302" w:lineRule="exact"/>
        <w:rPr>
          <w:sz w:val="20"/>
          <w:szCs w:val="20"/>
          <w:color w:val="auto"/>
        </w:rPr>
      </w:pPr>
    </w:p>
    <w:p>
      <w:pPr>
        <w:ind w:left="1002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295275</wp:posOffset>
            </wp:positionV>
            <wp:extent cx="5417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6"/>
                <w:szCs w:val="16"/>
                <w:color w:val="auto"/>
                <w:w w:val="95"/>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6"/>
                <w:szCs w:val="16"/>
                <w:color w:val="auto"/>
                <w:w w:val="95"/>
              </w:rPr>
              <w:t>2023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Arial" w:cs="Arial" w:eastAsia="Arial" w:hAnsi="Arial"/>
                <w:sz w:val="16"/>
                <w:szCs w:val="16"/>
                <w:color w:val="auto"/>
                <w:w w:val="95"/>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7"/>
              <w:spacing w:after="0"/>
              <w:rPr>
                <w:sz w:val="20"/>
                <w:szCs w:val="20"/>
                <w:color w:val="auto"/>
              </w:rPr>
            </w:pPr>
            <w:r>
              <w:rPr>
                <w:rFonts w:ascii="Arial" w:cs="Arial" w:eastAsia="Arial" w:hAnsi="Arial"/>
                <w:sz w:val="16"/>
                <w:szCs w:val="16"/>
                <w:color w:val="auto"/>
                <w:w w:val="95"/>
              </w:rPr>
              <w:t>2027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6"/>
                <w:szCs w:val="16"/>
                <w:color w:val="auto"/>
                <w:w w:val="95"/>
              </w:rPr>
              <w:t>2028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6"/>
                <w:szCs w:val="16"/>
                <w:color w:val="auto"/>
              </w:rPr>
              <w:t>Total</w:t>
            </w:r>
          </w:p>
        </w:tc>
      </w:tr>
      <w:tr>
        <w:trPr>
          <w:trHeight w:val="226"/>
        </w:trPr>
        <w:tc>
          <w:tcPr>
            <w:tcW w:w="2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Fixed rate debt</w:t>
            </w: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3.63%</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3.70%</w:t>
            </w:r>
          </w:p>
        </w:tc>
        <w:tc>
          <w:tcPr>
            <w:tcW w:w="210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0.00%</w:t>
            </w:r>
          </w:p>
        </w:tc>
        <w:tc>
          <w:tcPr>
            <w:tcW w:w="210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1.40%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r>
      <w:tr>
        <w:trPr>
          <w:trHeight w:val="230"/>
        </w:trPr>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1.375% Guaranteed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2100" w:type="dxa"/>
            <w:vAlign w:val="bottom"/>
          </w:tcPr>
          <w:p>
            <w:pPr>
              <w:ind w:left="20"/>
              <w:spacing w:after="0"/>
              <w:rPr>
                <w:sz w:val="20"/>
                <w:szCs w:val="20"/>
                <w:color w:val="auto"/>
              </w:rPr>
            </w:pPr>
            <w:r>
              <w:rPr>
                <w:rFonts w:ascii="Arial" w:cs="Arial" w:eastAsia="Arial" w:hAnsi="Arial"/>
                <w:sz w:val="18"/>
                <w:szCs w:val="18"/>
                <w:color w:val="auto"/>
              </w:rPr>
              <w:t>Guaranteed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0.25%</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4.30%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2.00%</w:t>
            </w:r>
          </w:p>
        </w:tc>
        <w:tc>
          <w:tcPr>
            <w:tcW w:w="2100" w:type="dxa"/>
            <w:vAlign w:val="bottom"/>
          </w:tcPr>
          <w:p>
            <w:pPr>
              <w:ind w:left="20"/>
              <w:spacing w:after="0"/>
              <w:rPr>
                <w:sz w:val="20"/>
                <w:szCs w:val="20"/>
                <w:color w:val="auto"/>
              </w:rPr>
            </w:pPr>
            <w:r>
              <w:rPr>
                <w:rFonts w:ascii="Arial" w:cs="Arial" w:eastAsia="Arial" w:hAnsi="Arial"/>
                <w:sz w:val="18"/>
                <w:szCs w:val="18"/>
                <w:color w:val="auto"/>
              </w:rPr>
              <w:t>Guaranteed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7.00%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210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5.13%</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r>
      <w:tr>
        <w:trPr>
          <w:trHeight w:val="223"/>
        </w:trPr>
        <w:tc>
          <w:tcPr>
            <w:tcW w:w="2600" w:type="dxa"/>
            <w:vAlign w:val="bottom"/>
            <w:gridSpan w:val="2"/>
          </w:tcPr>
          <w:p>
            <w:pPr>
              <w:spacing w:after="0"/>
              <w:rPr>
                <w:sz w:val="20"/>
                <w:szCs w:val="20"/>
                <w:color w:val="auto"/>
              </w:rPr>
            </w:pPr>
            <w:r>
              <w:rPr>
                <w:rFonts w:ascii="Arial" w:cs="Arial" w:eastAsia="Arial" w:hAnsi="Arial"/>
                <w:sz w:val="18"/>
                <w:szCs w:val="18"/>
                <w:color w:val="auto"/>
              </w:rPr>
              <w:t>Total fixed rate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3,795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14,181</w:t>
            </w:r>
          </w:p>
        </w:tc>
        <w:tc>
          <w:tcPr>
            <w:tcW w:w="100" w:type="dxa"/>
            <w:vAlign w:val="bottom"/>
          </w:tcPr>
          <w:p>
            <w:pPr>
              <w:spacing w:after="0"/>
              <w:rPr>
                <w:sz w:val="19"/>
                <w:szCs w:val="19"/>
                <w:color w:val="auto"/>
              </w:rPr>
            </w:pPr>
          </w:p>
        </w:tc>
      </w:tr>
      <w:tr>
        <w:trPr>
          <w:trHeight w:val="230"/>
        </w:trPr>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Variable rate debt</w:t>
            </w: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tcPr>
          <w:p>
            <w:pPr>
              <w:spacing w:after="0"/>
              <w:rPr>
                <w:sz w:val="19"/>
                <w:szCs w:val="19"/>
                <w:color w:val="auto"/>
              </w:rPr>
            </w:pPr>
          </w:p>
        </w:tc>
      </w:tr>
      <w:tr>
        <w:trPr>
          <w:trHeight w:val="20"/>
        </w:trPr>
        <w:tc>
          <w:tcPr>
            <w:tcW w:w="26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7"/>
        </w:trPr>
        <w:tc>
          <w:tcPr>
            <w:tcW w:w="5200" w:type="dxa"/>
            <w:vAlign w:val="bottom"/>
            <w:gridSpan w:val="11"/>
          </w:tcPr>
          <w:p>
            <w:pPr>
              <w:spacing w:after="0"/>
              <w:rPr>
                <w:sz w:val="20"/>
                <w:szCs w:val="20"/>
                <w:color w:val="auto"/>
              </w:rPr>
            </w:pPr>
            <w:r>
              <w:rPr>
                <w:rFonts w:ascii="Arial" w:cs="Arial" w:eastAsia="Arial" w:hAnsi="Arial"/>
                <w:sz w:val="18"/>
                <w:szCs w:val="18"/>
                <w:color w:val="auto"/>
                <w:w w:val="92"/>
              </w:rPr>
              <w:t>Interest payments on fixed rate debt obligations by year are as follows: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8"/>
          </w:tcPr>
          <w:p>
            <w:pPr>
              <w:ind w:left="180"/>
              <w:spacing w:after="0"/>
              <w:rPr>
                <w:sz w:val="20"/>
                <w:szCs w:val="20"/>
                <w:color w:val="auto"/>
              </w:rPr>
            </w:pPr>
            <w:r>
              <w:rPr>
                <w:rFonts w:ascii="Arial" w:cs="Arial" w:eastAsia="Arial" w:hAnsi="Arial"/>
                <w:sz w:val="14"/>
                <w:szCs w:val="14"/>
                <w:i w:val="1"/>
                <w:iCs w:val="1"/>
                <w:color w:val="auto"/>
              </w:rPr>
              <w:t>(Stated in millions)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rPr>
              <w:t>2023</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2025</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941</w:t>
            </w:r>
          </w:p>
        </w:tc>
        <w:tc>
          <w:tcPr>
            <w:tcW w:w="80" w:type="dxa"/>
            <w:vAlign w:val="bottom"/>
            <w:tcBorders>
              <w:bottom w:val="single" w:sz="8" w:color="CFF0FC"/>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4"/>
              </w:rPr>
              <w:t>2,730</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 regarding Schlumberger’s lease obligations.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Schlumberger has outstanding letters of credit/guarantees that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Schlumberger about matters that are inherently uncertain.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large multinational company with a long history of operating in a cyclical industry, Schlumberger has extensive experience in working with its customers during difficult times to manage its accounts receivable. During weak economic environments or when there is an extended period of weakness in oil and gas prices, Schlumberger typically experiences delays in the payment of its receivables. However, except for a $469 million accounts receivable write-off during 2017 as a result of the political and economic condition in Venezuela, Schlumberger has not historically had material write-offs due to uncollectible accounts receivable. Schlumberger generates revenue in more than 120 countries. As of December 31, 2021, five of those countries individually accounted for greater than 5% of Schlumberger’s net accounts receivable balance, of which only one (the United States) accounted for greater than 10% of such receivables.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At times in recent periods, Schlumberger has experienced delays in payments from its primary customer in Mexico. Included in </w:t>
      </w:r>
      <w:r>
        <w:rPr>
          <w:rFonts w:ascii="Arial" w:cs="Arial" w:eastAsia="Arial" w:hAnsi="Arial"/>
          <w:sz w:val="17"/>
          <w:szCs w:val="17"/>
          <w:i w:val="1"/>
          <w:iCs w:val="1"/>
          <w:color w:val="auto"/>
        </w:rPr>
        <w:t>Receivables, less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Consolidated Balance Sheet </w:t>
      </w:r>
      <w:r>
        <w:rPr>
          <w:rFonts w:ascii="Arial" w:cs="Arial" w:eastAsia="Arial" w:hAnsi="Arial"/>
          <w:sz w:val="17"/>
          <w:szCs w:val="17"/>
          <w:color w:val="auto"/>
        </w:rPr>
        <w:t>as of December 30, 2021 is approximately $0.5 billion of receivables relating to</w:t>
      </w:r>
      <w:r>
        <w:rPr>
          <w:rFonts w:ascii="Arial" w:cs="Arial" w:eastAsia="Arial" w:hAnsi="Arial"/>
          <w:sz w:val="17"/>
          <w:szCs w:val="17"/>
          <w:i w:val="1"/>
          <w:iCs w:val="1"/>
          <w:color w:val="auto"/>
        </w:rPr>
        <w:t xml:space="preserve"> </w:t>
      </w:r>
      <w:r>
        <w:rPr>
          <w:rFonts w:ascii="Arial" w:cs="Arial" w:eastAsia="Arial" w:hAnsi="Arial"/>
          <w:sz w:val="17"/>
          <w:szCs w:val="17"/>
          <w:color w:val="auto"/>
        </w:rPr>
        <w:t>Mexico at December 31, 2021 ($0.7 billion at December 31, 2020). Schlumberger’s receivables from its primary customer in Mexico are not in dispute and Schlumberger has not historically had any material write-offs due to uncollectible accounts receivable relating to this customer.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Schlumberger determines it is more likely than not that the fair value of a reporting unit is greater than its carrying amount, there is no need to perform any further testing. However, if Schlumberger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has the option to bypass the qualitative assessment for any reporting unit in any period and proceed directly to performing the quantitative goodwill impairment test.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elected to perform the qualitative assessment described above for purposes of its annual goodwill impairment test in 2021. Based on this assessment, Schlumberger concluded it was more likely than not that the fair value of each of its reporting units was significantly greater than its carrying amount. Accordingly, no further testing was required.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During 2020 and 2019, Schlumberger recorded goodwill impairment charges of $3.1 billion and $8.8 billion and intangible asset impairment charges of $3.3 billion and $1.1 billion, respectively. Refer to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 regarding the facts and circumstances that led to this impairment and how the fair value of each reporting unit was estimated, including the significant assumptions used and other details.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that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judgmental and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Schlumberger will record additional tax expense or tax benefit in the period in which such resolution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Certain Long-term Construction-type Contracts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Schlumberger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6% of Schlumberger’s revenue in 2021, and 5% in each of 2020 and 2019, respectively, was recognized under this method.</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Schlumberger’s pension and postretirement benefit obligations are described in detail in Note 16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 that Schlumberger uses reflects the prevailing market rate of a portfolio of high-quality debt instruments with maturities matching the expected timing of payment of the related benefit obligations. The following summarizes the discount rates utilized by Schlumberger for its various pension and postretirement benefit plans:</w:t>
      </w:r>
    </w:p>
    <w:p>
      <w:pPr>
        <w:spacing w:after="0" w:line="76" w:lineRule="exact"/>
        <w:rPr>
          <w:sz w:val="20"/>
          <w:szCs w:val="20"/>
          <w:color w:val="auto"/>
        </w:rPr>
      </w:pPr>
    </w:p>
    <w:p>
      <w:pPr>
        <w:ind w:left="740" w:right="20" w:hanging="368"/>
        <w:spacing w:after="0" w:line="258"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discount rate utilized to determine the liability for Schlumberger’s United States pension plans and postretirement medical plan was 3.00% at December 31, 2021 and 2.60% at December 31, 2020.</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the liability for Schlumberger’s international pension plans was 2.83% at December 31, 2021 and 2.38% at December 31, 2020.</w:t>
      </w:r>
    </w:p>
    <w:p>
      <w:pPr>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discount rate utilized to determine expense for Schlumberger’s United States pension plans and postretirement medical plan was 2.60% in 2021 and 3.30% in 2020.</w:t>
      </w:r>
    </w:p>
    <w:p>
      <w:pPr>
        <w:ind w:left="740" w:hanging="368"/>
        <w:spacing w:after="0" w:line="26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international pension plans was 2.38% in 2021 and 3.27% in 2020.</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expected rate of return for Schlumberger’s retirement benefit plans represents the average rate of return expected to be earned on plan assets over the period that benefits included in the benefit obligation are expected to be paid, with consideration given to the distribution of investments by asset class and historical rates of return for each individual asset class. The average expected rate of return on plan assets for the United States pension plans was 6.60% in both 2021 and 2020. The weighted average expected rate of return on plan assets for the international pension plans was 6.73% in 2021 and 6.71% in 2020. A lower expected rate of return would increase pension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and international pension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4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Effect on</w:t>
            </w:r>
          </w:p>
        </w:tc>
        <w:tc>
          <w:tcPr>
            <w:tcW w:w="0" w:type="dxa"/>
            <w:vAlign w:val="bottom"/>
          </w:tcPr>
          <w:p>
            <w:pPr>
              <w:spacing w:after="0"/>
              <w:rPr>
                <w:sz w:val="1"/>
                <w:szCs w:val="1"/>
                <w:color w:val="auto"/>
              </w:rPr>
            </w:pPr>
          </w:p>
        </w:tc>
      </w:tr>
      <w:tr>
        <w:trPr>
          <w:trHeight w:val="229"/>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Assumption</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Effect on 2021</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 31, 2021</w:t>
            </w:r>
          </w:p>
        </w:tc>
        <w:tc>
          <w:tcPr>
            <w:tcW w:w="0" w:type="dxa"/>
            <w:vAlign w:val="bottom"/>
          </w:tcPr>
          <w:p>
            <w:pPr>
              <w:spacing w:after="0"/>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18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88"/>
              </w:rPr>
              <w:t>Pretax Expense</w:t>
            </w:r>
          </w:p>
        </w:tc>
        <w:tc>
          <w:tcPr>
            <w:tcW w:w="168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3"/>
              </w:rPr>
              <w:t>Obligation</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CFF0FC"/>
            </w:tcBorders>
          </w:tcPr>
          <w:p>
            <w:pPr>
              <w:spacing w:after="0" w:line="20" w:lineRule="exact"/>
              <w:rPr>
                <w:sz w:val="1"/>
                <w:szCs w:val="1"/>
                <w:color w:val="auto"/>
              </w:rPr>
            </w:pPr>
          </w:p>
        </w:tc>
        <w:tc>
          <w:tcPr>
            <w:tcW w:w="592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expected return on plan assets</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25 basis point increase in expected return on plan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29"/>
        </w:trPr>
        <w:tc>
          <w:tcPr>
            <w:tcW w:w="1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Effect on</w:t>
            </w:r>
          </w:p>
        </w:tc>
        <w:tc>
          <w:tcPr>
            <w:tcW w:w="0" w:type="dxa"/>
            <w:vAlign w:val="bottom"/>
          </w:tcPr>
          <w:p>
            <w:pPr>
              <w:spacing w:after="0"/>
              <w:rPr>
                <w:sz w:val="1"/>
                <w:szCs w:val="1"/>
                <w:color w:val="auto"/>
              </w:rPr>
            </w:pPr>
          </w:p>
        </w:tc>
      </w:tr>
      <w:tr>
        <w:trPr>
          <w:trHeight w:val="229"/>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Assumption</w:t>
            </w:r>
          </w:p>
        </w:tc>
        <w:tc>
          <w:tcPr>
            <w:tcW w:w="3500" w:type="dxa"/>
            <w:vAlign w:val="bottom"/>
          </w:tcPr>
          <w:p>
            <w:pPr>
              <w:spacing w:after="0"/>
              <w:rPr>
                <w:sz w:val="19"/>
                <w:szCs w:val="19"/>
                <w:color w:val="auto"/>
              </w:rPr>
            </w:pP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1"/>
              </w:rPr>
              <w:t>Effect on 2021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Dec. 31, 2021</w:t>
            </w: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3500" w:type="dxa"/>
            <w:vAlign w:val="bottom"/>
          </w:tcPr>
          <w:p>
            <w:pPr>
              <w:spacing w:after="0"/>
              <w:rPr>
                <w:sz w:val="16"/>
                <w:szCs w:val="16"/>
                <w:color w:val="auto"/>
              </w:rPr>
            </w:pPr>
          </w:p>
        </w:tc>
        <w:tc>
          <w:tcPr>
            <w:tcW w:w="1520" w:type="dxa"/>
            <w:vAlign w:val="bottom"/>
          </w:tcPr>
          <w:p>
            <w:pPr>
              <w:jc w:val="center"/>
              <w:ind w:left="70"/>
              <w:spacing w:after="0" w:line="190" w:lineRule="exact"/>
              <w:rPr>
                <w:sz w:val="20"/>
                <w:szCs w:val="20"/>
                <w:color w:val="auto"/>
              </w:rPr>
            </w:pPr>
            <w:r>
              <w:rPr>
                <w:rFonts w:ascii="Arial" w:cs="Arial" w:eastAsia="Arial" w:hAnsi="Arial"/>
                <w:sz w:val="18"/>
                <w:szCs w:val="18"/>
                <w:color w:val="auto"/>
                <w:w w:val="88"/>
              </w:rPr>
              <w:t>Pretax Expense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spacing w:after="0" w:line="190" w:lineRule="exact"/>
              <w:rPr>
                <w:sz w:val="20"/>
                <w:szCs w:val="20"/>
                <w:color w:val="auto"/>
              </w:rPr>
            </w:pPr>
            <w:r>
              <w:rPr>
                <w:rFonts w:ascii="Arial" w:cs="Arial" w:eastAsia="Arial" w:hAnsi="Arial"/>
                <w:sz w:val="18"/>
                <w:szCs w:val="18"/>
                <w:color w:val="auto"/>
                <w:w w:val="96"/>
              </w:rPr>
              <w:t>Obligation</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FF0FC"/>
            </w:tcBorders>
          </w:tcPr>
          <w:p>
            <w:pPr>
              <w:spacing w:after="0" w:line="20" w:lineRule="exact"/>
              <w:rPr>
                <w:sz w:val="1"/>
                <w:szCs w:val="1"/>
                <w:color w:val="auto"/>
              </w:rPr>
            </w:pPr>
          </w:p>
        </w:tc>
        <w:tc>
          <w:tcPr>
            <w:tcW w:w="2420" w:type="dxa"/>
            <w:vAlign w:val="bottom"/>
            <w:tcBorders>
              <w:bottom w:val="single" w:sz="8" w:color="CFF0FC"/>
            </w:tcBorders>
          </w:tcPr>
          <w:p>
            <w:pPr>
              <w:spacing w:after="0" w:line="20" w:lineRule="exact"/>
              <w:rPr>
                <w:sz w:val="1"/>
                <w:szCs w:val="1"/>
                <w:color w:val="auto"/>
              </w:rPr>
            </w:pPr>
          </w:p>
        </w:tc>
        <w:tc>
          <w:tcPr>
            <w:tcW w:w="35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35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796"/>
        </w:trPr>
        <w:tc>
          <w:tcPr>
            <w:tcW w:w="1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500" w:type="dxa"/>
            <w:vAlign w:val="bottom"/>
          </w:tcPr>
          <w:p>
            <w:pPr>
              <w:jc w:val="right"/>
              <w:ind w:right="1870"/>
              <w:spacing w:after="0"/>
              <w:rPr>
                <w:sz w:val="20"/>
                <w:szCs w:val="20"/>
                <w:color w:val="auto"/>
              </w:rPr>
            </w:pPr>
            <w:r>
              <w:rPr>
                <w:rFonts w:ascii="Arial" w:cs="Arial" w:eastAsia="Arial" w:hAnsi="Arial"/>
                <w:sz w:val="18"/>
                <w:szCs w:val="18"/>
                <w:color w:val="auto"/>
              </w:rPr>
              <w:t>28</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risks primarily associated with changes in foreign currency exchange rates.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generates revenue in more than 120 countries. Schlumberger’s functional currency is primarily the US dollar. Approximately 70% of Schlumberger’s revenue in 2021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manage the impact of changes in foreign exchange rates on its earnings. Schlumberger enters into foreign currency forward contracts to provide a hedge against currency fluctuations on certain monetary assets and liabilities, and certain expenses denominated in currencies other than the functional currency.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10% appreciation in the US dollar from the December 31, 2021 market rates would increase the unrealized value of Schlumberger’s forward contracts by $5 million. Conversely, a 10% depreciation in the US dollar from the December 31, 2021 market rates would decrease the unrealized value of Schlumberger’s forward contracts by $8 million. In either scenario, the gain or loss on the forward contract would be offset by the gain or loss on the underlying transaction, and therefore, would have no impact on future earnings.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2021, contracts were outstanding for the US dollar equivalent of $7.7 billion in various foreign currencies, of which $6.0 billion related to hedges of debt balances denominated in currencies other than the functional currency.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Form 10-K,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Schlumberger and the oil and gas industry; the business strategies of Schlumberger, including digital and “fit for basin,” as well as the strategies of Schlumberger’s customers; Schlumberger’s effective tax rate; Schlumberger’s APS projects, joint ventures, and other alliances; Schlumberger’s response to the COVID-19 pandemic and its preparedness for other widespread health emergencies;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foreign currency risk; pricing pressure; inflation;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its business strategies and initiatives, such as digital or Schlumberger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10-K and other filings that we make with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10-K are made as of January 26, 2022, and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(LOSS)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5"/>
              </w:rPr>
              <w:t>(Stated in millions, except per share amounts</w:t>
            </w:r>
            <w:r>
              <w:rPr>
                <w:rFonts w:ascii="Arial" w:cs="Arial" w:eastAsia="Arial" w:hAnsi="Arial"/>
                <w:sz w:val="14"/>
                <w:szCs w:val="14"/>
                <w:color w:val="auto"/>
                <w:w w:val="95"/>
              </w:rPr>
              <w:t>)</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15,602</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16,533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7,327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22,929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23,601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Gains on sales of businesses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Expenses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13,129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14,675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Research &amp; engineering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&amp; administrative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Impairments &amp; other</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Income (loss) before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expense (benefit)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Net income (loss)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1,928</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(10,486)</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(10,518)</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(7.57)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600" w:type="dxa"/>
            <w:vAlign w:val="bottom"/>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2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(7.57)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60"/>
              <w:spacing w:after="0"/>
              <w:rPr>
                <w:sz w:val="20"/>
                <w:szCs w:val="20"/>
                <w:color w:val="auto"/>
              </w:rPr>
            </w:pPr>
            <w:r>
              <w:rPr>
                <w:rFonts w:ascii="Arial" w:cs="Arial" w:eastAsia="Arial" w:hAnsi="Arial"/>
                <w:sz w:val="18"/>
                <w:szCs w:val="18"/>
                <w:color w:val="auto"/>
              </w:rPr>
              <w:t>Assuming dilution</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change arising during the period</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cash flow hedges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(income) loss</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Actuarial gain (loss) arising during the period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prior service (credit) cost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Impact of curtailment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Income taxes on pension and other postretirement benefit plans</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Comprehensive income (loss)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3,242</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(10,932)</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(10,964)</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4"/>
                <w:szCs w:val="14"/>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(2021 - $319; 2020 - $301)</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5,315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3,272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928</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12,654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6,429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Goodwill</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12,990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3,211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4,183</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41,511</w:t>
            </w:r>
          </w:p>
        </w:tc>
        <w:tc>
          <w:tcPr>
            <w:tcW w:w="2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8,382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payable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10,359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13,286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2,255</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26,225</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12,608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(2,233)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8,199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(3,570)</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15,004</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41,511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ind w:left="356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309"/>
        </w:trPr>
        <w:tc>
          <w:tcPr>
            <w:tcW w:w="63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rPr>
              <w:t>2020</w:t>
            </w:r>
          </w:p>
        </w:tc>
        <w:tc>
          <w:tcPr>
            <w:tcW w:w="2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2019</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900" w:type="dxa"/>
            <w:vAlign w:val="bottom"/>
            <w:gridSpan w:val="2"/>
          </w:tcPr>
          <w:p>
            <w:pPr>
              <w:jc w:val="right"/>
              <w:ind w:right="104"/>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1,928</w:t>
            </w:r>
          </w:p>
        </w:tc>
        <w:tc>
          <w:tcPr>
            <w:tcW w:w="2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(10,486)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(10,107)</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Impairments and other charges and credits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2,120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(31)</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(Increase) decrease in receivables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inventories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Decrease (increase) in other current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other assets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Increase (decrease) in accounts payable and accrued liabilities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estimated liability for taxes on income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(154)</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(Decrease) increase in other liabilities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4,651</w:t>
            </w:r>
          </w:p>
        </w:tc>
        <w:tc>
          <w:tcPr>
            <w:tcW w:w="2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(1,141)</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APS investments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(474)</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Multiclient seismic data capitalized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(39)</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proceeds from divestitures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Proceeds from sale of Liberty shares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formation of Sensia joint venture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(103)</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Sale (purchase) of short-term investments, net</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(58)</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(919)</w:t>
            </w: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(2,353)</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(699)</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(2,769)</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Stock repurchase program</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9"/>
        </w:trPr>
        <w:tc>
          <w:tcPr>
            <w:tcW w:w="6300" w:type="dxa"/>
            <w:vAlign w:val="bottom"/>
            <w:shd w:val="clear" w:color="auto" w:fill="CCF0FC"/>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640" w:type="dxa"/>
            <w:vAlign w:val="bottom"/>
            <w:shd w:val="clear" w:color="auto" w:fill="CCF0FC"/>
          </w:tcPr>
          <w:p>
            <w:pPr>
              <w:spacing w:after="0"/>
              <w:rPr>
                <w:sz w:val="19"/>
                <w:szCs w:val="19"/>
                <w:color w:val="auto"/>
              </w:rPr>
            </w:pPr>
          </w:p>
        </w:tc>
        <w:tc>
          <w:tcPr>
            <w:tcW w:w="260" w:type="dxa"/>
            <w:vAlign w:val="bottom"/>
            <w:shd w:val="clear" w:color="auto" w:fill="CCF0FC"/>
          </w:tcPr>
          <w:p>
            <w:pPr>
              <w:spacing w:after="0"/>
              <w:rPr>
                <w:sz w:val="19"/>
                <w:szCs w:val="19"/>
                <w:color w:val="auto"/>
              </w:rPr>
            </w:pPr>
          </w:p>
        </w:tc>
        <w:tc>
          <w:tcPr>
            <w:tcW w:w="940" w:type="dxa"/>
            <w:vAlign w:val="bottom"/>
            <w:shd w:val="clear" w:color="auto" w:fill="CCF0FC"/>
          </w:tcPr>
          <w:p>
            <w:pPr>
              <w:jc w:val="right"/>
              <w:spacing w:after="0"/>
              <w:rPr>
                <w:sz w:val="20"/>
                <w:szCs w:val="20"/>
                <w:color w:val="auto"/>
              </w:rPr>
            </w:pPr>
            <w:r>
              <w:rPr>
                <w:rFonts w:ascii="Arial" w:cs="Arial" w:eastAsia="Arial" w:hAnsi="Arial"/>
                <w:sz w:val="16"/>
                <w:szCs w:val="16"/>
                <w:b w:val="1"/>
                <w:bCs w:val="1"/>
                <w:color w:val="auto"/>
              </w:rPr>
              <w:t>34</w:t>
            </w:r>
          </w:p>
        </w:tc>
        <w:tc>
          <w:tcPr>
            <w:tcW w:w="260" w:type="dxa"/>
            <w:vAlign w:val="bottom"/>
            <w:shd w:val="clear" w:color="auto" w:fill="CCF0FC"/>
          </w:tcPr>
          <w:p>
            <w:pPr>
              <w:spacing w:after="0"/>
              <w:rPr>
                <w:sz w:val="19"/>
                <w:szCs w:val="19"/>
                <w:color w:val="auto"/>
              </w:rPr>
            </w:pPr>
          </w:p>
        </w:tc>
        <w:tc>
          <w:tcPr>
            <w:tcW w:w="280" w:type="dxa"/>
            <w:vAlign w:val="bottom"/>
            <w:shd w:val="clear" w:color="auto" w:fill="CCF0FC"/>
          </w:tcPr>
          <w:p>
            <w:pPr>
              <w:spacing w:after="0"/>
              <w:rPr>
                <w:sz w:val="19"/>
                <w:szCs w:val="19"/>
                <w:color w:val="auto"/>
              </w:rPr>
            </w:pPr>
          </w:p>
        </w:tc>
        <w:tc>
          <w:tcPr>
            <w:tcW w:w="960" w:type="dxa"/>
            <w:vAlign w:val="bottom"/>
            <w:shd w:val="clear" w:color="auto" w:fill="CCF0FC"/>
          </w:tcPr>
          <w:p>
            <w:pPr>
              <w:jc w:val="right"/>
              <w:spacing w:after="0"/>
              <w:rPr>
                <w:sz w:val="20"/>
                <w:szCs w:val="20"/>
                <w:color w:val="auto"/>
              </w:rPr>
            </w:pPr>
            <w:r>
              <w:rPr>
                <w:rFonts w:ascii="Arial" w:cs="Arial" w:eastAsia="Arial" w:hAnsi="Arial"/>
                <w:sz w:val="16"/>
                <w:szCs w:val="16"/>
                <w:color w:val="auto"/>
              </w:rPr>
              <w:t>5,837</w:t>
            </w:r>
          </w:p>
        </w:tc>
        <w:tc>
          <w:tcPr>
            <w:tcW w:w="240" w:type="dxa"/>
            <w:vAlign w:val="bottom"/>
            <w:shd w:val="clear" w:color="auto" w:fill="CCF0FC"/>
          </w:tcPr>
          <w:p>
            <w:pPr>
              <w:spacing w:after="0"/>
              <w:rPr>
                <w:sz w:val="19"/>
                <w:szCs w:val="19"/>
                <w:color w:val="auto"/>
              </w:rPr>
            </w:pPr>
          </w:p>
        </w:tc>
        <w:tc>
          <w:tcPr>
            <w:tcW w:w="100" w:type="dxa"/>
            <w:vAlign w:val="bottom"/>
            <w:shd w:val="clear" w:color="auto" w:fill="CCF0FC"/>
          </w:tcPr>
          <w:p>
            <w:pPr>
              <w:spacing w:after="0"/>
              <w:rPr>
                <w:sz w:val="19"/>
                <w:szCs w:val="19"/>
                <w:color w:val="auto"/>
              </w:rPr>
            </w:pPr>
          </w:p>
        </w:tc>
        <w:tc>
          <w:tcPr>
            <w:tcW w:w="1140" w:type="dxa"/>
            <w:vAlign w:val="bottom"/>
            <w:shd w:val="clear" w:color="auto" w:fill="CCF0FC"/>
          </w:tcPr>
          <w:p>
            <w:pPr>
              <w:jc w:val="right"/>
              <w:spacing w:after="0"/>
              <w:rPr>
                <w:sz w:val="20"/>
                <w:szCs w:val="20"/>
                <w:color w:val="auto"/>
              </w:rPr>
            </w:pPr>
            <w:r>
              <w:rPr>
                <w:rFonts w:ascii="Arial" w:cs="Arial" w:eastAsia="Arial" w:hAnsi="Arial"/>
                <w:sz w:val="16"/>
                <w:szCs w:val="16"/>
                <w:color w:val="auto"/>
              </w:rPr>
              <w:t>4,004</w:t>
            </w:r>
          </w:p>
        </w:tc>
        <w:tc>
          <w:tcPr>
            <w:tcW w:w="120" w:type="dxa"/>
            <w:vAlign w:val="bottom"/>
            <w:shd w:val="clear" w:color="auto" w:fill="CC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Repayment of long-term debt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(2,076)</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(4,975)</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(4,799)</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(decrease) increase in short-term borrowings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(105)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Repayment of finance lease-related obligations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(115)</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(2,824)</w:t>
            </w:r>
          </w:p>
        </w:tc>
        <w:tc>
          <w:tcPr>
            <w:tcW w:w="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(3,718)</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before translation effect</w:t>
            </w: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6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Cash, end of period</w:t>
            </w:r>
          </w:p>
        </w:tc>
        <w:tc>
          <w:tcPr>
            <w:tcW w:w="64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1,757</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50"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 and divestitures.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202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8"/>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2"/>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9"/>
              </w:rPr>
              <w:t>Interests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9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2019</w:t>
            </w:r>
          </w:p>
        </w:tc>
        <w:tc>
          <w:tcPr>
            <w:tcW w:w="7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13,132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(4,006)</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31,658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(4,622)</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36,586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(10,137)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(10,107)</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Currency translation adjustments</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Changes in fair value of cash flow hedges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and other postretirement benefit plans</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Shares sold to optionees, less shares exchanged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restricted stock</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Shares issued under employee stock purchase plan</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repurchase program</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($2.00 per share)</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(2,770)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5"/>
        </w:trPr>
        <w:tc>
          <w:tcPr>
            <w:tcW w:w="39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2019</w:t>
            </w:r>
          </w:p>
        </w:tc>
        <w:tc>
          <w:tcPr>
            <w:tcW w:w="7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13,078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18,751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(4,438)</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(10,518)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(10,486)</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Currency translation adjustments</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(239)</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Changes in fair value of cash flow hedges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and other postretirement benefit plans</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(171)</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Vesting of restricted stock</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Shares issued under employee stock purchase plan</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Stock repurchase program</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Dividends declared ($0.875 per share)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56"/>
        </w:trPr>
        <w:tc>
          <w:tcPr>
            <w:tcW w:w="3920" w:type="dxa"/>
            <w:vAlign w:val="bottom"/>
          </w:tcPr>
          <w:p>
            <w:pPr>
              <w:spacing w:after="0" w:line="155" w:lineRule="exact"/>
              <w:rPr>
                <w:sz w:val="20"/>
                <w:szCs w:val="20"/>
                <w:color w:val="auto"/>
              </w:rPr>
            </w:pPr>
            <w:r>
              <w:rPr>
                <w:rFonts w:ascii="Arial" w:cs="Arial" w:eastAsia="Arial" w:hAnsi="Arial"/>
                <w:sz w:val="14"/>
                <w:szCs w:val="14"/>
                <w:color w:val="auto"/>
              </w:rPr>
              <w:t>Balance, December 31, 2020</w:t>
            </w:r>
          </w:p>
        </w:tc>
        <w:tc>
          <w:tcPr>
            <w:tcW w:w="7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(4,884)</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Currency translation adjustments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fair value of cash flow hedges</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Pension and other postretirement benefit plans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restricted stock</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Shares issued under employee stock purchase plan</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Dividends declared ($0.50 per share)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62"/>
        </w:trPr>
        <w:tc>
          <w:tcPr>
            <w:tcW w:w="3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Deconsolidation of subsidiary</w:t>
            </w: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2"/>
        </w:trPr>
        <w:tc>
          <w:tcPr>
            <w:tcW w:w="3920" w:type="dxa"/>
            <w:vAlign w:val="bottom"/>
          </w:tcPr>
          <w:p>
            <w:pPr>
              <w:ind w:left="260"/>
              <w:spacing w:after="0"/>
              <w:rPr>
                <w:sz w:val="20"/>
                <w:szCs w:val="20"/>
                <w:color w:val="auto"/>
              </w:rPr>
            </w:pPr>
            <w:r>
              <w:rPr>
                <w:rFonts w:ascii="Arial" w:cs="Arial" w:eastAsia="Arial" w:hAnsi="Arial"/>
                <w:sz w:val="14"/>
                <w:szCs w:val="14"/>
                <w:color w:val="auto"/>
              </w:rPr>
              <w:t>Other</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55"/>
        </w:trPr>
        <w:tc>
          <w:tcPr>
            <w:tcW w:w="39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2021</w:t>
            </w:r>
          </w:p>
        </w:tc>
        <w:tc>
          <w:tcPr>
            <w:tcW w:w="7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12,608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8,199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(3,570)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15,286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4"/>
        </w:trPr>
        <w:tc>
          <w:tcPr>
            <w:tcW w:w="660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Arial" w:cs="Arial" w:eastAsia="Arial" w:hAnsi="Arial"/>
                <w:sz w:val="18"/>
                <w:szCs w:val="18"/>
                <w:b w:val="1"/>
                <w:bCs w:val="1"/>
                <w:color w:val="auto"/>
                <w:w w:val="80"/>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 Treasury</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9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9"/>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r>
      <w:tr>
        <w:trPr>
          <w:trHeight w:val="230"/>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9"/>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r>
      <w:tr>
        <w:trPr>
          <w:trHeight w:val="230"/>
        </w:trPr>
        <w:tc>
          <w:tcPr>
            <w:tcW w:w="7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2021</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52"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Limited (Schlumberger N.V., incorporated in Curaçao) and its consolidated subsidiaries (collectively, “Schlumberger”) form a technology company that partners with customers to access energy. Schlumberger provides leading digital solutions and deploys innovative technologies to enable performance and sustainability for the global energy industry. Schlumberger collaborates to create technology that unlocks access to energy for the benefit of all.</w:t>
      </w:r>
    </w:p>
    <w:p>
      <w:pPr>
        <w:spacing w:after="0" w:line="183"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have been prepared in accordance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Schlumberger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Schlumberger recognizes revenue upon the transfer of control of promised products or services to customers at an amount that reflects the consideration it expects to receive in exchange for these products or services. The vast majority of Schlumberger’s services and product offerings are short-term in nature. The time between invoicing and when payment is due under these arrangements is generally between 30 to 60 days.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is occasionally generated from contractual arrangements that include multiple performance obligations. Revenue from these arrangements is allocated to each performance obligation based on its relative standalone selling price. Standalone selling prices are generally determined based on the prices charged to customers or using expected costs plus margin.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nature of its businesses, Schlumberger does not have significant backlog. Total backlog was $2.8 billion at December 31, 2021, of which approximately 50% is expected to be recognized as revenue during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are comprised primarily of money market funds, time deposits, certificates of deposit, commercial paper, bonds and notes,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which are denominated in US dollars and are stated at cost plus accrued interest,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xml:space="preserve">, Schlumberger does not consider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to be cash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Investments in Affiliated Companies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Investments in privately held companies in which Schlumberger does not have the ability to exercise significant influence are accounted for using the cost method. Investments in publicly traded companies in which Schlumberger does not have the ability to exercise significant influence are reported at fair value, with unrealized gains and losses reported as a component of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Schlumberger’s multiclient library consists of completed and in-process seismic surveys that are licensed on a nonexclusive basis. Schlumberger capitalizes costs directly incurred in acquiring and processing the multiclient seismic data. Such costs are charged to </w:t>
      </w:r>
      <w:r>
        <w:rPr>
          <w:rFonts w:ascii="Arial" w:cs="Arial" w:eastAsia="Arial" w:hAnsi="Arial"/>
          <w:sz w:val="18"/>
          <w:szCs w:val="18"/>
          <w:i w:val="1"/>
          <w:iCs w:val="1"/>
          <w:color w:val="auto"/>
        </w:rPr>
        <w:t>Cost of services</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an individual survey generally will not carry a net book value greater than a 4-year, straight-line amortized value.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Performance Solutions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Performance Solutions (“APS”) projects are generally focused on developing and co-managing production of customers’ assets under long-term agreements. Schlumberger invests its own services and products into the field development activities and operations and is compensated on a fee-per-barrel basis or based on cash flow generated. This includes certain arrangements whereby Schlumberger is only compensated based on incremental production that it helps deliver above a mutually agreed baseline.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 capitalizes its investments in a project including the direct costs associated with providing its services or products. These capitalized investments are amortized to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assets that are exposed to concentrations of credit risk consist primarily of cash, short-term investments, receivables from clients and derivative financial instruments. Schlumberger places its cash and short-term investments with financial institutions and corporations and limits the amount of credit exposure with any one of them. Schlumberger regularly evaluates the creditworthiness of the issuers in which it invests.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Schlumberger generates revenue in more than 120 countries and as such, its accounts receivable are spread over many countries and customers. The United States represented 12% of Schlumberger’s net accounts receivable balance at December 31, 2021. No other country accounted for greater than 10% of Schlumberger’s accounts receivable balance. Schlumberger maintains an allowance for uncollectible accounts receivable based on expected collectability and performs ongoing credit evaluations of its customers’ financial condition. If the financial condition of Schlumberger’s customers were to deteriorate resulting in an impairment of their ability to make payments, adjustments to the allowance may be required.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to diluted earnings (loss) per share of Schlumberger for each of the last three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2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421"/>
        </w:trPr>
        <w:tc>
          <w:tcPr>
            <w:tcW w:w="6640" w:type="dxa"/>
            <w:vAlign w:val="bottom"/>
          </w:tcPr>
          <w:p>
            <w:pPr>
              <w:spacing w:after="0"/>
              <w:rPr>
                <w:sz w:val="24"/>
                <w:szCs w:val="2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color w:val="auto"/>
                <w:w w:val="91"/>
              </w:rPr>
              <w:t>Net Income (Loss)</w:t>
            </w: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Average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color w:val="auto"/>
                <w:w w:val="97"/>
              </w:rPr>
              <w:t>Attributable to</w:t>
            </w:r>
          </w:p>
        </w:tc>
        <w:tc>
          <w:tcPr>
            <w:tcW w:w="1320" w:type="dxa"/>
            <w:vAlign w:val="bottom"/>
          </w:tcPr>
          <w:p>
            <w:pPr>
              <w:jc w:val="center"/>
              <w:spacing w:after="0"/>
              <w:rPr>
                <w:sz w:val="20"/>
                <w:szCs w:val="20"/>
                <w:color w:val="auto"/>
              </w:rPr>
            </w:pPr>
            <w:r>
              <w:rPr>
                <w:rFonts w:ascii="Arial" w:cs="Arial" w:eastAsia="Arial" w:hAnsi="Arial"/>
                <w:sz w:val="16"/>
                <w:szCs w:val="16"/>
                <w:color w:val="auto"/>
                <w:w w:val="82"/>
              </w:rPr>
              <w:t>Shares</w:t>
            </w:r>
          </w:p>
        </w:tc>
        <w:tc>
          <w:tcPr>
            <w:tcW w:w="26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color w:val="auto"/>
              </w:rPr>
              <w:t>Earnings (Loss) per</w:t>
            </w: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color w:val="auto"/>
                <w:w w:val="92"/>
              </w:rPr>
              <w:t>Schlumberger</w:t>
            </w: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Outstanding</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Share</w:t>
            </w:r>
          </w:p>
        </w:tc>
        <w:tc>
          <w:tcPr>
            <w:tcW w:w="0" w:type="dxa"/>
            <w:vAlign w:val="bottom"/>
          </w:tcPr>
          <w:p>
            <w:pPr>
              <w:spacing w:after="0"/>
              <w:rPr>
                <w:sz w:val="1"/>
                <w:szCs w:val="1"/>
                <w:color w:val="auto"/>
              </w:rPr>
            </w:pPr>
          </w:p>
        </w:tc>
      </w:tr>
      <w:tr>
        <w:trPr>
          <w:trHeight w:val="226"/>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1,400</w:t>
            </w: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F0FC"/>
            </w:tcBorders>
            <w:shd w:val="clear" w:color="auto" w:fill="CCF0FC"/>
          </w:tcPr>
          <w:p>
            <w:pPr>
              <w:spacing w:after="0"/>
              <w:rPr>
                <w:sz w:val="20"/>
                <w:szCs w:val="20"/>
                <w:color w:val="auto"/>
              </w:rPr>
            </w:pPr>
            <w:r>
              <w:rPr>
                <w:rFonts w:ascii="Arial" w:cs="Arial" w:eastAsia="Arial" w:hAnsi="Arial"/>
                <w:sz w:val="18"/>
                <w:szCs w:val="18"/>
                <w:b w:val="1"/>
                <w:bCs w:val="1"/>
                <w:color w:val="auto"/>
              </w:rPr>
              <w:t>Assumed exercise of stock options</w:t>
            </w:r>
          </w:p>
        </w:tc>
        <w:tc>
          <w:tcPr>
            <w:tcW w:w="140" w:type="dxa"/>
            <w:vAlign w:val="bottom"/>
            <w:tcBorders>
              <w:top w:val="single" w:sz="8" w:color="CCF0FC"/>
            </w:tcBorders>
            <w:shd w:val="clear" w:color="auto" w:fill="CCF0FC"/>
          </w:tcPr>
          <w:p>
            <w:pPr>
              <w:spacing w:after="0"/>
              <w:rPr>
                <w:sz w:val="18"/>
                <w:szCs w:val="18"/>
                <w:color w:val="auto"/>
              </w:rPr>
            </w:pPr>
          </w:p>
        </w:tc>
        <w:tc>
          <w:tcPr>
            <w:tcW w:w="1180" w:type="dxa"/>
            <w:vAlign w:val="bottom"/>
            <w:tcBorders>
              <w:top w:val="single" w:sz="8" w:color="CCF0FC"/>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F0FC"/>
            </w:tcBorders>
            <w:shd w:val="clear" w:color="auto" w:fill="CCF0FC"/>
          </w:tcPr>
          <w:p>
            <w:pPr>
              <w:spacing w:after="0"/>
              <w:rPr>
                <w:sz w:val="18"/>
                <w:szCs w:val="18"/>
                <w:color w:val="auto"/>
              </w:rPr>
            </w:pPr>
          </w:p>
        </w:tc>
        <w:tc>
          <w:tcPr>
            <w:tcW w:w="1320" w:type="dxa"/>
            <w:vAlign w:val="bottom"/>
            <w:tcBorders>
              <w:top w:val="single" w:sz="8" w:color="CCF0FC"/>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F0FC"/>
            </w:tcBorders>
            <w:shd w:val="clear" w:color="auto" w:fill="CCF0FC"/>
          </w:tcPr>
          <w:p>
            <w:pPr>
              <w:spacing w:after="0"/>
              <w:rPr>
                <w:sz w:val="18"/>
                <w:szCs w:val="18"/>
                <w:color w:val="auto"/>
              </w:rPr>
            </w:pPr>
          </w:p>
        </w:tc>
        <w:tc>
          <w:tcPr>
            <w:tcW w:w="280" w:type="dxa"/>
            <w:vAlign w:val="bottom"/>
            <w:tcBorders>
              <w:top w:val="single" w:sz="8" w:color="auto"/>
            </w:tcBorders>
            <w:shd w:val="clear" w:color="auto" w:fill="CCF0FC"/>
          </w:tcPr>
          <w:p>
            <w:pPr>
              <w:spacing w:after="0"/>
              <w:rPr>
                <w:sz w:val="18"/>
                <w:szCs w:val="18"/>
                <w:color w:val="auto"/>
              </w:rPr>
            </w:pPr>
          </w:p>
        </w:tc>
        <w:tc>
          <w:tcPr>
            <w:tcW w:w="1040" w:type="dxa"/>
            <w:vAlign w:val="bottom"/>
            <w:tcBorders>
              <w:top w:val="single" w:sz="8" w:color="auto"/>
            </w:tcBorders>
            <w:shd w:val="clear" w:color="auto" w:fill="CCF0FC"/>
          </w:tcPr>
          <w:p>
            <w:pPr>
              <w:spacing w:after="0"/>
              <w:rPr>
                <w:sz w:val="18"/>
                <w:szCs w:val="18"/>
                <w:color w:val="auto"/>
              </w:rPr>
            </w:pPr>
          </w:p>
        </w:tc>
        <w:tc>
          <w:tcPr>
            <w:tcW w:w="120" w:type="dxa"/>
            <w:vAlign w:val="bottom"/>
            <w:tcBorders>
              <w:top w:val="single" w:sz="8" w:color="CCF0FC"/>
            </w:tcBorders>
            <w:shd w:val="clear" w:color="auto" w:fill="CC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CF0FC"/>
            </w:tcBorders>
          </w:tcPr>
          <w:p>
            <w:pPr>
              <w:spacing w:after="0"/>
              <w:rPr>
                <w:sz w:val="20"/>
                <w:szCs w:val="20"/>
                <w:color w:val="auto"/>
              </w:rPr>
            </w:pPr>
            <w:r>
              <w:rPr>
                <w:rFonts w:ascii="Arial" w:cs="Arial" w:eastAsia="Arial" w:hAnsi="Arial"/>
                <w:sz w:val="18"/>
                <w:szCs w:val="18"/>
                <w:b w:val="1"/>
                <w:bCs w:val="1"/>
                <w:color w:val="auto"/>
              </w:rPr>
              <w:t>Unvested restricted stock</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60" w:type="dxa"/>
            <w:vAlign w:val="bottom"/>
            <w:tcBorders>
              <w:bottom w:val="single" w:sz="8" w:color="CCF0FC"/>
            </w:tcBorders>
          </w:tcPr>
          <w:p>
            <w:pPr>
              <w:spacing w:after="0"/>
              <w:rPr>
                <w:sz w:val="19"/>
                <w:szCs w:val="19"/>
                <w:color w:val="auto"/>
              </w:rPr>
            </w:pPr>
          </w:p>
        </w:tc>
        <w:tc>
          <w:tcPr>
            <w:tcW w:w="280" w:type="dxa"/>
            <w:vAlign w:val="bottom"/>
            <w:tcBorders>
              <w:bottom w:val="single" w:sz="8" w:color="CCF0FC"/>
            </w:tcBorders>
          </w:tcPr>
          <w:p>
            <w:pPr>
              <w:spacing w:after="0"/>
              <w:rPr>
                <w:sz w:val="19"/>
                <w:szCs w:val="19"/>
                <w:color w:val="auto"/>
              </w:rPr>
            </w:pPr>
          </w:p>
        </w:tc>
        <w:tc>
          <w:tcPr>
            <w:tcW w:w="1040" w:type="dxa"/>
            <w:vAlign w:val="bottom"/>
            <w:tcBorders>
              <w:bottom w:val="single" w:sz="8" w:color="CCF0FC"/>
            </w:tcBorders>
          </w:tcPr>
          <w:p>
            <w:pPr>
              <w:spacing w:after="0"/>
              <w:rPr>
                <w:sz w:val="19"/>
                <w:szCs w:val="19"/>
                <w:color w:val="auto"/>
              </w:rPr>
            </w:pPr>
          </w:p>
        </w:tc>
        <w:tc>
          <w:tcPr>
            <w:tcW w:w="120" w:type="dxa"/>
            <w:vAlign w:val="bottom"/>
            <w:tcBorders>
              <w:bottom w:val="single" w:sz="8" w:color="CC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F0FC"/>
          </w:tcPr>
          <w:p>
            <w:pPr>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1,881</w:t>
            </w:r>
          </w:p>
        </w:tc>
        <w:tc>
          <w:tcPr>
            <w:tcW w:w="260" w:type="dxa"/>
            <w:vAlign w:val="bottom"/>
            <w:shd w:val="clear" w:color="auto" w:fill="CCF0FC"/>
          </w:tcPr>
          <w:p>
            <w:pPr>
              <w:spacing w:after="0"/>
              <w:rPr>
                <w:sz w:val="19"/>
                <w:szCs w:val="19"/>
                <w:color w:val="auto"/>
              </w:rPr>
            </w:pPr>
          </w:p>
        </w:tc>
        <w:tc>
          <w:tcPr>
            <w:tcW w:w="132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1,427</w:t>
            </w:r>
          </w:p>
        </w:tc>
        <w:tc>
          <w:tcPr>
            <w:tcW w:w="540" w:type="dxa"/>
            <w:vAlign w:val="bottom"/>
            <w:gridSpan w:val="2"/>
            <w:shd w:val="clear" w:color="auto" w:fill="CCF0FC"/>
          </w:tcPr>
          <w:p>
            <w:pPr>
              <w:ind w:left="2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shd w:val="clear" w:color="auto" w:fill="CC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F0FC"/>
              <w:bottom w:val="single" w:sz="8" w:color="CCF0FC"/>
            </w:tcBorders>
            <w:vMerge w:val="restart"/>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(10,518)</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Assumed exercise of stock options</w:t>
            </w:r>
          </w:p>
        </w:tc>
        <w:tc>
          <w:tcPr>
            <w:tcW w:w="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(10,518)</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1,390</w:t>
            </w: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(7.57)</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64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(10,137)</w:t>
            </w:r>
          </w:p>
        </w:tc>
        <w:tc>
          <w:tcPr>
            <w:tcW w:w="1320" w:type="dxa"/>
            <w:vAlign w:val="bottom"/>
          </w:tcPr>
          <w:p>
            <w:pPr>
              <w:jc w:val="right"/>
              <w:spacing w:after="0"/>
              <w:rPr>
                <w:sz w:val="20"/>
                <w:szCs w:val="20"/>
                <w:color w:val="auto"/>
              </w:rPr>
            </w:pPr>
            <w:r>
              <w:rPr>
                <w:rFonts w:ascii="Arial" w:cs="Arial" w:eastAsia="Arial" w:hAnsi="Arial"/>
                <w:sz w:val="18"/>
                <w:szCs w:val="18"/>
                <w:color w:val="auto"/>
              </w:rPr>
              <w:t>1,385</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outstanding employee stock options to purchase shares of Schlumberger common stock and unvested restricted stock units that were not included in the computation of diluted earnings/loss per share, because to do so would have had an anti-dilutive effect,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240" w:type="dxa"/>
            <w:vAlign w:val="bottom"/>
            <w:tcBorders>
              <w:bottom w:val="single" w:sz="8" w:color="CCF0FC"/>
            </w:tcBorders>
          </w:tcPr>
          <w:p>
            <w:pPr>
              <w:spacing w:after="0"/>
              <w:rPr>
                <w:sz w:val="24"/>
                <w:szCs w:val="24"/>
                <w:color w:val="auto"/>
              </w:rPr>
            </w:pPr>
          </w:p>
        </w:tc>
        <w:tc>
          <w:tcPr>
            <w:tcW w:w="1580" w:type="dxa"/>
            <w:vAlign w:val="bottom"/>
            <w:tcBorders>
              <w:bottom w:val="single" w:sz="8" w:color="CCF0FC"/>
            </w:tcBorders>
          </w:tcPr>
          <w:p>
            <w:pPr>
              <w:spacing w:after="0"/>
              <w:rPr>
                <w:sz w:val="24"/>
                <w:szCs w:val="24"/>
                <w:color w:val="auto"/>
              </w:rPr>
            </w:pPr>
          </w:p>
        </w:tc>
        <w:tc>
          <w:tcPr>
            <w:tcW w:w="4780" w:type="dxa"/>
            <w:vAlign w:val="bottom"/>
            <w:tcBorders>
              <w:bottom w:val="single" w:sz="8" w:color="CCF0FC"/>
            </w:tcBorders>
          </w:tcPr>
          <w:p>
            <w:pPr>
              <w:spacing w:after="0"/>
              <w:rPr>
                <w:sz w:val="24"/>
                <w:szCs w:val="24"/>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CC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F0FC"/>
            </w:tcBorders>
          </w:tcPr>
          <w:p>
            <w:pPr>
              <w:spacing w:after="0"/>
              <w:rPr>
                <w:sz w:val="24"/>
                <w:szCs w:val="24"/>
                <w:color w:val="auto"/>
              </w:rPr>
            </w:pPr>
          </w:p>
        </w:tc>
      </w:tr>
      <w:tr>
        <w:trPr>
          <w:trHeight w:val="223"/>
        </w:trPr>
        <w:tc>
          <w:tcPr>
            <w:tcW w:w="6600" w:type="dxa"/>
            <w:vAlign w:val="bottom"/>
            <w:gridSpan w:val="3"/>
            <w:shd w:val="clear" w:color="auto" w:fill="CCF0FC"/>
          </w:tcPr>
          <w:p>
            <w:pPr>
              <w:spacing w:after="0"/>
              <w:rPr>
                <w:sz w:val="20"/>
                <w:szCs w:val="20"/>
                <w:color w:val="auto"/>
              </w:rPr>
            </w:pPr>
            <w:r>
              <w:rPr>
                <w:rFonts w:ascii="Arial" w:cs="Arial" w:eastAsia="Arial" w:hAnsi="Arial"/>
                <w:sz w:val="18"/>
                <w:szCs w:val="18"/>
                <w:color w:val="auto"/>
              </w:rPr>
              <w:t>Employee stock options</w:t>
            </w:r>
          </w:p>
        </w:tc>
        <w:tc>
          <w:tcPr>
            <w:tcW w:w="980" w:type="dxa"/>
            <w:vAlign w:val="bottom"/>
            <w:shd w:val="clear" w:color="auto" w:fill="CCF0FC"/>
          </w:tcPr>
          <w:p>
            <w:pPr>
              <w:spacing w:after="0"/>
              <w:rPr>
                <w:sz w:val="19"/>
                <w:szCs w:val="19"/>
                <w:color w:val="auto"/>
              </w:rPr>
            </w:pPr>
          </w:p>
        </w:tc>
        <w:tc>
          <w:tcPr>
            <w:tcW w:w="36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42</w:t>
            </w:r>
          </w:p>
        </w:tc>
        <w:tc>
          <w:tcPr>
            <w:tcW w:w="24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19"/>
                <w:szCs w:val="19"/>
                <w:color w:val="auto"/>
              </w:rPr>
            </w:pPr>
          </w:p>
        </w:tc>
        <w:tc>
          <w:tcPr>
            <w:tcW w:w="1040" w:type="dxa"/>
            <w:vAlign w:val="bottom"/>
            <w:shd w:val="clear" w:color="auto" w:fill="CC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F0FC"/>
          </w:tcPr>
          <w:p>
            <w:pPr>
              <w:spacing w:after="0"/>
              <w:rPr>
                <w:sz w:val="19"/>
                <w:szCs w:val="19"/>
                <w:color w:val="auto"/>
              </w:rPr>
            </w:pPr>
          </w:p>
        </w:tc>
        <w:tc>
          <w:tcPr>
            <w:tcW w:w="160" w:type="dxa"/>
            <w:vAlign w:val="bottom"/>
            <w:shd w:val="clear" w:color="auto" w:fill="CCF0FC"/>
          </w:tcPr>
          <w:p>
            <w:pPr>
              <w:spacing w:after="0"/>
              <w:rPr>
                <w:sz w:val="19"/>
                <w:szCs w:val="19"/>
                <w:color w:val="auto"/>
              </w:rPr>
            </w:pPr>
          </w:p>
        </w:tc>
        <w:tc>
          <w:tcPr>
            <w:tcW w:w="1200" w:type="dxa"/>
            <w:vAlign w:val="bottom"/>
            <w:shd w:val="clear" w:color="auto" w:fill="CC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F0FC"/>
          </w:tcPr>
          <w:p>
            <w:pPr>
              <w:spacing w:after="0"/>
              <w:rPr>
                <w:sz w:val="19"/>
                <w:szCs w:val="19"/>
                <w:color w:val="auto"/>
              </w:rPr>
            </w:pPr>
          </w:p>
        </w:tc>
      </w:tr>
      <w:tr>
        <w:trPr>
          <w:trHeight w:val="234"/>
        </w:trPr>
        <w:tc>
          <w:tcPr>
            <w:tcW w:w="660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522"/>
        </w:trPr>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3. Charges and Credits</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4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600" w:type="dxa"/>
            <w:vAlign w:val="bottom"/>
            <w:gridSpan w:val="3"/>
          </w:tcPr>
          <w:p>
            <w:pPr>
              <w:spacing w:after="0"/>
              <w:rPr>
                <w:sz w:val="20"/>
                <w:szCs w:val="20"/>
                <w:color w:val="auto"/>
              </w:rPr>
            </w:pPr>
            <w:r>
              <w:rPr>
                <w:rFonts w:ascii="Arial" w:cs="Arial" w:eastAsia="Arial" w:hAnsi="Arial"/>
                <w:sz w:val="18"/>
                <w:szCs w:val="18"/>
                <w:color w:val="auto"/>
              </w:rPr>
              <w:t>Schlumberger recorded the following charges and credits during 2021:</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Pretax</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i w:val="1"/>
                <w:iCs w:val="1"/>
                <w:color w:val="auto"/>
              </w:rPr>
              <w:t>Third quarter:</w:t>
            </w:r>
          </w:p>
        </w:tc>
        <w:tc>
          <w:tcPr>
            <w:tcW w:w="9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6360" w:type="dxa"/>
            <w:vAlign w:val="bottom"/>
            <w:gridSpan w:val="2"/>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980" w:type="dxa"/>
            <w:vAlign w:val="bottom"/>
          </w:tcPr>
          <w:p>
            <w:pPr>
              <w:jc w:val="right"/>
              <w:ind w:right="818"/>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6600" w:type="dxa"/>
            <w:vAlign w:val="bottom"/>
            <w:gridSpan w:val="3"/>
            <w:shd w:val="clear" w:color="auto" w:fill="CFF0FC"/>
          </w:tcPr>
          <w:p>
            <w:pPr>
              <w:spacing w:after="0"/>
              <w:rPr>
                <w:sz w:val="20"/>
                <w:szCs w:val="20"/>
                <w:color w:val="auto"/>
              </w:rPr>
            </w:pPr>
            <w:r>
              <w:rPr>
                <w:rFonts w:ascii="Arial" w:cs="Arial" w:eastAsia="Arial" w:hAnsi="Arial"/>
                <w:sz w:val="18"/>
                <w:szCs w:val="18"/>
                <w:i w:val="1"/>
                <w:iCs w:val="1"/>
                <w:color w:val="auto"/>
              </w:rPr>
              <w:t>Fourth quarter:</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60" w:type="dxa"/>
            <w:vAlign w:val="bottom"/>
            <w:gridSpan w:val="2"/>
          </w:tcPr>
          <w:p>
            <w:pPr>
              <w:ind w:left="20"/>
              <w:spacing w:after="0"/>
              <w:rPr>
                <w:sz w:val="20"/>
                <w:szCs w:val="20"/>
                <w:color w:val="auto"/>
              </w:rPr>
            </w:pPr>
            <w:r>
              <w:rPr>
                <w:rFonts w:ascii="Arial" w:cs="Arial" w:eastAsia="Arial" w:hAnsi="Arial"/>
                <w:sz w:val="18"/>
                <w:szCs w:val="18"/>
                <w:color w:val="auto"/>
              </w:rPr>
              <w:t>Gain on sale of Liberty shares</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240" w:type="dxa"/>
            <w:vAlign w:val="bottom"/>
            <w:shd w:val="clear" w:color="auto" w:fill="CFF0FC"/>
          </w:tcPr>
          <w:p>
            <w:pPr>
              <w:spacing w:after="0"/>
              <w:rPr>
                <w:sz w:val="19"/>
                <w:szCs w:val="19"/>
                <w:color w:val="auto"/>
              </w:rPr>
            </w:pPr>
          </w:p>
        </w:tc>
        <w:tc>
          <w:tcPr>
            <w:tcW w:w="6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Early repayment of bonds</w:t>
            </w:r>
          </w:p>
        </w:tc>
        <w:tc>
          <w:tcPr>
            <w:tcW w:w="9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980" w:type="dxa"/>
            <w:vAlign w:val="bottom"/>
            <w:tcBorders>
              <w:bottom w:val="single" w:sz="8" w:color="auto"/>
            </w:tcBorders>
          </w:tcPr>
          <w:p>
            <w:pPr>
              <w:jc w:val="right"/>
              <w:ind w:right="81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2021:</w:t>
      </w:r>
    </w:p>
    <w:p>
      <w:pPr>
        <w:spacing w:after="0" w:line="117" w:lineRule="exact"/>
        <w:rPr>
          <w:sz w:val="20"/>
          <w:szCs w:val="20"/>
          <w:color w:val="auto"/>
        </w:rPr>
      </w:pPr>
    </w:p>
    <w:p>
      <w:pPr>
        <w:jc w:val="both"/>
        <w:ind w:left="740" w:hanging="368"/>
        <w:spacing w:after="0" w:line="263"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third quarter of 2021, a start-up company that Schlumberger previously invested in was acquired. As a result of this transaction, Schlumberger’s ownership interest was converted into shares of a publicly traded company. Schlumberger recognized an unrealized pretax gain of $47 million to increase the carrying value of this investment to its estimated fair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left="740"/>
        <w:spacing w:after="0"/>
        <w:rPr>
          <w:sz w:val="20"/>
          <w:szCs w:val="20"/>
          <w:color w:val="auto"/>
        </w:rPr>
      </w:pPr>
      <w:r>
        <w:rPr>
          <w:rFonts w:ascii="Arial" w:cs="Arial" w:eastAsia="Arial" w:hAnsi="Arial"/>
          <w:sz w:val="16"/>
          <w:szCs w:val="16"/>
          <w:color w:val="auto"/>
        </w:rPr>
        <w:t xml:space="preserve">value of approximately $55 million. This unrealized gain is reflected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2021:</w:t>
      </w:r>
    </w:p>
    <w:p>
      <w:pPr>
        <w:spacing w:after="0" w:line="117" w:lineRule="exact"/>
        <w:rPr>
          <w:sz w:val="20"/>
          <w:szCs w:val="20"/>
          <w:color w:val="auto"/>
        </w:rPr>
      </w:pPr>
    </w:p>
    <w:p>
      <w:pPr>
        <w:jc w:val="both"/>
        <w:ind w:left="740" w:hanging="368"/>
        <w:spacing w:after="0" w:line="25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On December 31, 2020, Schlumberger contributed its onshore hydraulic fracturing business in the United States and Canada (“OneStim”), including its pressure pumping, pumpdown perforating and Permian frac sand business to Liberty Oilfield Services Inc. (“Liberty”) in exchange for a 37% equity interest in Liberty. During the fourth quarter of 2021, Schlumberger sold 9.5 million of its shares of Liberty and received proceeds of $109 million. As a result of this transaction Schlumberger recognized a gain of $28 million. This gain is classified in </w:t>
      </w:r>
      <w:r>
        <w:rPr>
          <w:rFonts w:ascii="Arial" w:cs="Arial" w:eastAsia="Arial" w:hAnsi="Arial"/>
          <w:sz w:val="18"/>
          <w:szCs w:val="18"/>
          <w:i w:val="1"/>
          <w:iCs w:val="1"/>
          <w:color w:val="auto"/>
        </w:rPr>
        <w:t>Interest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760"/>
        <w:spacing w:after="0" w:line="286" w:lineRule="auto"/>
        <w:rPr>
          <w:rFonts w:ascii="Arial" w:cs="Arial" w:eastAsia="Arial" w:hAnsi="Arial"/>
          <w:sz w:val="18"/>
          <w:szCs w:val="18"/>
          <w:color w:val="auto"/>
        </w:rPr>
      </w:pPr>
      <w:r>
        <w:rPr>
          <w:rFonts w:ascii="Arial" w:cs="Arial" w:eastAsia="Arial" w:hAnsi="Arial"/>
          <w:sz w:val="17"/>
          <w:szCs w:val="17"/>
          <w:color w:val="auto"/>
        </w:rPr>
        <w:t>As of December 31, 2021, Schlumberger had a 31% equity interest in Liberty. Based on the quoted market prices of Liberty’s shares, the fair value of Schlumberger’s investment in Liberty was approximately $550 million as of December 31, 2021. Schlumberger accounts for its investment in Liberty under the equity method of accounting and records its share of Liberty’s net income or loss on a one-quarter lag.</w:t>
      </w:r>
    </w:p>
    <w:p>
      <w:pPr>
        <w:spacing w:after="0" w:line="165" w:lineRule="exact"/>
        <w:rPr>
          <w:rFonts w:ascii="Arial" w:cs="Arial" w:eastAsia="Arial" w:hAnsi="Arial"/>
          <w:sz w:val="18"/>
          <w:szCs w:val="18"/>
          <w:color w:val="auto"/>
        </w:rPr>
      </w:pPr>
    </w:p>
    <w:p>
      <w:pPr>
        <w:jc w:val="both"/>
        <w:ind w:left="740" w:hanging="368"/>
        <w:spacing w:after="0" w:line="311"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November 30, 2021, Schlumberger deposited sufficient funds with the trustee for its $1.0 billion of 2.40% Senior Notes due 2022 (including payment of the February 1, 2022 interest payment) to satisfy and discharge all of its obligations relating to such notes. As a result of this transaction, Schlumberger recorded a charge of $10 million. This charge is reflected in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2020</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recorded the following charges and credits during 2020, all of which, unless otherwise noted, are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674"/>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impairments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pressure pumping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Third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exit charges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OneStim</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w:t>
      </w:r>
    </w:p>
    <w:p>
      <w:pPr>
        <w:spacing w:after="0" w:line="131" w:lineRule="exact"/>
        <w:rPr>
          <w:sz w:val="20"/>
          <w:szCs w:val="20"/>
          <w:color w:val="auto"/>
        </w:rPr>
      </w:pPr>
    </w:p>
    <w:p>
      <w:pPr>
        <w:jc w:val="both"/>
        <w:ind w:left="740" w:hanging="368"/>
        <w:spacing w:after="0" w:line="293"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(“OSX”), which is comprised of companies involved in the oil services sector, reached an all-time low. As a result of these facts, Schlumberger determined that it was more likely than not that the fair value of certain of its reporting units was less than their carrying value. Therefore, Schlumberger performed an interim goodwill impairment test.</w:t>
      </w:r>
    </w:p>
    <w:p>
      <w:pPr>
        <w:spacing w:after="0" w:line="164" w:lineRule="exact"/>
        <w:rPr>
          <w:rFonts w:ascii="Arial" w:cs="Arial" w:eastAsia="Arial" w:hAnsi="Arial"/>
          <w:sz w:val="16"/>
          <w:szCs w:val="16"/>
          <w:color w:val="auto"/>
        </w:rPr>
      </w:pPr>
    </w:p>
    <w:p>
      <w:pPr>
        <w:jc w:val="both"/>
        <w:ind w:left="760"/>
        <w:spacing w:after="0" w:line="257" w:lineRule="auto"/>
        <w:rPr>
          <w:rFonts w:ascii="Arial" w:cs="Arial" w:eastAsia="Arial" w:hAnsi="Arial"/>
          <w:sz w:val="16"/>
          <w:szCs w:val="16"/>
          <w:color w:val="auto"/>
        </w:rPr>
      </w:pPr>
      <w:r>
        <w:rPr>
          <w:rFonts w:ascii="Arial" w:cs="Arial" w:eastAsia="Arial" w:hAnsi="Arial"/>
          <w:sz w:val="18"/>
          <w:szCs w:val="18"/>
          <w:color w:val="auto"/>
        </w:rPr>
        <w:t>Schlumberger had 11 reporting units with goodwill balances aggregating $16.0 billion. Schlumberger determined that the fair value of four of its reporting units, representing $4.5 billion of goodwill, was substantially in excess of their carrying value. Schlumberger performed a detailed quantitative impairment assessment of the remaining seven reporting units, which represented $11.5 billion of goodwill. As a result of this assessment, Schlumberger concluded that the goodwill associated with each of these seven reporting units was impaired, resulting in a $3.1 billion goodwill impairment charge.</w:t>
      </w:r>
    </w:p>
    <w:p>
      <w:pPr>
        <w:spacing w:after="0" w:line="228" w:lineRule="exact"/>
        <w:rPr>
          <w:rFonts w:ascii="Arial" w:cs="Arial" w:eastAsia="Arial" w:hAnsi="Arial"/>
          <w:sz w:val="16"/>
          <w:szCs w:val="16"/>
          <w:color w:val="auto"/>
        </w:rPr>
      </w:pPr>
    </w:p>
    <w:p>
      <w:pPr>
        <w:ind w:left="760"/>
        <w:spacing w:after="0" w:line="342" w:lineRule="auto"/>
        <w:rPr>
          <w:rFonts w:ascii="Arial" w:cs="Arial" w:eastAsia="Arial" w:hAnsi="Arial"/>
          <w:sz w:val="16"/>
          <w:szCs w:val="16"/>
          <w:color w:val="auto"/>
        </w:rPr>
      </w:pPr>
      <w:r>
        <w:rPr>
          <w:rFonts w:ascii="Arial" w:cs="Arial" w:eastAsia="Arial" w:hAnsi="Arial"/>
          <w:sz w:val="16"/>
          <w:szCs w:val="16"/>
          <w:color w:val="auto"/>
        </w:rPr>
        <w:t>Following the $3.1 billion goodwill impairment charge relating to these seven reporting units, six of these reporting units had a remaining goodwill balance. These goodwill balances ranged between $0.2 billion and $5.0 billion and aggregated to $8.4 billion as of March 31, 2020.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jc w:val="both"/>
        <w:ind w:left="760"/>
        <w:spacing w:after="0" w:line="275" w:lineRule="auto"/>
        <w:rPr>
          <w:sz w:val="20"/>
          <w:szCs w:val="20"/>
          <w:color w:val="auto"/>
        </w:rPr>
      </w:pPr>
      <w:r>
        <w:rPr>
          <w:rFonts w:ascii="Arial" w:cs="Arial" w:eastAsia="Arial" w:hAnsi="Arial"/>
          <w:sz w:val="17"/>
          <w:szCs w:val="17"/>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203"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a volatile market, actual results may differ from those used in Schlumberger’s valuations which could result in additional impairment charges in the future.</w:t>
      </w:r>
    </w:p>
    <w:p>
      <w:pPr>
        <w:spacing w:after="0" w:line="23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92" w:lineRule="exact"/>
        <w:rPr>
          <w:sz w:val="20"/>
          <w:szCs w:val="20"/>
          <w:color w:val="auto"/>
        </w:rPr>
      </w:pPr>
    </w:p>
    <w:p>
      <w:pPr>
        <w:jc w:val="both"/>
        <w:ind w:left="740" w:hanging="368"/>
        <w:spacing w:after="0" w:line="287"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negative market indicators described above were triggering events that indicated that certain of Schlumberger’s long-lived intangible and tangible assets may have been impaired. Recoverability testing indicated that certain long-lived assets were impaired. The estimated fair value of these assets was determined to be below their carrying value. As a result, Schlumberger recorded the following impairment charges:</w:t>
      </w:r>
    </w:p>
    <w:p>
      <w:pPr>
        <w:spacing w:after="0" w:line="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$3.3 billion relating to intangible assets, of which $2.2 billion relates to Schlumberger’s 2016 acquisition of Cameron International Corporation and $1.1 billion relates to Schlumberger’s 2010 acquisition of Smith International, Inc. Following this impairment charge, the carrying value of the impaired intangible assets was approximately $0.9 billion.</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$1.3 billion relating to the carrying value of certain APS projects in North America.</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$0.6 billion of fixed assets associated with the pressure pumping business in North America.</w:t>
      </w:r>
    </w:p>
    <w:p>
      <w:pPr>
        <w:spacing w:after="0" w:line="11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$202 million of severance.</w:t>
      </w:r>
    </w:p>
    <w:p>
      <w:pPr>
        <w:spacing w:after="0" w:line="130"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$79 million of other restructuring charges, primarily consisting of the impairment of an equity method investment that was determined to be other-than-temporarily impaired.</w:t>
      </w:r>
    </w:p>
    <w:p>
      <w:pPr>
        <w:spacing w:after="0" w:line="197"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$164 million relating to a valuation allowance against certain deferred tax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2020:</w:t>
      </w:r>
    </w:p>
    <w:p>
      <w:pPr>
        <w:spacing w:after="0" w:line="131" w:lineRule="exact"/>
        <w:rPr>
          <w:sz w:val="20"/>
          <w:szCs w:val="20"/>
          <w:color w:val="auto"/>
        </w:rPr>
      </w:pPr>
    </w:p>
    <w:p>
      <w:pPr>
        <w:jc w:val="both"/>
        <w:ind w:left="740" w:hanging="368"/>
        <w:spacing w:after="0" w:line="252"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decades. Schlumberger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Schlumberger had assets that would no longer be utilized. As a consequence of these circumstances and decisions, Schlumberger recorded the following restructuring and asset impairment charges:</w:t>
      </w:r>
    </w:p>
    <w:p>
      <w:pPr>
        <w:spacing w:after="0" w:line="5"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$1.021 billion of severance associated with reducing its workforce by more than 21,000 employees.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$730 million relating to the carrying value of certain APS projects in Latin America.</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$666 million of fixed asset impairments primarily relating to equipment that would no longer be utilized and facilities it exited.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$603 million write-down of the carrying value of inventory to its net realizable value.</w:t>
      </w:r>
    </w:p>
    <w:p>
      <w:pPr>
        <w:spacing w:after="0" w:line="9" w:lineRule="exact"/>
        <w:rPr>
          <w:rFonts w:ascii="Arial" w:cs="Arial" w:eastAsia="Arial" w:hAnsi="Arial"/>
          <w:sz w:val="18"/>
          <w:szCs w:val="18"/>
          <w:color w:val="auto"/>
        </w:rPr>
      </w:pPr>
    </w:p>
    <w:p>
      <w:pPr>
        <w:ind w:left="1120" w:hanging="370"/>
        <w:spacing w:after="0" w:line="250"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$311 million write-down of right-of-use assets under operating leases associated with leased facilities Schlumberger exited and excess equipment.</w:t>
      </w: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$205 million of costs associated with exiting certain activities.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$156 million impairment of certain multiclient seismic data.</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$60 million of other costs, including a $42 million increase in the allowance for the doubtful accounts.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1" w:name="page42"/>
    <w:bookmarkEnd w:id="41"/>
    <w:p>
      <w:pPr>
        <w:ind w:left="7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Schlumberger repurchased all $600 million of its 4.20% Senior Notes due 2021 and $935 million of its 3.30% Senior Notes due 2021. Schlumberger paid a premium of $40 million in connection with these repurchases.</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As a consequence of the workforce reductions described above, Schlumberger recorded a curtailment gain of $69 million relating to its US postretirement medical plan. See Note 16 – </w:t>
      </w:r>
      <w:r>
        <w:rPr>
          <w:rFonts w:ascii="Arial" w:cs="Arial" w:eastAsia="Arial" w:hAnsi="Arial"/>
          <w:sz w:val="18"/>
          <w:szCs w:val="18"/>
          <w:i w:val="1"/>
          <w:iCs w:val="1"/>
          <w:color w:val="auto"/>
        </w:rPr>
        <w:t>Pension and Other Postretirement Benefit Plans</w:t>
      </w:r>
      <w:r>
        <w:rPr>
          <w:rFonts w:ascii="Arial" w:cs="Arial" w:eastAsia="Arial" w:hAnsi="Arial"/>
          <w:sz w:val="18"/>
          <w:szCs w:val="18"/>
          <w:color w:val="auto"/>
        </w:rPr>
        <w:t xml:space="preserve">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2020:</w:t>
      </w:r>
    </w:p>
    <w:p>
      <w:pPr>
        <w:spacing w:after="0" w:line="131"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Schlumberger recorded the following restructuring charges:</w:t>
      </w:r>
    </w:p>
    <w:p>
      <w:pPr>
        <w:spacing w:after="0" w:line="23" w:lineRule="exact"/>
        <w:rPr>
          <w:rFonts w:ascii="Arial" w:cs="Arial" w:eastAsia="Arial" w:hAnsi="Arial"/>
          <w:sz w:val="18"/>
          <w:szCs w:val="18"/>
          <w:color w:val="auto"/>
        </w:rPr>
      </w:pPr>
    </w:p>
    <w:p>
      <w:pPr>
        <w:ind w:left="1120" w:hanging="370"/>
        <w:spacing w:after="0" w:line="250" w:lineRule="auto"/>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$254 million of facility exit charges as Schlumberger continued to rationalize its real estate footprint relating to both leased and owned facilities.</w:t>
      </w:r>
    </w:p>
    <w:p>
      <w:pPr>
        <w:ind w:left="1120" w:hanging="370"/>
        <w:spacing w:after="0"/>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$63 million of severance.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$33 million of other charges.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2020:</w:t>
      </w:r>
    </w:p>
    <w:p>
      <w:pPr>
        <w:spacing w:after="0" w:line="117" w:lineRule="exact"/>
        <w:rPr>
          <w:sz w:val="20"/>
          <w:szCs w:val="20"/>
          <w:color w:val="auto"/>
        </w:rPr>
      </w:pPr>
    </w:p>
    <w:p>
      <w:pPr>
        <w:jc w:val="both"/>
        <w:ind w:left="740" w:hanging="368"/>
        <w:spacing w:after="0" w:line="263"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On December 31, 2020, Schlumberger contributed its OneStim business to Liberty in exchange for a 37% equity interest in Liberty. As a result of this transaction, Schlumberger recognized a gain of $104 million. This gain is classified in </w:t>
      </w:r>
      <w:r>
        <w:rPr>
          <w:rFonts w:ascii="Arial" w:cs="Arial" w:eastAsia="Arial" w:hAnsi="Arial"/>
          <w:sz w:val="18"/>
          <w:szCs w:val="18"/>
          <w:i w:val="1"/>
          <w:iCs w:val="1"/>
          <w:color w:val="auto"/>
        </w:rPr>
        <w:t>Gains on sales of businesses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 (Loss)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During the fourth quarter of 2020, a start-up company that Schlumberger previously invested in completed an initial public offering. As a result, Schlumberger recognized an unrealized gain of $39 million to increase the carrying value of this investment to its fair value of approximately $43 million. This unrealized gain is reflected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Schlumberger sold its interest in this company during 2021.</w:t>
      </w:r>
    </w:p>
    <w:p>
      <w:pPr>
        <w:spacing w:after="0" w:line="92"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fourth quarter of 2020, Schlumberger entered into an agreement to purchase new software licenses. This transaction rendered certain previously purchased licenses obsolete. As a result, Schlumberger wrote off the remaining $62 million of net book value associated with the obsolete software licenses.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recorded the following charges and credits during 2019, all of which are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w:t>
      </w:r>
      <w:r>
        <w:rPr>
          <w:rFonts w:ascii="Arial" w:cs="Arial" w:eastAsia="Arial" w:hAnsi="Arial"/>
          <w:sz w:val="18"/>
          <w:szCs w:val="18"/>
          <w:color w:val="auto"/>
        </w:rPr>
        <w:t>, except for the gain on the formation of the Sensia joint venture: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4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Third quarter:</w:t>
            </w:r>
          </w:p>
        </w:tc>
        <w:tc>
          <w:tcPr>
            <w:tcW w:w="2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2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8,828</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impairment</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North America pressure pumping</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North America-related</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60"/>
              <w:spacing w:after="0"/>
              <w:rPr>
                <w:sz w:val="20"/>
                <w:szCs w:val="20"/>
                <w:color w:val="auto"/>
              </w:rPr>
            </w:pPr>
            <w:r>
              <w:rPr>
                <w:rFonts w:ascii="Arial" w:cs="Arial" w:eastAsia="Arial" w:hAnsi="Arial"/>
                <w:sz w:val="18"/>
                <w:szCs w:val="18"/>
                <w:color w:val="auto"/>
              </w:rPr>
              <w:t>Argentina</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investments</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restructuring</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Other restructuring</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reductions</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Pension settlement accounting</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Gain on formation of Sensia joint venture</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19"/>
                <w:szCs w:val="19"/>
                <w:color w:val="auto"/>
              </w:rPr>
            </w:pP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0" w:type="dxa"/>
            <w:vAlign w:val="bottom"/>
            <w:vMerge w:val="restart"/>
          </w:tcPr>
          <w:p>
            <w:pPr>
              <w:jc w:val="right"/>
              <w:ind w:right="79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Third quarter of 2019:</w:t>
      </w:r>
    </w:p>
    <w:p>
      <w:pPr>
        <w:spacing w:after="0" w:line="117" w:lineRule="exact"/>
        <w:rPr>
          <w:sz w:val="20"/>
          <w:szCs w:val="20"/>
          <w:color w:val="auto"/>
        </w:rPr>
      </w:pPr>
    </w:p>
    <w:p>
      <w:pPr>
        <w:ind w:left="740" w:right="2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August 2019, Schlumberger’s market capitalization deteriorated significantly compared to the end of the second quarter of 2019. Schlumberger’s stock price reached a low not seen since 2005. Additionally, the OSX reached an 18-year low.</w:t>
      </w:r>
    </w:p>
    <w:p>
      <w:pPr>
        <w:spacing w:after="0" w:line="170" w:lineRule="exact"/>
        <w:rPr>
          <w:rFonts w:ascii="Arial" w:cs="Arial" w:eastAsia="Arial" w:hAnsi="Arial"/>
          <w:sz w:val="18"/>
          <w:szCs w:val="18"/>
          <w:color w:val="auto"/>
        </w:rPr>
      </w:pPr>
    </w:p>
    <w:p>
      <w:pPr>
        <w:ind w:left="760"/>
        <w:spacing w:after="0" w:line="277" w:lineRule="auto"/>
        <w:rPr>
          <w:rFonts w:ascii="Arial" w:cs="Arial" w:eastAsia="Arial" w:hAnsi="Arial"/>
          <w:sz w:val="18"/>
          <w:szCs w:val="18"/>
          <w:color w:val="auto"/>
        </w:rPr>
      </w:pPr>
      <w:r>
        <w:rPr>
          <w:rFonts w:ascii="Arial" w:cs="Arial" w:eastAsia="Arial" w:hAnsi="Arial"/>
          <w:sz w:val="18"/>
          <w:szCs w:val="18"/>
          <w:color w:val="auto"/>
        </w:rPr>
        <w:t>As a result of these facts, Schlumberger determined that it was more likely than not that the fair value of certain of its reporting units was less than their carrying value. Therefore, Schlumberger performed an interim goodwill impairment test as of August 31, 2019.</w:t>
      </w:r>
    </w:p>
    <w:p>
      <w:pPr>
        <w:spacing w:after="0" w:line="170" w:lineRule="exact"/>
        <w:rPr>
          <w:rFonts w:ascii="Arial" w:cs="Arial" w:eastAsia="Arial" w:hAnsi="Arial"/>
          <w:sz w:val="18"/>
          <w:szCs w:val="18"/>
          <w:color w:val="auto"/>
        </w:rPr>
      </w:pPr>
    </w:p>
    <w:p>
      <w:pPr>
        <w:jc w:val="both"/>
        <w:ind w:left="760"/>
        <w:spacing w:after="0" w:line="257" w:lineRule="auto"/>
        <w:rPr>
          <w:rFonts w:ascii="Arial" w:cs="Arial" w:eastAsia="Arial" w:hAnsi="Arial"/>
          <w:sz w:val="18"/>
          <w:szCs w:val="18"/>
          <w:color w:val="auto"/>
        </w:rPr>
      </w:pPr>
      <w:r>
        <w:rPr>
          <w:rFonts w:ascii="Arial" w:cs="Arial" w:eastAsia="Arial" w:hAnsi="Arial"/>
          <w:sz w:val="18"/>
          <w:szCs w:val="18"/>
          <w:color w:val="auto"/>
        </w:rPr>
        <w:t>As of August 31, 2019, Schlumberger had 17 reporting units with goodwill balances aggregating $25.0 billion. Schlumberger determined that the fair value of seven of its reporting units, representing approximately $13.8 billion of the goodwill, was substantially in excess of their carrying value. Schlumberger performed a detailed quantitative impairment assessment of the remaining 10 reporting units, which represented $11.2 billion of goodwill. As a result of this assessment, Schlumberger concluded that the goodwill associated with nine of the 10 reporting units was impaired, resulting in an $8.8 billion goodwill impairment charge.</w:t>
      </w:r>
    </w:p>
    <w:p>
      <w:pPr>
        <w:spacing w:after="0" w:line="187" w:lineRule="exact"/>
        <w:rPr>
          <w:rFonts w:ascii="Arial" w:cs="Arial" w:eastAsia="Arial" w:hAnsi="Arial"/>
          <w:sz w:val="18"/>
          <w:szCs w:val="18"/>
          <w:color w:val="auto"/>
        </w:rPr>
      </w:pPr>
    </w:p>
    <w:p>
      <w:pPr>
        <w:jc w:val="both"/>
        <w:ind w:left="760"/>
        <w:spacing w:after="0" w:line="275" w:lineRule="auto"/>
        <w:rPr>
          <w:rFonts w:ascii="Arial" w:cs="Arial" w:eastAsia="Arial" w:hAnsi="Arial"/>
          <w:sz w:val="18"/>
          <w:szCs w:val="18"/>
          <w:color w:val="auto"/>
        </w:rPr>
      </w:pPr>
      <w:r>
        <w:rPr>
          <w:rFonts w:ascii="Arial" w:cs="Arial" w:eastAsia="Arial" w:hAnsi="Arial"/>
          <w:sz w:val="17"/>
          <w:szCs w:val="17"/>
          <w:color w:val="auto"/>
        </w:rPr>
        <w:t>Schlumberger primarily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76" w:lineRule="exact"/>
        <w:rPr>
          <w:rFonts w:ascii="Arial" w:cs="Arial" w:eastAsia="Arial" w:hAnsi="Arial"/>
          <w:sz w:val="18"/>
          <w:szCs w:val="18"/>
          <w:color w:val="auto"/>
        </w:rPr>
      </w:pPr>
    </w:p>
    <w:p>
      <w:pPr>
        <w:jc w:val="both"/>
        <w:ind w:left="760"/>
        <w:spacing w:after="0" w:line="259" w:lineRule="auto"/>
        <w:rPr>
          <w:rFonts w:ascii="Arial" w:cs="Arial" w:eastAsia="Arial" w:hAnsi="Arial"/>
          <w:sz w:val="18"/>
          <w:szCs w:val="18"/>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w:t>
      </w:r>
    </w:p>
    <w:p>
      <w:pPr>
        <w:spacing w:after="0" w:line="186" w:lineRule="exact"/>
        <w:rPr>
          <w:rFonts w:ascii="Arial" w:cs="Arial" w:eastAsia="Arial" w:hAnsi="Arial"/>
          <w:sz w:val="18"/>
          <w:szCs w:val="18"/>
          <w:color w:val="auto"/>
        </w:rPr>
      </w:pPr>
    </w:p>
    <w:p>
      <w:pPr>
        <w:jc w:val="both"/>
        <w:ind w:left="760"/>
        <w:spacing w:after="0" w:line="255" w:lineRule="auto"/>
        <w:rPr>
          <w:rFonts w:ascii="Arial" w:cs="Arial" w:eastAsia="Arial" w:hAnsi="Arial"/>
          <w:sz w:val="18"/>
          <w:szCs w:val="18"/>
          <w:color w:val="auto"/>
        </w:rPr>
      </w:pPr>
      <w:r>
        <w:rPr>
          <w:rFonts w:ascii="Arial" w:cs="Arial" w:eastAsia="Arial" w:hAnsi="Arial"/>
          <w:sz w:val="18"/>
          <w:szCs w:val="18"/>
          <w:color w:val="auto"/>
        </w:rPr>
        <w:t>The discount rates utilized to value Schlumberger’s reporting units were between 12.5% and 14.0%, depending on the risks and uncertainty inherent in the respective reporting unit. Assuming all other assumptions and inputs used in each of the respective discounted cash flow analysis were held constant, a 50 basis point increase in the discount rate assumption would have increased the goodwill impairment charge by approximately $0.3 billion. Conversely, assuming all other assumptions and inputs used in each of the respective discounted cash flow analysis were held constant, a 50 basis point decrease in the discount rate assumption would have decreased the goodwill impairment charge by approximately $0.4 billion.</w:t>
      </w:r>
    </w:p>
    <w:p>
      <w:pPr>
        <w:spacing w:after="0" w:line="84" w:lineRule="exact"/>
        <w:rPr>
          <w:rFonts w:ascii="Arial" w:cs="Arial" w:eastAsia="Arial" w:hAnsi="Arial"/>
          <w:sz w:val="18"/>
          <w:szCs w:val="18"/>
          <w:color w:val="auto"/>
        </w:rPr>
      </w:pPr>
    </w:p>
    <w:p>
      <w:pPr>
        <w:jc w:val="both"/>
        <w:ind w:left="740" w:hanging="368"/>
        <w:spacing w:after="0" w:line="311" w:lineRule="auto"/>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negative market indicators described above combined with deteriorating market conditions in North America, as well as the results of the previously mentioned fair value determinations of certain of Schlumberger’s reporting units and the appointment of a new Chief Executive Officer, were all triggering events that indicated that certain of Schlumberger’s long-lived tangible and intangible assets may be impaired.</w:t>
      </w:r>
    </w:p>
    <w:p>
      <w:pPr>
        <w:spacing w:after="0" w:line="148" w:lineRule="exact"/>
        <w:rPr>
          <w:rFonts w:ascii="Arial" w:cs="Arial" w:eastAsia="Arial" w:hAnsi="Arial"/>
          <w:sz w:val="16"/>
          <w:szCs w:val="16"/>
          <w:color w:val="auto"/>
        </w:rPr>
      </w:pPr>
    </w:p>
    <w:p>
      <w:pPr>
        <w:jc w:val="both"/>
        <w:ind w:left="760"/>
        <w:spacing w:after="0" w:line="255" w:lineRule="auto"/>
        <w:rPr>
          <w:rFonts w:ascii="Arial" w:cs="Arial" w:eastAsia="Arial" w:hAnsi="Arial"/>
          <w:sz w:val="16"/>
          <w:szCs w:val="16"/>
          <w:color w:val="auto"/>
        </w:rPr>
      </w:pPr>
      <w:r>
        <w:rPr>
          <w:rFonts w:ascii="Arial" w:cs="Arial" w:eastAsia="Arial" w:hAnsi="Arial"/>
          <w:sz w:val="18"/>
          <w:szCs w:val="18"/>
          <w:color w:val="auto"/>
        </w:rPr>
        <w:t>Recoverability testing, which was performed as of August 31, 2019, indicated that long-lived assets associated with certain asset groups were impaired. The estimated fair value of these asset groups was determined to be below their carrying value. As a result, Schlumberger recorded the following impairment and related charges:</w:t>
      </w:r>
    </w:p>
    <w:p>
      <w:pPr>
        <w:spacing w:after="0" w:line="2" w:lineRule="exact"/>
        <w:rPr>
          <w:rFonts w:ascii="Arial" w:cs="Arial" w:eastAsia="Arial" w:hAnsi="Arial"/>
          <w:sz w:val="16"/>
          <w:szCs w:val="16"/>
          <w:color w:val="auto"/>
        </w:rPr>
      </w:pPr>
    </w:p>
    <w:p>
      <w:pPr>
        <w:ind w:left="1500" w:hanging="372"/>
        <w:spacing w:after="0" w:line="250"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$1.085 billion of intangible assets, of which $842 million relates to Schlumberger’s 2010 acquisition of Smith International, Inc. The remaining $243 million primarily relates to other acquisitions in North America.</w:t>
      </w:r>
    </w:p>
    <w:p>
      <w:pPr>
        <w:jc w:val="both"/>
        <w:ind w:left="1500" w:hanging="372"/>
        <w:spacing w:after="0" w:line="250"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$1.575 billion of charges relating to Schlumberger’s pressure pumping business in North America. This amount consists of $1.324 billion of pressure pumping equipment and related assets; $98 million of right-of-use assets under operating leases; $121 million relating to a supply contract; $19 million of inventory; and $13 million of severance.</w:t>
      </w:r>
    </w:p>
    <w:p>
      <w:pPr>
        <w:spacing w:after="0" w:line="1" w:lineRule="exact"/>
        <w:rPr>
          <w:rFonts w:ascii="Arial" w:cs="Arial" w:eastAsia="Arial" w:hAnsi="Arial"/>
          <w:sz w:val="18"/>
          <w:szCs w:val="18"/>
          <w:color w:val="auto"/>
        </w:rPr>
      </w:pPr>
    </w:p>
    <w:p>
      <w:pPr>
        <w:ind w:left="1500" w:hanging="372"/>
        <w:spacing w:after="0" w:line="260"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$310 million of charges primarily relating to other businesses in North America, consisting of $230 million of fixed asset impairments, $70 million of inventory write-downs and $10 million of severance.</w:t>
      </w:r>
    </w:p>
    <w:p>
      <w:pPr>
        <w:spacing w:after="0" w:line="9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 result of the economic challenges in Argentina, Schlumberger recorded $127 million of charges consisting of $72 million of asset impairments, a $26 million devaluation charge and $29 million of severance.</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Schlumberger recorded the following impairment and restructuring charges:</w:t>
      </w:r>
    </w:p>
    <w:p>
      <w:pPr>
        <w:spacing w:after="0" w:line="23" w:lineRule="exact"/>
        <w:rPr>
          <w:rFonts w:ascii="Arial" w:cs="Arial" w:eastAsia="Arial" w:hAnsi="Arial"/>
          <w:sz w:val="18"/>
          <w:szCs w:val="18"/>
          <w:color w:val="auto"/>
        </w:rPr>
      </w:pPr>
    </w:p>
    <w:p>
      <w:pPr>
        <w:ind w:left="1500" w:hanging="372"/>
        <w:spacing w:after="0"/>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$231 million relating to certain equity method investments that were determined to be other-than-temporarily impaired.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ind w:left="1500" w:hanging="372"/>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$294 million impairment relating to the carrying value of certain smaller APS projects.</w:t>
      </w:r>
    </w:p>
    <w:p>
      <w:pPr>
        <w:spacing w:after="0" w:line="23" w:lineRule="exact"/>
        <w:rPr>
          <w:rFonts w:ascii="Arial" w:cs="Arial" w:eastAsia="Arial" w:hAnsi="Arial"/>
          <w:sz w:val="18"/>
          <w:szCs w:val="18"/>
          <w:color w:val="auto"/>
        </w:rPr>
      </w:pPr>
    </w:p>
    <w:p>
      <w:pPr>
        <w:jc w:val="both"/>
        <w:ind w:left="1500" w:hanging="372"/>
        <w:spacing w:after="0" w:line="255"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$242 million of restructuring charges consisting of: $62 million of severance; $57 million relating to the acceleration of stock-based compensation expense associated with certain individuals; $49 million of business divestiture costs; $29 million relating to the repurchase of certain Senior Notes; and $45 million of other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2019:</w:t>
      </w:r>
    </w:p>
    <w:p>
      <w:pPr>
        <w:spacing w:after="0" w:line="117" w:lineRule="exact"/>
        <w:rPr>
          <w:sz w:val="20"/>
          <w:szCs w:val="20"/>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Schlumberger recorded the following restructuring charges:</w:t>
      </w:r>
    </w:p>
    <w:p>
      <w:pPr>
        <w:spacing w:after="0" w:line="23" w:lineRule="exact"/>
        <w:rPr>
          <w:rFonts w:ascii="Arial" w:cs="Arial" w:eastAsia="Arial" w:hAnsi="Arial"/>
          <w:sz w:val="18"/>
          <w:szCs w:val="18"/>
          <w:color w:val="auto"/>
        </w:rPr>
      </w:pPr>
    </w:p>
    <w:p>
      <w:pPr>
        <w:ind w:left="1500" w:hanging="372"/>
        <w:spacing w:after="0" w:line="265" w:lineRule="auto"/>
        <w:tabs>
          <w:tab w:leader="none" w:pos="1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$225 million associated with facility closures and costs to exit certain activities in North America. These charges included $123 million relating to fixed assets; $55 million of right-of-use assets under operating leases; and $47 million of other exit costs.</w:t>
      </w:r>
    </w:p>
    <w:p>
      <w:pPr>
        <w:ind w:left="1500" w:hanging="372"/>
        <w:spacing w:after="0" w:line="250"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$104 million primarily relating to restructuring certain activities outside of North America, which included $68 million associated with assets to be divested and $36 million of facility closure costs.</w:t>
      </w:r>
    </w:p>
    <w:p>
      <w:pPr>
        <w:ind w:left="1500" w:hanging="372"/>
        <w:spacing w:after="0"/>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$68 million of severance associated with streamlining its operations and exiting certain activities.</w:t>
      </w:r>
    </w:p>
    <w:p>
      <w:pPr>
        <w:spacing w:after="0" w:line="116"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Certain of Schlumberger’s defined benefit pension plans offered former Schlumberger employees, who had not yet commenced receiving their pension benefits, an opportunity to receive a lump sum payout of their vested pension benefit which resulted in Schlumberger recording a pension settlement charge of $37 million. See Note 16 – </w:t>
      </w:r>
      <w:r>
        <w:rPr>
          <w:rFonts w:ascii="Arial" w:cs="Arial" w:eastAsia="Arial" w:hAnsi="Arial"/>
          <w:sz w:val="17"/>
          <w:szCs w:val="17"/>
          <w:i w:val="1"/>
          <w:iCs w:val="1"/>
          <w:color w:val="auto"/>
        </w:rPr>
        <w:t>Pension and Other Postretirement Benefit Plans</w:t>
      </w:r>
      <w:r>
        <w:rPr>
          <w:rFonts w:ascii="Arial" w:cs="Arial" w:eastAsia="Arial" w:hAnsi="Arial"/>
          <w:sz w:val="17"/>
          <w:szCs w:val="17"/>
          <w:color w:val="auto"/>
        </w:rPr>
        <w:t xml:space="preserve"> for further details.</w:t>
      </w:r>
    </w:p>
    <w:p>
      <w:pPr>
        <w:spacing w:after="0" w:line="70" w:lineRule="exact"/>
        <w:rPr>
          <w:rFonts w:ascii="Arial" w:cs="Arial" w:eastAsia="Arial" w:hAnsi="Arial"/>
          <w:sz w:val="17"/>
          <w:szCs w:val="17"/>
          <w:color w:val="auto"/>
        </w:rPr>
      </w:pPr>
    </w:p>
    <w:p>
      <w:pPr>
        <w:jc w:val="both"/>
        <w:ind w:left="740" w:hanging="368"/>
        <w:spacing w:after="0" w:line="263"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Schlumberger repurchased the remaining $416 million of its 3.00% Senior Notes due 2020; $126 million of its 4.50% Senior Notes due 2021; $500 million of its 4.20% Senior Notes due 2021; and $106 million of its 3.60% Senior Notes due 2022. These transactions resulted in a $22 million charge.</w:t>
      </w:r>
    </w:p>
    <w:p>
      <w:pPr>
        <w:spacing w:after="0" w:line="89" w:lineRule="exact"/>
        <w:rPr>
          <w:rFonts w:ascii="Arial" w:cs="Arial" w:eastAsia="Arial" w:hAnsi="Arial"/>
          <w:sz w:val="18"/>
          <w:szCs w:val="18"/>
          <w:color w:val="auto"/>
        </w:rPr>
      </w:pPr>
    </w:p>
    <w:p>
      <w:pPr>
        <w:jc w:val="both"/>
        <w:ind w:left="740" w:hanging="368"/>
        <w:spacing w:after="0" w:line="25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On October 1, 2019, Schlumberger and Rockwell completed the formation of Sensia, a joint venture that is the oil and gas industry’s first digitally enabled integrated automation solutions provider. Rockwell Automation owns 53% of the joint venture and Schlumberger owns 47%. In connection with this transaction, Schlumberger received a cash payment of $238 million. Schlumberger will account for its investment under the equity method of accounting. Schlumberger recorded a $247 million gain as a result of the deconsolidation of certain of its businesses in connection with the formation of the joint venture. This gain, which is equal to the sum of the $238 million of cash proceeds received and the fair value of Schlumberger’s retained noncontrolling investment in the businesses it contributed less the carrying amount of the assets and liabilities of such businesses at the time of the closing, is classified as </w:t>
      </w:r>
      <w:r>
        <w:rPr>
          <w:rFonts w:ascii="Arial" w:cs="Arial" w:eastAsia="Arial" w:hAnsi="Arial"/>
          <w:sz w:val="18"/>
          <w:szCs w:val="18"/>
          <w:i w:val="1"/>
          <w:iCs w:val="1"/>
          <w:color w:val="auto"/>
        </w:rPr>
        <w:t>Gains on sale of businesses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t>
      </w:r>
      <w:r>
        <w:rPr>
          <w:rFonts w:ascii="Arial" w:cs="Arial" w:eastAsia="Arial" w:hAnsi="Arial"/>
          <w:sz w:val="18"/>
          <w:szCs w:val="18"/>
          <w:i w:val="1"/>
          <w:iCs w:val="1"/>
          <w:color w:val="auto"/>
        </w:rPr>
        <w:t>(Loss)</w:t>
      </w:r>
      <w:r>
        <w:rPr>
          <w:rFonts w:ascii="Arial" w:cs="Arial" w:eastAsia="Arial" w:hAnsi="Arial"/>
          <w:sz w:val="18"/>
          <w:szCs w:val="18"/>
          <w:color w:val="auto"/>
        </w:rPr>
        <w:t>.</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certain of the assets impaired during 2020 and 2019 was estimated based on the present value of projected future cash flows that the underlying assets are expected to generate. Such estimates included unobservable inputs that required significant judgment.</w:t>
      </w:r>
    </w:p>
    <w:p>
      <w:pPr>
        <w:spacing w:after="0" w:line="166"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which are stated at the lower of average cost or net realizable value,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3920" w:type="dxa"/>
            <w:vAlign w:val="bottom"/>
          </w:tcPr>
          <w:p>
            <w:pPr>
              <w:spacing w:after="0"/>
              <w:rPr>
                <w:sz w:val="24"/>
                <w:szCs w:val="24"/>
                <w:color w:val="auto"/>
              </w:rPr>
            </w:pPr>
          </w:p>
        </w:tc>
        <w:tc>
          <w:tcPr>
            <w:tcW w:w="4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33"/>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37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1,594</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Work in progress</w:t>
            </w:r>
          </w:p>
        </w:tc>
        <w:tc>
          <w:tcPr>
            <w:tcW w:w="3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7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3,272</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60" w:type="dxa"/>
            <w:vAlign w:val="bottom"/>
            <w:vMerge w:val="restart"/>
          </w:tcPr>
          <w:p>
            <w:pPr>
              <w:jc w:val="right"/>
              <w:ind w:right="1870"/>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left="180" w:hanging="172"/>
        <w:spacing w:after="0"/>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Fixed assets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000" w:type="dxa"/>
            <w:vAlign w:val="bottom"/>
            <w:tcBorders>
              <w:bottom w:val="single" w:sz="8" w:color="CCF0FC"/>
            </w:tcBorders>
          </w:tcPr>
          <w:p>
            <w:pPr>
              <w:spacing w:after="0"/>
              <w:rPr>
                <w:sz w:val="24"/>
                <w:szCs w:val="24"/>
                <w:color w:val="auto"/>
              </w:rPr>
            </w:pPr>
          </w:p>
        </w:tc>
        <w:tc>
          <w:tcPr>
            <w:tcW w:w="2680" w:type="dxa"/>
            <w:vAlign w:val="bottom"/>
            <w:tcBorders>
              <w:bottom w:val="single" w:sz="8" w:color="CC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F0FC"/>
            </w:tcBorders>
          </w:tcPr>
          <w:p>
            <w:pPr>
              <w:spacing w:after="0"/>
              <w:rPr>
                <w:sz w:val="24"/>
                <w:szCs w:val="24"/>
                <w:color w:val="auto"/>
              </w:rPr>
            </w:pPr>
          </w:p>
        </w:tc>
        <w:tc>
          <w:tcPr>
            <w:tcW w:w="20" w:type="dxa"/>
            <w:vAlign w:val="bottom"/>
            <w:tcBorders>
              <w:bottom w:val="single" w:sz="8" w:color="CC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F0FC"/>
            </w:tcBorders>
          </w:tcPr>
          <w:p>
            <w:pPr>
              <w:spacing w:after="0"/>
              <w:rPr>
                <w:sz w:val="24"/>
                <w:szCs w:val="24"/>
                <w:color w:val="auto"/>
              </w:rPr>
            </w:pPr>
          </w:p>
        </w:tc>
      </w:tr>
      <w:tr>
        <w:trPr>
          <w:trHeight w:val="223"/>
        </w:trPr>
        <w:tc>
          <w:tcPr>
            <w:tcW w:w="5000" w:type="dxa"/>
            <w:vAlign w:val="bottom"/>
            <w:shd w:val="clear" w:color="auto" w:fill="CCF0FC"/>
          </w:tcPr>
          <w:p>
            <w:pPr>
              <w:spacing w:after="0"/>
              <w:rPr>
                <w:sz w:val="20"/>
                <w:szCs w:val="20"/>
                <w:color w:val="auto"/>
              </w:rPr>
            </w:pPr>
            <w:r>
              <w:rPr>
                <w:rFonts w:ascii="Arial" w:cs="Arial" w:eastAsia="Arial" w:hAnsi="Arial"/>
                <w:sz w:val="18"/>
                <w:szCs w:val="18"/>
                <w:color w:val="auto"/>
              </w:rPr>
              <w:t>Land</w:t>
            </w:r>
          </w:p>
        </w:tc>
        <w:tc>
          <w:tcPr>
            <w:tcW w:w="2680" w:type="dxa"/>
            <w:vAlign w:val="bottom"/>
            <w:shd w:val="clear" w:color="auto" w:fill="CCF0FC"/>
          </w:tcPr>
          <w:p>
            <w:pPr>
              <w:spacing w:after="0"/>
              <w:rPr>
                <w:sz w:val="19"/>
                <w:szCs w:val="19"/>
                <w:color w:val="auto"/>
              </w:rPr>
            </w:pPr>
          </w:p>
        </w:tc>
        <w:tc>
          <w:tcPr>
            <w:tcW w:w="360" w:type="dxa"/>
            <w:vAlign w:val="bottom"/>
            <w:shd w:val="clear" w:color="auto" w:fill="CC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372</w:t>
            </w:r>
          </w:p>
        </w:tc>
        <w:tc>
          <w:tcPr>
            <w:tcW w:w="30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240" w:type="dxa"/>
            <w:vAlign w:val="bottom"/>
            <w:shd w:val="clear" w:color="auto" w:fill="CC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F0FC"/>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9"/>
                <w:szCs w:val="19"/>
                <w:color w:val="auto"/>
              </w:rPr>
            </w:pPr>
          </w:p>
        </w:tc>
      </w:tr>
      <w:tr>
        <w:trPr>
          <w:trHeight w:val="229"/>
        </w:trPr>
        <w:tc>
          <w:tcPr>
            <w:tcW w:w="5000" w:type="dxa"/>
            <w:vAlign w:val="bottom"/>
            <w:shd w:val="clear" w:color="auto" w:fill="CCF0FC"/>
          </w:tcPr>
          <w:p>
            <w:pPr>
              <w:spacing w:after="0"/>
              <w:rPr>
                <w:sz w:val="20"/>
                <w:szCs w:val="20"/>
                <w:color w:val="auto"/>
              </w:rPr>
            </w:pPr>
            <w:r>
              <w:rPr>
                <w:rFonts w:ascii="Arial" w:cs="Arial" w:eastAsia="Arial" w:hAnsi="Arial"/>
                <w:sz w:val="18"/>
                <w:szCs w:val="18"/>
                <w:color w:val="auto"/>
              </w:rPr>
              <w:t>Machinery &amp; equipment</w:t>
            </w:r>
          </w:p>
        </w:tc>
        <w:tc>
          <w:tcPr>
            <w:tcW w:w="2680" w:type="dxa"/>
            <w:vAlign w:val="bottom"/>
            <w:shd w:val="clear" w:color="auto" w:fill="CCF0FC"/>
          </w:tcPr>
          <w:p>
            <w:pPr>
              <w:spacing w:after="0"/>
              <w:rPr>
                <w:sz w:val="19"/>
                <w:szCs w:val="19"/>
                <w:color w:val="auto"/>
              </w:rPr>
            </w:pPr>
          </w:p>
        </w:tc>
        <w:tc>
          <w:tcPr>
            <w:tcW w:w="360" w:type="dxa"/>
            <w:vAlign w:val="bottom"/>
            <w:tcBorders>
              <w:bottom w:val="single" w:sz="8" w:color="auto"/>
            </w:tcBorders>
            <w:shd w:val="clear" w:color="auto" w:fill="CCF0FC"/>
          </w:tcPr>
          <w:p>
            <w:pPr>
              <w:spacing w:after="0"/>
              <w:rPr>
                <w:sz w:val="19"/>
                <w:szCs w:val="19"/>
                <w:color w:val="auto"/>
              </w:rPr>
            </w:pPr>
          </w:p>
        </w:tc>
        <w:tc>
          <w:tcPr>
            <w:tcW w:w="12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24,334</w:t>
            </w:r>
          </w:p>
        </w:tc>
        <w:tc>
          <w:tcPr>
            <w:tcW w:w="30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240" w:type="dxa"/>
            <w:vAlign w:val="bottom"/>
            <w:tcBorders>
              <w:bottom w:val="single" w:sz="8" w:color="auto"/>
            </w:tcBorders>
            <w:shd w:val="clear" w:color="auto" w:fill="CCF0FC"/>
          </w:tcPr>
          <w:p>
            <w:pPr>
              <w:spacing w:after="0"/>
              <w:rPr>
                <w:sz w:val="19"/>
                <w:szCs w:val="19"/>
                <w:color w:val="auto"/>
              </w:rPr>
            </w:pPr>
          </w:p>
        </w:tc>
        <w:tc>
          <w:tcPr>
            <w:tcW w:w="13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25,625</w:t>
            </w:r>
          </w:p>
        </w:tc>
        <w:tc>
          <w:tcPr>
            <w:tcW w:w="100" w:type="dxa"/>
            <w:vAlign w:val="bottom"/>
            <w:shd w:val="clear" w:color="auto" w:fill="CCF0FC"/>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29,077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29,744</w:t>
            </w:r>
          </w:p>
        </w:tc>
        <w:tc>
          <w:tcPr>
            <w:tcW w:w="100" w:type="dxa"/>
            <w:vAlign w:val="bottom"/>
          </w:tcPr>
          <w:p>
            <w:pPr>
              <w:spacing w:after="0"/>
              <w:rPr>
                <w:sz w:val="19"/>
                <w:szCs w:val="19"/>
                <w:color w:val="auto"/>
              </w:rPr>
            </w:pPr>
          </w:p>
        </w:tc>
      </w:tr>
      <w:tr>
        <w:trPr>
          <w:trHeight w:val="229"/>
        </w:trPr>
        <w:tc>
          <w:tcPr>
            <w:tcW w:w="5000" w:type="dxa"/>
            <w:vAlign w:val="bottom"/>
            <w:shd w:val="clear" w:color="auto" w:fill="CCF0FC"/>
          </w:tcPr>
          <w:p>
            <w:pPr>
              <w:spacing w:after="0"/>
              <w:rPr>
                <w:sz w:val="20"/>
                <w:szCs w:val="20"/>
                <w:color w:val="auto"/>
              </w:rPr>
            </w:pPr>
            <w:r>
              <w:rPr>
                <w:rFonts w:ascii="Arial" w:cs="Arial" w:eastAsia="Arial" w:hAnsi="Arial"/>
                <w:sz w:val="18"/>
                <w:szCs w:val="18"/>
                <w:color w:val="auto"/>
              </w:rPr>
              <w:t>Less: Accumulated depreciation</w:t>
            </w:r>
          </w:p>
        </w:tc>
        <w:tc>
          <w:tcPr>
            <w:tcW w:w="2680" w:type="dxa"/>
            <w:vAlign w:val="bottom"/>
            <w:shd w:val="clear" w:color="auto" w:fill="CCF0FC"/>
          </w:tcPr>
          <w:p>
            <w:pPr>
              <w:spacing w:after="0"/>
              <w:rPr>
                <w:sz w:val="19"/>
                <w:szCs w:val="19"/>
                <w:color w:val="auto"/>
              </w:rPr>
            </w:pPr>
          </w:p>
        </w:tc>
        <w:tc>
          <w:tcPr>
            <w:tcW w:w="360" w:type="dxa"/>
            <w:vAlign w:val="bottom"/>
            <w:tcBorders>
              <w:bottom w:val="single" w:sz="8" w:color="auto"/>
            </w:tcBorders>
            <w:shd w:val="clear" w:color="auto" w:fill="CCF0FC"/>
          </w:tcPr>
          <w:p>
            <w:pPr>
              <w:spacing w:after="0"/>
              <w:rPr>
                <w:sz w:val="19"/>
                <w:szCs w:val="19"/>
                <w:color w:val="auto"/>
              </w:rPr>
            </w:pPr>
          </w:p>
        </w:tc>
        <w:tc>
          <w:tcPr>
            <w:tcW w:w="12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22,648</w:t>
            </w:r>
          </w:p>
        </w:tc>
        <w:tc>
          <w:tcPr>
            <w:tcW w:w="30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240" w:type="dxa"/>
            <w:vAlign w:val="bottom"/>
            <w:tcBorders>
              <w:bottom w:val="single" w:sz="8" w:color="auto"/>
            </w:tcBorders>
            <w:shd w:val="clear" w:color="auto" w:fill="CCF0FC"/>
          </w:tcPr>
          <w:p>
            <w:pPr>
              <w:spacing w:after="0"/>
              <w:rPr>
                <w:sz w:val="19"/>
                <w:szCs w:val="19"/>
                <w:color w:val="auto"/>
              </w:rPr>
            </w:pPr>
          </w:p>
        </w:tc>
        <w:tc>
          <w:tcPr>
            <w:tcW w:w="13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shd w:val="clear" w:color="auto" w:fill="CCF0FC"/>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useful lives of Buildings &amp; improvements are primarily 25 to 30 years. The estimated useful lives of Machinery &amp; equipment are primarily 5 to 10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which is recorded on a straight-line basis, was $1.4 billion, $1.6 billion and $2.0 billion in 2021, 2020 and 2019, respectively.</w:t>
      </w:r>
    </w:p>
    <w:p>
      <w:pPr>
        <w:spacing w:after="0" w:line="34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3"/>
        </w:trPr>
        <w:tc>
          <w:tcPr>
            <w:tcW w:w="4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Reservoir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180" w:type="dxa"/>
            <w:vAlign w:val="bottom"/>
          </w:tcPr>
          <w:p>
            <w:pPr>
              <w:spacing w:after="0"/>
              <w:rPr>
                <w:sz w:val="20"/>
                <w:szCs w:val="20"/>
                <w:color w:val="auto"/>
              </w:rPr>
            </w:pPr>
          </w:p>
        </w:tc>
        <w:tc>
          <w:tcPr>
            <w:tcW w:w="2260" w:type="dxa"/>
            <w:vAlign w:val="bottom"/>
            <w:gridSpan w:val="4"/>
          </w:tcPr>
          <w:p>
            <w:pPr>
              <w:ind w:left="840"/>
              <w:spacing w:after="0"/>
              <w:rPr>
                <w:sz w:val="20"/>
                <w:szCs w:val="20"/>
                <w:color w:val="auto"/>
              </w:rPr>
            </w:pPr>
            <w:r>
              <w:rPr>
                <w:rFonts w:ascii="Arial" w:cs="Arial" w:eastAsia="Arial" w:hAnsi="Arial"/>
                <w:sz w:val="18"/>
                <w:szCs w:val="18"/>
                <w:color w:val="auto"/>
              </w:rPr>
              <w:t>Characterization</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Drilling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Production</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Cameron</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Impairment (see Note 3)</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(3,070)</w:t>
            </w: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 and other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a change in reportable segments, Schlumberger reallocated its goodwill as of September 30, 2020 to its new segments on a relative fair value basis: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443"/>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rPr>
              <w:t>Digital &amp;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Reservoir</w:t>
            </w:r>
          </w:p>
        </w:tc>
        <w:tc>
          <w:tcPr>
            <w:tcW w:w="200" w:type="dxa"/>
            <w:vAlign w:val="bottom"/>
          </w:tcPr>
          <w:p>
            <w:pPr>
              <w:spacing w:after="0"/>
              <w:rPr>
                <w:sz w:val="24"/>
                <w:szCs w:val="2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Well</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Production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Integration</w:t>
            </w:r>
          </w:p>
        </w:tc>
        <w:tc>
          <w:tcPr>
            <w:tcW w:w="8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Performance</w:t>
            </w: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Construction</w:t>
            </w: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Systems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October 1,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Impact of changes in exchange rates and other</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 and other</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Balance, December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12,990</w:t>
            </w:r>
          </w:p>
        </w:tc>
        <w:tc>
          <w:tcPr>
            <w:tcW w:w="12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5" w:name="page46"/>
    <w:bookmarkEnd w:id="45"/>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58"/>
        </w:trPr>
        <w:tc>
          <w:tcPr>
            <w:tcW w:w="2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2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Net Book</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1"/>
              </w:rPr>
              <w:t>Net Book</w:t>
            </w:r>
          </w:p>
        </w:tc>
        <w:tc>
          <w:tcPr>
            <w:tcW w:w="120" w:type="dxa"/>
            <w:vAlign w:val="bottom"/>
          </w:tcPr>
          <w:p>
            <w:pPr>
              <w:spacing w:after="0"/>
              <w:rPr>
                <w:sz w:val="19"/>
                <w:szCs w:val="19"/>
                <w:color w:val="auto"/>
              </w:rPr>
            </w:pPr>
          </w:p>
        </w:tc>
      </w:tr>
      <w:tr>
        <w:trPr>
          <w:trHeight w:val="238"/>
        </w:trPr>
        <w:tc>
          <w:tcPr>
            <w:tcW w:w="2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Book Value</w:t>
            </w:r>
          </w:p>
        </w:tc>
        <w:tc>
          <w:tcPr>
            <w:tcW w:w="2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Book Value</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r>
      <w:tr>
        <w:trPr>
          <w:trHeight w:val="223"/>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r>
      <w:tr>
        <w:trPr>
          <w:trHeight w:val="22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FF0FC"/>
          </w:tcPr>
          <w:p>
            <w:pPr>
              <w:spacing w:after="0"/>
              <w:rPr>
                <w:sz w:val="19"/>
                <w:szCs w:val="19"/>
                <w:color w:val="auto"/>
              </w:rPr>
            </w:pPr>
          </w:p>
        </w:tc>
      </w:tr>
      <w:tr>
        <w:trPr>
          <w:trHeight w:val="230"/>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FF0FC"/>
            </w:tcBorders>
          </w:tcPr>
          <w:p>
            <w:pPr>
              <w:spacing w:after="0"/>
              <w:rPr>
                <w:sz w:val="19"/>
                <w:szCs w:val="19"/>
                <w:color w:val="auto"/>
              </w:rPr>
            </w:pPr>
          </w:p>
        </w:tc>
      </w:tr>
      <w:tr>
        <w:trPr>
          <w:trHeight w:val="223"/>
        </w:trPr>
        <w:tc>
          <w:tcPr>
            <w:tcW w:w="29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5,240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3,211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$302 million in 2021, $371 million in 2020 and $618 million in 2019.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Based on the carrying value of intangible assets at December 31, 2021, amortization expense for the subsequent five years is estimated to be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$291 million, 2023: $281 million, 2024: $264 million, 2025: $249 million and 2026: $245 million.</w:t>
      </w:r>
    </w:p>
    <w:p>
      <w:pPr>
        <w:spacing w:after="0" w:line="207"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 and Debt Facility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consists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r>
      <w:tr>
        <w:trPr>
          <w:trHeight w:val="223"/>
        </w:trPr>
        <w:tc>
          <w:tcPr>
            <w:tcW w:w="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3.65%</w:t>
            </w:r>
          </w:p>
        </w:tc>
        <w:tc>
          <w:tcPr>
            <w:tcW w:w="4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due 2023</w:t>
            </w:r>
          </w:p>
        </w:tc>
        <w:tc>
          <w:tcPr>
            <w:tcW w:w="25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1,497</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1.375% Guaranteed Notes due 2026</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1,125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2032</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0.25%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2031</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4.30%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2029</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3.75%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2026</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7.00%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5.95%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2041</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5.13%</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2023</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3.70%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Commercial paper borrowings</w:t>
            </w:r>
          </w:p>
        </w:tc>
        <w:tc>
          <w:tcPr>
            <w:tcW w:w="25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FF0FC"/>
            </w:tcBorders>
          </w:tcPr>
          <w:p>
            <w:pPr>
              <w:spacing w:after="0"/>
              <w:rPr>
                <w:sz w:val="19"/>
                <w:szCs w:val="19"/>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466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13,286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Schlumberger had committed credit facility agreements with commercial banks aggregating $5.75 billion, all of which was available and unused. These committed facilities support commercial paper programs in the United States and Europe,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of which $2.75 billion matures in February 2023, $2.0 billion matures in February 2025 and $1.0 billion matures in July 2026. Schlumberger also has a €750 million three-year committed revolving credit facility that matures in June 2024. At December 31, 2021, no amounts had been drawn under this facility. Interest rates and other terms of borrowing under these lines of credit vary by facility.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Commercial paper borrowings are classified as long-term debt to the extent they are backed up by available and unused committed credit facilities maturing in more than one year and to the extent it is Schlumberger’s intent to maintain these obligations for longer than one year. There were no borrowings under the commercial paper programs at December 31, 2021. At December 31, 2020, borrowings under the commercial paper programs were $0.4 billion,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2021 is due as follows: $1.6 billion in 2023, $1.4 billion in 2024, $1.4 billion in 2025, $1.8 billion in 2026, $1.0</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2027, $1.5 billion in 2028 and $4.6 billion thereafter.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December 31, 2021 and December 31, 2020 was $13.9 billion and $17.3 billion, respectively, and was estimated based on quoted market prices.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 Limited.</w:t>
      </w:r>
    </w:p>
    <w:p>
      <w:pPr>
        <w:spacing w:after="0" w:line="166"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multinational company, Schlumberger conducts its business in over 120 countries. Schlumberger’s functional currency is primarily the US dollar. Approximately 70% of Schlumberger’s revenues in 2021 were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into earnings in the same period or periods that the hedged item is recognized in earnings.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Schlumberger is also exposed to risks on future cash flows relating to certain of its fixed rate debt denominated in currencies other than the functional currency. Schlumberger uses cross-currency swaps to provide a hedge against these cash flow risks.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was $66 million at December 31, 2021 ($427 million at December 31, 2020) and 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was $78 million at December 31, 2021 ($13 million at December 31, 2020) relating to the fair value of outstanding cross-currency swap derivatives. The fair value was determined using a model with inputs that are observable in the market or can be derived or collaborated by observable data.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 2032. These cross-currency swaps effectively convert the swapped portion of the Euro-denominated notes to US-dollar denominated debt with fixed annual interest rates of 2.77% and 3.49%,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During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changes in the fair value are recognized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as are changes in the fair value of the hedged item. Transaction losses of $23 million in 2021 and $21 million in 2020 and transaction gains of $2 million in 2019 were recognized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net of related hedging activities.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the fourth quarter of 2021, Schlumberger entered into derivative contracts that hedge the price of oil relating to approximately 75% of the projected 2022 oil production of one of its APS projects. These contracts are accounted for as cash flow hedges, with the changes in the fair value of the hedge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Amounts recorded in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w:t>
      </w:r>
      <w:r>
        <w:rPr>
          <w:rFonts w:ascii="Arial" w:cs="Arial" w:eastAsia="Arial" w:hAnsi="Arial"/>
          <w:sz w:val="18"/>
          <w:szCs w:val="18"/>
          <w:color w:val="auto"/>
        </w:rPr>
        <w:t>will be reclassified to earnings in the same period or periods that the hedged item is recognized in earnings. No amounts were recognized in the</w:t>
      </w:r>
      <w:r>
        <w:rPr>
          <w:rFonts w:ascii="Arial" w:cs="Arial" w:eastAsia="Arial" w:hAnsi="Arial"/>
          <w:sz w:val="18"/>
          <w:szCs w:val="18"/>
          <w:i w:val="1"/>
          <w:iCs w:val="1"/>
          <w:color w:val="auto"/>
        </w:rPr>
        <w:t xml:space="preserve"> Consolidated Statement of Income (Loss) </w:t>
      </w:r>
      <w:r>
        <w:rPr>
          <w:rFonts w:ascii="Arial" w:cs="Arial" w:eastAsia="Arial" w:hAnsi="Arial"/>
          <w:sz w:val="18"/>
          <w:szCs w:val="18"/>
          <w:color w:val="auto"/>
        </w:rPr>
        <w:t>relating to these hedging activities during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contracts were outstanding for the US dollar equivalent of $7.7 billion in various foreign currencies, of which $6.0 billion relates to hedges of debt denominated in currencies other than the functional currency.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previously mentioned cross-currency swaps, the fair value of the other outstanding derivatives was not material at December 31, 2021 and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effect of derivative instruments designated as hedges and those not designated as hedges on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425"/>
        </w:trPr>
        <w:tc>
          <w:tcPr>
            <w:tcW w:w="4760" w:type="dxa"/>
            <w:vAlign w:val="bottom"/>
          </w:tcPr>
          <w:p>
            <w:pPr>
              <w:spacing w:after="0"/>
              <w:rPr>
                <w:sz w:val="24"/>
                <w:szCs w:val="24"/>
                <w:color w:val="auto"/>
              </w:rPr>
            </w:pPr>
          </w:p>
        </w:tc>
        <w:tc>
          <w:tcPr>
            <w:tcW w:w="3760" w:type="dxa"/>
            <w:vAlign w:val="bottom"/>
            <w:tcBorders>
              <w:bottom w:val="single" w:sz="8" w:color="auto"/>
            </w:tcBorders>
            <w:gridSpan w:val="9"/>
          </w:tcPr>
          <w:p>
            <w:pPr>
              <w:jc w:val="right"/>
              <w:ind w:right="227"/>
              <w:spacing w:after="0"/>
              <w:rPr>
                <w:sz w:val="20"/>
                <w:szCs w:val="20"/>
                <w:color w:val="auto"/>
              </w:rPr>
            </w:pPr>
            <w:r>
              <w:rPr>
                <w:rFonts w:ascii="Arial" w:cs="Arial" w:eastAsia="Arial" w:hAnsi="Arial"/>
                <w:sz w:val="16"/>
                <w:szCs w:val="16"/>
                <w:b w:val="1"/>
                <w:bCs w:val="1"/>
                <w:color w:val="auto"/>
              </w:rPr>
              <w:t>Gain (Loss) Recognized in Income (Loss)</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2"/>
          </w:tcPr>
          <w:p>
            <w:pPr>
              <w:ind w:left="100"/>
              <w:spacing w:after="0"/>
              <w:rPr>
                <w:sz w:val="20"/>
                <w:szCs w:val="20"/>
                <w:color w:val="auto"/>
              </w:rPr>
            </w:pPr>
            <w:r>
              <w:rPr>
                <w:rFonts w:ascii="Arial" w:cs="Arial" w:eastAsia="Arial" w:hAnsi="Arial"/>
                <w:sz w:val="16"/>
                <w:szCs w:val="16"/>
                <w:color w:val="auto"/>
              </w:rPr>
              <w:t>Consolidated Statement</w:t>
            </w:r>
          </w:p>
        </w:tc>
      </w:tr>
      <w:tr>
        <w:trPr>
          <w:trHeight w:val="213"/>
        </w:trPr>
        <w:tc>
          <w:tcPr>
            <w:tcW w:w="4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6"/>
                <w:szCs w:val="16"/>
                <w:color w:val="auto"/>
              </w:rPr>
              <w:t>2020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7"/>
              <w:spacing w:after="0"/>
              <w:rPr>
                <w:sz w:val="20"/>
                <w:szCs w:val="20"/>
                <w:color w:val="auto"/>
              </w:rPr>
            </w:pPr>
            <w:r>
              <w:rPr>
                <w:rFonts w:ascii="Arial" w:cs="Arial" w:eastAsia="Arial" w:hAnsi="Arial"/>
                <w:sz w:val="16"/>
                <w:szCs w:val="16"/>
                <w:color w:val="auto"/>
              </w:rPr>
              <w:t>2019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w w:val="94"/>
              </w:rPr>
              <w:t>of Income (Loss) Classification</w:t>
            </w:r>
          </w:p>
        </w:tc>
      </w:tr>
      <w:tr>
        <w:trPr>
          <w:trHeight w:val="226"/>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cash flow hedges:</w:t>
            </w:r>
          </w:p>
        </w:tc>
        <w:tc>
          <w:tcPr>
            <w:tcW w:w="8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Cross currency swap</w:t>
            </w:r>
          </w:p>
        </w:tc>
        <w:tc>
          <w:tcPr>
            <w:tcW w:w="800" w:type="dxa"/>
            <w:vAlign w:val="bottom"/>
          </w:tcPr>
          <w:p>
            <w:pPr>
              <w:jc w:val="right"/>
              <w:ind w:right="614"/>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(422)</w:t>
            </w:r>
          </w:p>
        </w:tc>
        <w:tc>
          <w:tcPr>
            <w:tcW w:w="9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9"/>
                <w:szCs w:val="19"/>
                <w:color w:val="auto"/>
              </w:rPr>
            </w:pPr>
          </w:p>
        </w:tc>
        <w:tc>
          <w:tcPr>
            <w:tcW w:w="860" w:type="dxa"/>
            <w:vAlign w:val="bottom"/>
            <w:gridSpan w:val="2"/>
          </w:tcPr>
          <w:p>
            <w:pPr>
              <w:jc w:val="right"/>
              <w:ind w:right="687"/>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222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2220" w:type="dxa"/>
            <w:vAlign w:val="bottom"/>
            <w:gridSpan w:val="2"/>
            <w:shd w:val="clear" w:color="auto" w:fill="CFF0FC"/>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63"/>
        </w:trPr>
        <w:tc>
          <w:tcPr>
            <w:tcW w:w="476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(417)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120" w:type="dxa"/>
            <w:vAlign w:val="bottom"/>
            <w:tcBorders>
              <w:bottom w:val="single" w:sz="8" w:color="CFF0FC"/>
            </w:tcBorders>
          </w:tcPr>
          <w:p>
            <w:pPr>
              <w:spacing w:after="0"/>
              <w:rPr>
                <w:sz w:val="22"/>
                <w:szCs w:val="22"/>
                <w:color w:val="auto"/>
              </w:rPr>
            </w:pPr>
          </w:p>
        </w:tc>
      </w:tr>
      <w:tr>
        <w:trPr>
          <w:trHeight w:val="21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800" w:type="dxa"/>
            <w:vAlign w:val="bottom"/>
          </w:tcPr>
          <w:p>
            <w:pPr>
              <w:jc w:val="right"/>
              <w:ind w:right="614"/>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9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jc w:val="right"/>
              <w:ind w:right="687"/>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22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0"/>
        </w:trPr>
        <w:tc>
          <w:tcPr>
            <w:tcW w:w="4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Schlumberger does not enter into derivative transactions for speculative purposes.</w:t>
      </w:r>
    </w:p>
    <w:p>
      <w:pPr>
        <w:spacing w:after="0" w:line="248"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Schlumberger is authorized to issue 4,500,000,000 shares of common stock, par value $0.01 per share, of which 1,403,381,685 and 1,392,325,960 shares were outstanding on December 31, 2021 and 2020, respectively. Holders of common stock are entitled to one vote for each share of stock held. Schlumberger is also authorized to issue 200,000,000 shares of preferred stock, par value $0.01 per share, which may be issued in series with terms and conditions determined by the Schlumberger Board of Directors. No shares of preferred stock have been issued.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360" w:type="dxa"/>
            <w:vAlign w:val="bottom"/>
            <w:tcBorders>
              <w:bottom w:val="single" w:sz="8" w:color="CFF0FC"/>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4"/>
                <w:szCs w:val="2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120" w:type="dxa"/>
            <w:vAlign w:val="bottom"/>
            <w:shd w:val="clear" w:color="auto" w:fill="CFF0FC"/>
          </w:tcPr>
          <w:p>
            <w:pPr>
              <w:jc w:val="right"/>
              <w:ind w:right="961"/>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(2,419)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(1,066)</w:t>
            </w:r>
          </w:p>
        </w:tc>
        <w:tc>
          <w:tcPr>
            <w:tcW w:w="3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(2,314)</w:t>
            </w:r>
          </w:p>
        </w:tc>
        <w:tc>
          <w:tcPr>
            <w:tcW w:w="3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(2,143)</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hedges</w:t>
            </w:r>
          </w:p>
        </w:tc>
        <w:tc>
          <w:tcPr>
            <w:tcW w:w="1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(85)</w:t>
            </w: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1"/>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(3,570)</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Key employees may be granted stock options under Schlumberger stock option plans. The exercise price equals the average of the high and low sales prices of Schlumberger stock on the date of grant. The maximum term is 10 years, and the options generally vest in increments over five years.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CFF0FC"/>
            </w:tcBorders>
          </w:tcPr>
          <w:p>
            <w:pPr>
              <w:spacing w:after="0"/>
              <w:rPr>
                <w:sz w:val="20"/>
                <w:szCs w:val="20"/>
                <w:color w:val="auto"/>
              </w:rPr>
            </w:pPr>
          </w:p>
        </w:tc>
        <w:tc>
          <w:tcPr>
            <w:tcW w:w="24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20"/>
                <w:szCs w:val="20"/>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Expected volatility</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share</w:t>
            </w:r>
          </w:p>
        </w:tc>
        <w:tc>
          <w:tcPr>
            <w:tcW w:w="3520" w:type="dxa"/>
            <w:vAlign w:val="bottom"/>
            <w:gridSpan w:val="2"/>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 grants during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options outstanding and options exercisable as of December 31,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r>
      <w:tr>
        <w:trPr>
          <w:trHeight w:val="457"/>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w w:val="96"/>
              </w:rPr>
              <w:t>Options Outstanding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80"/>
              <w:spacing w:after="0"/>
              <w:rPr>
                <w:sz w:val="20"/>
                <w:szCs w:val="20"/>
                <w:color w:val="auto"/>
              </w:rPr>
            </w:pPr>
            <w:r>
              <w:rPr>
                <w:rFonts w:ascii="Arial" w:cs="Arial" w:eastAsia="Arial" w:hAnsi="Arial"/>
                <w:sz w:val="18"/>
                <w:szCs w:val="18"/>
                <w:color w:val="auto"/>
              </w:rPr>
              <w:t>Options Exercisable</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0"/>
              </w:rPr>
              <w:t>Weighted-</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r>
      <w:tr>
        <w:trPr>
          <w:trHeight w:val="230"/>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Options</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Contractual Life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190"/>
        </w:trPr>
        <w:tc>
          <w:tcPr>
            <w:tcW w:w="4040" w:type="dxa"/>
            <w:vAlign w:val="bottom"/>
            <w:gridSpan w:val="3"/>
          </w:tcPr>
          <w:p>
            <w:pPr>
              <w:spacing w:after="0" w:line="190" w:lineRule="exact"/>
              <w:rPr>
                <w:sz w:val="20"/>
                <w:szCs w:val="20"/>
                <w:color w:val="auto"/>
              </w:rPr>
            </w:pPr>
            <w:r>
              <w:rPr>
                <w:rFonts w:ascii="Arial" w:cs="Arial" w:eastAsia="Arial" w:hAnsi="Arial"/>
                <w:sz w:val="18"/>
                <w:szCs w:val="18"/>
                <w:color w:val="auto"/>
              </w:rPr>
              <w:t>Exercise prices range</w:t>
            </w:r>
          </w:p>
        </w:tc>
        <w:tc>
          <w:tcPr>
            <w:tcW w:w="1280" w:type="dxa"/>
            <w:vAlign w:val="bottom"/>
            <w:gridSpan w:val="2"/>
          </w:tcPr>
          <w:p>
            <w:pPr>
              <w:jc w:val="center"/>
              <w:ind w:right="240"/>
              <w:spacing w:after="0" w:line="190" w:lineRule="exact"/>
              <w:rPr>
                <w:sz w:val="20"/>
                <w:szCs w:val="20"/>
                <w:color w:val="auto"/>
              </w:rPr>
            </w:pPr>
            <w:r>
              <w:rPr>
                <w:rFonts w:ascii="Arial" w:cs="Arial" w:eastAsia="Arial" w:hAnsi="Arial"/>
                <w:sz w:val="18"/>
                <w:szCs w:val="18"/>
                <w:color w:val="auto"/>
                <w:w w:val="90"/>
              </w:rPr>
              <w:t>Outstanding</w:t>
            </w:r>
          </w:p>
        </w:tc>
        <w:tc>
          <w:tcPr>
            <w:tcW w:w="176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40"/>
              <w:spacing w:after="0" w:line="190" w:lineRule="exact"/>
              <w:rPr>
                <w:sz w:val="20"/>
                <w:szCs w:val="20"/>
                <w:color w:val="auto"/>
              </w:rPr>
            </w:pPr>
            <w:r>
              <w:rPr>
                <w:rFonts w:ascii="Arial" w:cs="Arial" w:eastAsia="Arial" w:hAnsi="Arial"/>
                <w:sz w:val="18"/>
                <w:szCs w:val="18"/>
                <w:color w:val="auto"/>
                <w:w w:val="88"/>
              </w:rPr>
              <w:t>Exercise Price</w:t>
            </w:r>
          </w:p>
        </w:tc>
        <w:tc>
          <w:tcPr>
            <w:tcW w:w="122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0"/>
              </w:rPr>
              <w:t>Exercisable</w:t>
            </w:r>
          </w:p>
        </w:tc>
        <w:tc>
          <w:tcPr>
            <w:tcW w:w="1320" w:type="dxa"/>
            <w:vAlign w:val="bottom"/>
            <w:gridSpan w:val="3"/>
          </w:tcPr>
          <w:p>
            <w:pPr>
              <w:jc w:val="center"/>
              <w:ind w:right="120"/>
              <w:spacing w:after="0" w:line="190" w:lineRule="exact"/>
              <w:rPr>
                <w:sz w:val="20"/>
                <w:szCs w:val="20"/>
                <w:color w:val="auto"/>
              </w:rPr>
            </w:pPr>
            <w:r>
              <w:rPr>
                <w:rFonts w:ascii="Arial" w:cs="Arial" w:eastAsia="Arial" w:hAnsi="Arial"/>
                <w:sz w:val="18"/>
                <w:szCs w:val="18"/>
                <w:color w:val="auto"/>
                <w:w w:val="90"/>
              </w:rPr>
              <w:t>Exercise Price</w:t>
            </w:r>
          </w:p>
        </w:tc>
      </w:tr>
      <w:tr>
        <w:trPr>
          <w:trHeight w:val="20"/>
        </w:trPr>
        <w:tc>
          <w:tcPr>
            <w:tcW w:w="520" w:type="dxa"/>
            <w:vAlign w:val="bottom"/>
            <w:tcBorders>
              <w:top w:val="single" w:sz="8" w:color="auto"/>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25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$38.75 - $41.47</w:t>
            </w:r>
          </w:p>
        </w:tc>
        <w:tc>
          <w:tcPr>
            <w:tcW w:w="2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12,040</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FF0FC"/>
          </w:tcPr>
          <w:p>
            <w:pPr>
              <w:spacing w:after="0"/>
              <w:rPr>
                <w:sz w:val="19"/>
                <w:szCs w:val="19"/>
                <w:color w:val="auto"/>
              </w:rPr>
            </w:pPr>
          </w:p>
        </w:tc>
      </w:tr>
      <w:tr>
        <w:trPr>
          <w:trHeight w:val="229"/>
        </w:trPr>
        <w:tc>
          <w:tcPr>
            <w:tcW w:w="520" w:type="dxa"/>
            <w:vAlign w:val="bottom"/>
          </w:tcPr>
          <w:p>
            <w:pPr>
              <w:spacing w:after="0"/>
              <w:rPr>
                <w:sz w:val="20"/>
                <w:szCs w:val="20"/>
                <w:color w:val="auto"/>
              </w:rPr>
            </w:pPr>
            <w:r>
              <w:rPr>
                <w:rFonts w:ascii="Arial" w:cs="Arial" w:eastAsia="Arial" w:hAnsi="Arial"/>
                <w:sz w:val="18"/>
                <w:szCs w:val="18"/>
                <w:color w:val="auto"/>
                <w:w w:val="90"/>
              </w:rPr>
              <w:t>$47.55</w:t>
            </w:r>
          </w:p>
        </w:tc>
        <w:tc>
          <w:tcPr>
            <w:tcW w:w="1020" w:type="dxa"/>
            <w:vAlign w:val="bottom"/>
          </w:tcPr>
          <w:p>
            <w:pPr>
              <w:ind w:left="20"/>
              <w:spacing w:after="0"/>
              <w:rPr>
                <w:sz w:val="20"/>
                <w:szCs w:val="20"/>
                <w:color w:val="auto"/>
              </w:rPr>
            </w:pPr>
            <w:r>
              <w:rPr>
                <w:rFonts w:ascii="Arial" w:cs="Arial" w:eastAsia="Arial" w:hAnsi="Arial"/>
                <w:sz w:val="18"/>
                <w:szCs w:val="18"/>
                <w:color w:val="auto"/>
              </w:rPr>
              <w:t>- $69.98</w:t>
            </w:r>
          </w:p>
        </w:tc>
        <w:tc>
          <w:tcPr>
            <w:tcW w:w="2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2,882</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62.42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9"/>
                <w:szCs w:val="19"/>
                <w:color w:val="auto"/>
              </w:rPr>
            </w:pPr>
          </w:p>
        </w:tc>
      </w:tr>
      <w:tr>
        <w:trPr>
          <w:trHeight w:val="230"/>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$70.31</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$79.85</w:t>
            </w:r>
          </w:p>
        </w:tc>
        <w:tc>
          <w:tcPr>
            <w:tcW w:w="2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12,276</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0"/>
              </w:rPr>
              <w:t>$80.53</w:t>
            </w:r>
          </w:p>
        </w:tc>
        <w:tc>
          <w:tcPr>
            <w:tcW w:w="1020" w:type="dxa"/>
            <w:vAlign w:val="bottom"/>
          </w:tcPr>
          <w:p>
            <w:pPr>
              <w:ind w:left="20"/>
              <w:spacing w:after="0"/>
              <w:rPr>
                <w:sz w:val="20"/>
                <w:szCs w:val="20"/>
                <w:color w:val="auto"/>
              </w:rPr>
            </w:pPr>
            <w:r>
              <w:rPr>
                <w:rFonts w:ascii="Arial" w:cs="Arial" w:eastAsia="Arial" w:hAnsi="Arial"/>
                <w:sz w:val="18"/>
                <w:szCs w:val="18"/>
                <w:color w:val="auto"/>
              </w:rPr>
              <w:t>- $88.77</w:t>
            </w:r>
          </w:p>
        </w:tc>
        <w:tc>
          <w:tcPr>
            <w:tcW w:w="2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8,583</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Pr>
          <w:p>
            <w:pPr>
              <w:spacing w:after="0"/>
              <w:rPr>
                <w:sz w:val="19"/>
                <w:szCs w:val="19"/>
                <w:color w:val="auto"/>
              </w:rPr>
            </w:pPr>
          </w:p>
        </w:tc>
      </w:tr>
      <w:tr>
        <w:trPr>
          <w:trHeight w:val="230"/>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$91.28</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$114.83</w:t>
            </w:r>
          </w:p>
        </w:tc>
        <w:tc>
          <w:tcPr>
            <w:tcW w:w="2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FF0FC"/>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42,347</w:t>
            </w:r>
          </w:p>
        </w:tc>
        <w:tc>
          <w:tcPr>
            <w:tcW w:w="2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68.95</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32,264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w:t>
            </w:r>
          </w:p>
        </w:tc>
        <w:tc>
          <w:tcPr>
            <w:tcW w:w="1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contractual life of stock options exercisable as of December 31, 2021 was 3.3 years.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summarizes stock option activity during the years ended December 31, 2021, 2020 and 2019: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r>
      <w:tr>
        <w:trPr>
          <w:trHeight w:val="458"/>
        </w:trPr>
        <w:tc>
          <w:tcPr>
            <w:tcW w:w="4640" w:type="dxa"/>
            <w:vAlign w:val="bottom"/>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2"/>
              </w:rPr>
              <w:t>Weighted-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r>
      <w:tr>
        <w:trPr>
          <w:trHeight w:val="230"/>
        </w:trPr>
        <w:tc>
          <w:tcPr>
            <w:tcW w:w="4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r>
      <w:tr>
        <w:trPr>
          <w:trHeight w:val="229"/>
        </w:trPr>
        <w:tc>
          <w:tcPr>
            <w:tcW w:w="4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r>
      <w:tr>
        <w:trPr>
          <w:trHeight w:val="234"/>
        </w:trPr>
        <w:tc>
          <w:tcPr>
            <w:tcW w:w="46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Price</w:t>
            </w: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48,272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70.37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75.65</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38.75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Forfeited / Expired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(5,925)</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80.46</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71.86</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year-end</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42,347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outstanding and stock options exercisable as of December 31, 2021 had no intrinsic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Schlumberger grants performance share units to certain key employees. The number of shares earned is determined at the end of each performance period based on Schlumberger’s achievement of certain predefined targets as described in the underlying performance share unit agreement. In the event Schlumberger exceeds the predefined target, shares for up to a maximum of 250% of the target award may be awarded. In the event Schlumberger falls below the predefined target, a reduced number of shares may be awarded. If Schlumberger falls below the threshold award performance level, no shares will be awarded. As of December 31, 2021, 4.9 million performance share units were outstanding assuming the achievement of 100% of target.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restricted stock awards generally vest at the end of three years or vest ratably in equal tranches over a three-year period.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stock awards do not pay dividends or have voting rights prior to vesting. Accordingly, the fair value of a restricted stock award is generally the quoted market price of Schlumberger’s stock on the date of grant less the present value of the expected dividends not received prior to vesting.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restricted stock transactions: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r>
      <w:tr>
        <w:trPr>
          <w:trHeight w:val="457"/>
        </w:trPr>
        <w:tc>
          <w:tcPr>
            <w:tcW w:w="4220" w:type="dxa"/>
            <w:vAlign w:val="bottom"/>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18"/>
        </w:trPr>
        <w:tc>
          <w:tcPr>
            <w:tcW w:w="4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r>
      <w:tr>
        <w:trPr>
          <w:trHeight w:val="230"/>
        </w:trPr>
        <w:tc>
          <w:tcPr>
            <w:tcW w:w="4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29"/>
        </w:trPr>
        <w:tc>
          <w:tcPr>
            <w:tcW w:w="42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Restricted</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Restricted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Grant Date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Restricted</w:t>
            </w:r>
          </w:p>
        </w:tc>
        <w:tc>
          <w:tcPr>
            <w:tcW w:w="10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4"/>
        </w:trPr>
        <w:tc>
          <w:tcPr>
            <w:tcW w:w="42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 Value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Fair Value</w:t>
            </w: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beginning of year</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18,763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35.24</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8,287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25.16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10,637</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(4,927)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48.44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(3,059)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29.64</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45.95</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19"/>
                <w:szCs w:val="19"/>
                <w:color w:val="auto"/>
              </w:rPr>
            </w:pPr>
          </w:p>
        </w:tc>
      </w:tr>
      <w:tr>
        <w:trPr>
          <w:trHeight w:val="223"/>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year-end</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weighted-average fair value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0.07%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34"/>
        </w:trPr>
        <w:tc>
          <w:tcPr>
            <w:tcW w:w="6280" w:type="dxa"/>
            <w:vAlign w:val="bottom"/>
          </w:tcPr>
          <w:p>
            <w:pPr>
              <w:spacing w:after="0"/>
              <w:rPr>
                <w:sz w:val="20"/>
                <w:szCs w:val="20"/>
                <w:color w:val="auto"/>
              </w:rPr>
            </w:pPr>
            <w:r>
              <w:rPr>
                <w:rFonts w:ascii="Arial" w:cs="Arial" w:eastAsia="Arial" w:hAnsi="Arial"/>
                <w:sz w:val="18"/>
                <w:szCs w:val="18"/>
                <w:color w:val="auto"/>
              </w:rPr>
              <w:t>Weighted-average fair value per share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Total Stock-based Compensation Expense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280" w:type="dxa"/>
            <w:vAlign w:val="bottom"/>
          </w:tcPr>
          <w:p>
            <w:pPr>
              <w:spacing w:after="0"/>
              <w:rPr>
                <w:sz w:val="20"/>
                <w:szCs w:val="20"/>
                <w:color w:val="auto"/>
              </w:rPr>
            </w:pPr>
            <w:r>
              <w:rPr>
                <w:rFonts w:ascii="Arial" w:cs="Arial" w:eastAsia="Arial" w:hAnsi="Arial"/>
                <w:sz w:val="18"/>
                <w:szCs w:val="18"/>
                <w:color w:val="auto"/>
                <w:w w:val="92"/>
              </w:rPr>
              <w:t>The following summarizes stock-based compensation expense recognized in income: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28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2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36</w:t>
            </w:r>
          </w:p>
        </w:tc>
        <w:tc>
          <w:tcPr>
            <w:tcW w:w="240" w:type="dxa"/>
            <w:vAlign w:val="bottom"/>
            <w:gridSpan w:val="2"/>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DSPP</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324</w:t>
            </w:r>
          </w:p>
        </w:tc>
        <w:tc>
          <w:tcPr>
            <w:tcW w:w="24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there was $277 million of total unrecognized compensation cost related to nonvested stock-based compensation arrangements, of which $171 million is expected to be recognized in 2022, $90 million in 2023, $15 million in 2024, and $1 million in 2025.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approximately 44 million shares of Schlumberger common stock were available for future grants under Schlumberger’s stock-based compensation programs.</w:t>
      </w:r>
    </w:p>
    <w:p>
      <w:pPr>
        <w:spacing w:after="0" w:line="166"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before taxes </w:t>
      </w:r>
      <w:r>
        <w:rPr>
          <w:rFonts w:ascii="Arial" w:cs="Arial" w:eastAsia="Arial" w:hAnsi="Arial"/>
          <w:sz w:val="18"/>
          <w:szCs w:val="18"/>
          <w:color w:val="auto"/>
        </w:rPr>
        <w:t>subject to United States and non-United States income taxes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880" w:type="dxa"/>
            <w:vAlign w:val="bottom"/>
          </w:tcPr>
          <w:p>
            <w:pPr>
              <w:spacing w:after="0"/>
              <w:rPr>
                <w:sz w:val="24"/>
                <w:szCs w:val="24"/>
                <w:color w:val="auto"/>
              </w:rPr>
            </w:pPr>
          </w:p>
        </w:tc>
        <w:tc>
          <w:tcPr>
            <w:tcW w:w="32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94"/>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23"/>
        </w:trPr>
        <w:tc>
          <w:tcPr>
            <w:tcW w:w="3880" w:type="dxa"/>
            <w:vAlign w:val="bottom"/>
            <w:tcBorders>
              <w:top w:val="single" w:sz="8" w:color="CCF0FC"/>
            </w:tcBorders>
            <w:shd w:val="clear" w:color="auto" w:fill="CCF0FC"/>
          </w:tcPr>
          <w:p>
            <w:pPr>
              <w:spacing w:after="0"/>
              <w:rPr>
                <w:sz w:val="20"/>
                <w:szCs w:val="20"/>
                <w:color w:val="auto"/>
              </w:rPr>
            </w:pPr>
            <w:r>
              <w:rPr>
                <w:rFonts w:ascii="Arial" w:cs="Arial" w:eastAsia="Arial" w:hAnsi="Arial"/>
                <w:sz w:val="18"/>
                <w:szCs w:val="18"/>
                <w:color w:val="auto"/>
              </w:rPr>
              <w:t>United States</w:t>
            </w:r>
          </w:p>
        </w:tc>
        <w:tc>
          <w:tcPr>
            <w:tcW w:w="2300" w:type="dxa"/>
            <w:vAlign w:val="bottom"/>
            <w:tcBorders>
              <w:top w:val="single" w:sz="8" w:color="CCF0FC"/>
            </w:tcBorders>
            <w:shd w:val="clear" w:color="auto" w:fill="CCF0FC"/>
          </w:tcPr>
          <w:p>
            <w:pPr>
              <w:spacing w:after="0"/>
              <w:rPr>
                <w:sz w:val="19"/>
                <w:szCs w:val="19"/>
                <w:color w:val="auto"/>
              </w:rPr>
            </w:pPr>
          </w:p>
        </w:tc>
        <w:tc>
          <w:tcPr>
            <w:tcW w:w="980" w:type="dxa"/>
            <w:vAlign w:val="bottom"/>
            <w:tcBorders>
              <w:top w:val="single" w:sz="8" w:color="auto"/>
            </w:tcBorders>
            <w:shd w:val="clear" w:color="auto" w:fill="CC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30</w:t>
            </w:r>
          </w:p>
        </w:tc>
        <w:tc>
          <w:tcPr>
            <w:tcW w:w="280" w:type="dxa"/>
            <w:vAlign w:val="bottom"/>
            <w:tcBorders>
              <w:top w:val="single" w:sz="8" w:color="CCF0FC"/>
            </w:tcBorders>
            <w:shd w:val="clear" w:color="auto" w:fill="CCF0FC"/>
          </w:tcPr>
          <w:p>
            <w:pPr>
              <w:spacing w:after="0"/>
              <w:rPr>
                <w:sz w:val="19"/>
                <w:szCs w:val="19"/>
                <w:color w:val="auto"/>
              </w:rPr>
            </w:pPr>
          </w:p>
        </w:tc>
        <w:tc>
          <w:tcPr>
            <w:tcW w:w="320" w:type="dxa"/>
            <w:vAlign w:val="bottom"/>
            <w:tcBorders>
              <w:top w:val="single" w:sz="8" w:color="auto"/>
            </w:tcBorders>
            <w:shd w:val="clear" w:color="auto" w:fill="CC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(4,394)</w:t>
            </w:r>
          </w:p>
        </w:tc>
        <w:tc>
          <w:tcPr>
            <w:tcW w:w="260" w:type="dxa"/>
            <w:vAlign w:val="bottom"/>
            <w:tcBorders>
              <w:top w:val="single" w:sz="8" w:color="CCF0FC"/>
            </w:tcBorders>
            <w:shd w:val="clear" w:color="auto" w:fill="CCF0FC"/>
          </w:tcPr>
          <w:p>
            <w:pPr>
              <w:spacing w:after="0"/>
              <w:rPr>
                <w:sz w:val="19"/>
                <w:szCs w:val="19"/>
                <w:color w:val="auto"/>
              </w:rPr>
            </w:pPr>
          </w:p>
        </w:tc>
        <w:tc>
          <w:tcPr>
            <w:tcW w:w="220" w:type="dxa"/>
            <w:vAlign w:val="bottom"/>
            <w:tcBorders>
              <w:top w:val="single" w:sz="8" w:color="auto"/>
            </w:tcBorders>
            <w:shd w:val="clear" w:color="auto" w:fill="CC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top w:val="single" w:sz="8" w:color="CCF0FC"/>
            </w:tcBorders>
            <w:shd w:val="clear" w:color="auto" w:fill="CC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Outside United States</w:t>
            </w: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(6,904)</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(1,427)</w:t>
            </w:r>
          </w:p>
        </w:tc>
      </w:tr>
      <w:tr>
        <w:trPr>
          <w:trHeight w:val="223"/>
        </w:trPr>
        <w:tc>
          <w:tcPr>
            <w:tcW w:w="38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 recorded net pretax credits of $65 million in 2021 ($75 million of credits in the US and $10 million of charges outside the US). Schlumberger recorded net pretax charges of $12.515 billion in 2020 ($3.961 billion in the US and $8.554 billion outside the US); and $12.901 billion in 2019 ($8.769 billion in the US and $4.132 billion outside the US). These charges and credits are included in the table above and are more fully described in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340" w:type="dxa"/>
            <w:vAlign w:val="bottom"/>
          </w:tcPr>
          <w:p>
            <w:pPr>
              <w:spacing w:after="0"/>
              <w:rPr>
                <w:sz w:val="24"/>
                <w:szCs w:val="24"/>
                <w:color w:val="auto"/>
              </w:rPr>
            </w:pPr>
          </w:p>
        </w:tc>
        <w:tc>
          <w:tcPr>
            <w:tcW w:w="3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3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(855)</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Net operating losses</w:t>
            </w:r>
          </w:p>
        </w:tc>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2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Fixed assets, net</w:t>
            </w:r>
          </w:p>
        </w:tc>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2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Investments in non-US subsidiaries</w:t>
            </w:r>
          </w:p>
        </w:tc>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w:t>
            </w:r>
          </w:p>
        </w:tc>
        <w:tc>
          <w:tcPr>
            <w:tcW w:w="2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(136)</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2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deferred tax balances at December 31, 2021 and 2020 were net of valuation allowances relating to net operating losses in certain countries of $133 million and $127 million, respectively. Additionally, the deferred tax balances were net of valuation allowances relating to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ind w:left="2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320" w:type="dxa"/>
            <w:vAlign w:val="bottom"/>
            <w:tcBorders>
              <w:bottom w:val="single" w:sz="8" w:color="CCF0FC"/>
            </w:tcBorders>
          </w:tcPr>
          <w:p>
            <w:pPr>
              <w:spacing w:after="0"/>
              <w:rPr>
                <w:sz w:val="24"/>
                <w:szCs w:val="24"/>
                <w:color w:val="auto"/>
              </w:rPr>
            </w:pPr>
          </w:p>
        </w:tc>
        <w:tc>
          <w:tcPr>
            <w:tcW w:w="2960" w:type="dxa"/>
            <w:vAlign w:val="bottom"/>
            <w:tcBorders>
              <w:bottom w:val="single" w:sz="8" w:color="CC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F0FC"/>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F0FC"/>
            </w:tcBorders>
          </w:tcPr>
          <w:p>
            <w:pPr>
              <w:spacing w:after="0"/>
              <w:rPr>
                <w:sz w:val="24"/>
                <w:szCs w:val="24"/>
                <w:color w:val="auto"/>
              </w:rPr>
            </w:pPr>
          </w:p>
        </w:tc>
      </w:tr>
      <w:tr>
        <w:trPr>
          <w:trHeight w:val="223"/>
        </w:trPr>
        <w:tc>
          <w:tcPr>
            <w:tcW w:w="4320" w:type="dxa"/>
            <w:vAlign w:val="bottom"/>
            <w:shd w:val="clear" w:color="auto" w:fill="CCF0FC"/>
          </w:tcPr>
          <w:p>
            <w:pPr>
              <w:spacing w:after="0"/>
              <w:rPr>
                <w:sz w:val="20"/>
                <w:szCs w:val="20"/>
                <w:color w:val="auto"/>
              </w:rPr>
            </w:pPr>
            <w:r>
              <w:rPr>
                <w:rFonts w:ascii="Arial" w:cs="Arial" w:eastAsia="Arial" w:hAnsi="Arial"/>
                <w:sz w:val="18"/>
                <w:szCs w:val="18"/>
                <w:color w:val="auto"/>
              </w:rPr>
              <w:t>Foreign tax credits</w:t>
            </w:r>
          </w:p>
        </w:tc>
        <w:tc>
          <w:tcPr>
            <w:tcW w:w="2960" w:type="dxa"/>
            <w:vAlign w:val="bottom"/>
            <w:shd w:val="clear" w:color="auto" w:fill="CCF0FC"/>
          </w:tcPr>
          <w:p>
            <w:pPr>
              <w:spacing w:after="0"/>
              <w:rPr>
                <w:sz w:val="19"/>
                <w:szCs w:val="19"/>
                <w:color w:val="auto"/>
              </w:rPr>
            </w:pPr>
          </w:p>
        </w:tc>
        <w:tc>
          <w:tcPr>
            <w:tcW w:w="400" w:type="dxa"/>
            <w:vAlign w:val="bottom"/>
            <w:shd w:val="clear" w:color="auto" w:fill="CC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210</w:t>
            </w:r>
          </w:p>
        </w:tc>
        <w:tc>
          <w:tcPr>
            <w:tcW w:w="300" w:type="dxa"/>
            <w:vAlign w:val="bottom"/>
            <w:shd w:val="clear" w:color="auto" w:fill="CCF0FC"/>
          </w:tcPr>
          <w:p>
            <w:pPr>
              <w:spacing w:after="0"/>
              <w:rPr>
                <w:sz w:val="19"/>
                <w:szCs w:val="19"/>
                <w:color w:val="auto"/>
              </w:rPr>
            </w:pPr>
          </w:p>
        </w:tc>
        <w:tc>
          <w:tcPr>
            <w:tcW w:w="380" w:type="dxa"/>
            <w:vAlign w:val="bottom"/>
            <w:shd w:val="clear" w:color="auto" w:fill="CCF0FC"/>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F0FC"/>
          </w:tcPr>
          <w:p>
            <w:pPr>
              <w:spacing w:after="0"/>
              <w:rPr>
                <w:sz w:val="19"/>
                <w:szCs w:val="19"/>
                <w:color w:val="auto"/>
              </w:rPr>
            </w:pPr>
          </w:p>
        </w:tc>
      </w:tr>
      <w:tr>
        <w:trPr>
          <w:trHeight w:val="234"/>
        </w:trPr>
        <w:tc>
          <w:tcPr>
            <w:tcW w:w="4320" w:type="dxa"/>
            <w:vAlign w:val="bottom"/>
          </w:tcPr>
          <w:p>
            <w:pPr>
              <w:spacing w:after="0"/>
              <w:rPr>
                <w:sz w:val="20"/>
                <w:szCs w:val="20"/>
                <w:color w:val="auto"/>
              </w:rPr>
            </w:pPr>
            <w:r>
              <w:rPr>
                <w:rFonts w:ascii="Arial" w:cs="Arial" w:eastAsia="Arial" w:hAnsi="Arial"/>
                <w:sz w:val="18"/>
                <w:szCs w:val="18"/>
                <w:color w:val="auto"/>
              </w:rPr>
              <w:t>Capital losses</w:t>
            </w:r>
          </w:p>
        </w:tc>
        <w:tc>
          <w:tcPr>
            <w:tcW w:w="33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r>
    </w:tbl>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$390 million of the $427 million deferred tax asset relating to net operating losses at December 31, 2021 can be carried forward indefinitely. The vast majority of the remaining balance expires at various dates between 2030 and 2040.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3880" w:type="dxa"/>
            <w:vAlign w:val="bottom"/>
            <w:tcBorders>
              <w:bottom w:val="single" w:sz="8" w:color="CFF0FC"/>
            </w:tcBorders>
          </w:tcPr>
          <w:p>
            <w:pPr>
              <w:spacing w:after="0"/>
              <w:rPr>
                <w:sz w:val="24"/>
                <w:szCs w:val="24"/>
                <w:color w:val="auto"/>
              </w:rPr>
            </w:pPr>
          </w:p>
        </w:tc>
        <w:tc>
          <w:tcPr>
            <w:tcW w:w="23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United States-Federal</w:t>
            </w:r>
          </w:p>
        </w:tc>
        <w:tc>
          <w:tcPr>
            <w:tcW w:w="2620" w:type="dxa"/>
            <w:vAlign w:val="bottom"/>
            <w:gridSpan w:val="2"/>
          </w:tcPr>
          <w:p>
            <w:pPr>
              <w:jc w:val="right"/>
              <w:ind w:right="167"/>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29"/>
        </w:trPr>
        <w:tc>
          <w:tcPr>
            <w:tcW w:w="3880" w:type="dxa"/>
            <w:vAlign w:val="bottom"/>
            <w:shd w:val="clear" w:color="auto" w:fill="CCF0FC"/>
          </w:tcPr>
          <w:p>
            <w:pPr>
              <w:spacing w:after="0"/>
              <w:rPr>
                <w:sz w:val="20"/>
                <w:szCs w:val="20"/>
                <w:color w:val="auto"/>
              </w:rPr>
            </w:pPr>
            <w:r>
              <w:rPr>
                <w:rFonts w:ascii="Arial" w:cs="Arial" w:eastAsia="Arial" w:hAnsi="Arial"/>
                <w:sz w:val="18"/>
                <w:szCs w:val="18"/>
                <w:color w:val="auto"/>
              </w:rPr>
              <w:t>United States-State</w:t>
            </w:r>
          </w:p>
        </w:tc>
        <w:tc>
          <w:tcPr>
            <w:tcW w:w="2300" w:type="dxa"/>
            <w:vAlign w:val="bottom"/>
            <w:shd w:val="clear" w:color="auto" w:fill="CCF0FC"/>
          </w:tcPr>
          <w:p>
            <w:pPr>
              <w:spacing w:after="0"/>
              <w:rPr>
                <w:sz w:val="19"/>
                <w:szCs w:val="19"/>
                <w:color w:val="auto"/>
              </w:rPr>
            </w:pPr>
          </w:p>
        </w:tc>
        <w:tc>
          <w:tcPr>
            <w:tcW w:w="320" w:type="dxa"/>
            <w:vAlign w:val="bottom"/>
            <w:shd w:val="clear" w:color="auto" w:fill="CCF0FC"/>
          </w:tcPr>
          <w:p>
            <w:pPr>
              <w:spacing w:after="0"/>
              <w:rPr>
                <w:sz w:val="19"/>
                <w:szCs w:val="19"/>
                <w:color w:val="auto"/>
              </w:rPr>
            </w:pPr>
          </w:p>
        </w:tc>
        <w:tc>
          <w:tcPr>
            <w:tcW w:w="114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0FC"/>
          </w:tcPr>
          <w:p>
            <w:pPr>
              <w:spacing w:after="0"/>
              <w:rPr>
                <w:sz w:val="19"/>
                <w:szCs w:val="19"/>
                <w:color w:val="auto"/>
              </w:rPr>
            </w:pPr>
          </w:p>
        </w:tc>
        <w:tc>
          <w:tcPr>
            <w:tcW w:w="320" w:type="dxa"/>
            <w:vAlign w:val="bottom"/>
            <w:shd w:val="clear" w:color="auto" w:fill="CCF0FC"/>
          </w:tcPr>
          <w:p>
            <w:pPr>
              <w:spacing w:after="0"/>
              <w:rPr>
                <w:sz w:val="19"/>
                <w:szCs w:val="19"/>
                <w:color w:val="auto"/>
              </w:rPr>
            </w:pPr>
          </w:p>
        </w:tc>
        <w:tc>
          <w:tcPr>
            <w:tcW w:w="1160" w:type="dxa"/>
            <w:vAlign w:val="bottom"/>
            <w:shd w:val="clear" w:color="auto" w:fill="CC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200" w:type="dxa"/>
            <w:vAlign w:val="bottom"/>
            <w:shd w:val="clear" w:color="auto" w:fill="CCF0FC"/>
          </w:tcPr>
          <w:p>
            <w:pPr>
              <w:spacing w:after="0"/>
              <w:rPr>
                <w:sz w:val="19"/>
                <w:szCs w:val="19"/>
                <w:color w:val="auto"/>
              </w:rPr>
            </w:pPr>
          </w:p>
        </w:tc>
        <w:tc>
          <w:tcPr>
            <w:tcW w:w="126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0FC"/>
          </w:tcPr>
          <w:p>
            <w:pPr>
              <w:spacing w:after="0"/>
              <w:rPr>
                <w:sz w:val="19"/>
                <w:szCs w:val="19"/>
                <w:color w:val="auto"/>
              </w:rPr>
            </w:pPr>
          </w:p>
        </w:tc>
      </w:tr>
      <w:tr>
        <w:trPr>
          <w:trHeight w:val="230"/>
        </w:trPr>
        <w:tc>
          <w:tcPr>
            <w:tcW w:w="3880" w:type="dxa"/>
            <w:vAlign w:val="bottom"/>
            <w:tcBorders>
              <w:bottom w:val="single" w:sz="8" w:color="CCF0FC"/>
            </w:tcBorders>
          </w:tcPr>
          <w:p>
            <w:pPr>
              <w:spacing w:after="0"/>
              <w:rPr>
                <w:sz w:val="20"/>
                <w:szCs w:val="20"/>
                <w:color w:val="auto"/>
              </w:rPr>
            </w:pPr>
            <w:r>
              <w:rPr>
                <w:rFonts w:ascii="Arial" w:cs="Arial" w:eastAsia="Arial" w:hAnsi="Arial"/>
                <w:sz w:val="18"/>
                <w:szCs w:val="18"/>
                <w:color w:val="auto"/>
              </w:rPr>
              <w:t>Outside United States</w:t>
            </w:r>
          </w:p>
        </w:tc>
        <w:tc>
          <w:tcPr>
            <w:tcW w:w="2300" w:type="dxa"/>
            <w:vAlign w:val="bottom"/>
            <w:tcBorders>
              <w:bottom w:val="single" w:sz="8" w:color="CC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280" w:type="dxa"/>
            <w:vAlign w:val="bottom"/>
            <w:tcBorders>
              <w:bottom w:val="single" w:sz="8" w:color="CC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Borders>
              <w:bottom w:val="single" w:sz="8" w:color="CCF0FC"/>
            </w:tcBorders>
          </w:tcPr>
          <w:p>
            <w:pPr>
              <w:spacing w:after="0"/>
              <w:rPr>
                <w:sz w:val="19"/>
                <w:szCs w:val="19"/>
                <w:color w:val="auto"/>
              </w:rPr>
            </w:pPr>
          </w:p>
        </w:tc>
        <w:tc>
          <w:tcPr>
            <w:tcW w:w="20" w:type="dxa"/>
            <w:vAlign w:val="bottom"/>
            <w:tcBorders>
              <w:bottom w:val="single" w:sz="8" w:color="CC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F0FC"/>
            </w:tcBorders>
          </w:tcPr>
          <w:p>
            <w:pPr>
              <w:spacing w:after="0"/>
              <w:rPr>
                <w:sz w:val="19"/>
                <w:szCs w:val="19"/>
                <w:color w:val="auto"/>
              </w:rPr>
            </w:pPr>
          </w:p>
        </w:tc>
      </w:tr>
      <w:tr>
        <w:trPr>
          <w:trHeight w:val="223"/>
        </w:trPr>
        <w:tc>
          <w:tcPr>
            <w:tcW w:w="3880" w:type="dxa"/>
            <w:vAlign w:val="bottom"/>
            <w:shd w:val="clear" w:color="auto" w:fill="CCF0FC"/>
          </w:tcPr>
          <w:p>
            <w:pPr>
              <w:spacing w:after="0"/>
              <w:rPr>
                <w:sz w:val="19"/>
                <w:szCs w:val="19"/>
                <w:color w:val="auto"/>
              </w:rPr>
            </w:pPr>
          </w:p>
        </w:tc>
        <w:tc>
          <w:tcPr>
            <w:tcW w:w="2300" w:type="dxa"/>
            <w:vAlign w:val="bottom"/>
            <w:shd w:val="clear" w:color="auto" w:fill="CCF0FC"/>
          </w:tcPr>
          <w:p>
            <w:pPr>
              <w:spacing w:after="0"/>
              <w:rPr>
                <w:sz w:val="19"/>
                <w:szCs w:val="19"/>
                <w:color w:val="auto"/>
              </w:rPr>
            </w:pPr>
          </w:p>
        </w:tc>
        <w:tc>
          <w:tcPr>
            <w:tcW w:w="320" w:type="dxa"/>
            <w:vAlign w:val="bottom"/>
            <w:tcBorders>
              <w:bottom w:val="single" w:sz="8" w:color="auto"/>
            </w:tcBorders>
            <w:shd w:val="clear" w:color="auto" w:fill="CCF0FC"/>
          </w:tcPr>
          <w:p>
            <w:pPr>
              <w:spacing w:after="0"/>
              <w:rPr>
                <w:sz w:val="19"/>
                <w:szCs w:val="19"/>
                <w:color w:val="auto"/>
              </w:rPr>
            </w:pPr>
          </w:p>
        </w:tc>
        <w:tc>
          <w:tcPr>
            <w:tcW w:w="11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477</w:t>
            </w:r>
          </w:p>
        </w:tc>
        <w:tc>
          <w:tcPr>
            <w:tcW w:w="280" w:type="dxa"/>
            <w:vAlign w:val="bottom"/>
            <w:shd w:val="clear" w:color="auto" w:fill="CCF0FC"/>
          </w:tcPr>
          <w:p>
            <w:pPr>
              <w:spacing w:after="0"/>
              <w:rPr>
                <w:sz w:val="19"/>
                <w:szCs w:val="19"/>
                <w:color w:val="auto"/>
              </w:rPr>
            </w:pPr>
          </w:p>
        </w:tc>
        <w:tc>
          <w:tcPr>
            <w:tcW w:w="320" w:type="dxa"/>
            <w:vAlign w:val="bottom"/>
            <w:tcBorders>
              <w:bottom w:val="single" w:sz="8" w:color="auto"/>
            </w:tcBorders>
            <w:shd w:val="clear" w:color="auto" w:fill="CCF0FC"/>
          </w:tcPr>
          <w:p>
            <w:pPr>
              <w:spacing w:after="0"/>
              <w:rPr>
                <w:sz w:val="19"/>
                <w:szCs w:val="19"/>
                <w:color w:val="auto"/>
              </w:rPr>
            </w:pPr>
          </w:p>
        </w:tc>
        <w:tc>
          <w:tcPr>
            <w:tcW w:w="116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CF0FC"/>
          </w:tcPr>
          <w:p>
            <w:pPr>
              <w:spacing w:after="0"/>
              <w:rPr>
                <w:sz w:val="19"/>
                <w:szCs w:val="19"/>
                <w:color w:val="auto"/>
              </w:rPr>
            </w:pPr>
          </w:p>
        </w:tc>
        <w:tc>
          <w:tcPr>
            <w:tcW w:w="20" w:type="dxa"/>
            <w:vAlign w:val="bottom"/>
            <w:shd w:val="clear" w:color="auto" w:fill="CCF0FC"/>
          </w:tcPr>
          <w:p>
            <w:pPr>
              <w:spacing w:after="0"/>
              <w:rPr>
                <w:sz w:val="19"/>
                <w:szCs w:val="19"/>
                <w:color w:val="auto"/>
              </w:rPr>
            </w:pPr>
          </w:p>
        </w:tc>
        <w:tc>
          <w:tcPr>
            <w:tcW w:w="200" w:type="dxa"/>
            <w:vAlign w:val="bottom"/>
            <w:tcBorders>
              <w:bottom w:val="single" w:sz="8" w:color="auto"/>
            </w:tcBorders>
            <w:shd w:val="clear" w:color="auto" w:fill="CCF0FC"/>
          </w:tcPr>
          <w:p>
            <w:pPr>
              <w:spacing w:after="0"/>
              <w:rPr>
                <w:sz w:val="19"/>
                <w:szCs w:val="19"/>
                <w:color w:val="auto"/>
              </w:rPr>
            </w:pPr>
          </w:p>
        </w:tc>
        <w:tc>
          <w:tcPr>
            <w:tcW w:w="126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Deferred:</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80" w:type="dxa"/>
            <w:vAlign w:val="bottom"/>
            <w:shd w:val="clear" w:color="auto" w:fill="CCF0FC"/>
          </w:tcPr>
          <w:p>
            <w:pPr>
              <w:spacing w:after="0"/>
              <w:rPr>
                <w:sz w:val="20"/>
                <w:szCs w:val="20"/>
                <w:color w:val="auto"/>
              </w:rPr>
            </w:pPr>
            <w:r>
              <w:rPr>
                <w:rFonts w:ascii="Arial" w:cs="Arial" w:eastAsia="Arial" w:hAnsi="Arial"/>
                <w:sz w:val="18"/>
                <w:szCs w:val="18"/>
                <w:color w:val="auto"/>
              </w:rPr>
              <w:t>United States-Federal</w:t>
            </w:r>
          </w:p>
        </w:tc>
        <w:tc>
          <w:tcPr>
            <w:tcW w:w="2620" w:type="dxa"/>
            <w:vAlign w:val="bottom"/>
            <w:gridSpan w:val="2"/>
            <w:shd w:val="clear" w:color="auto" w:fill="CCF0FC"/>
          </w:tcPr>
          <w:p>
            <w:pPr>
              <w:jc w:val="right"/>
              <w:ind w:right="167"/>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F0FC"/>
          </w:tcPr>
          <w:p>
            <w:pPr>
              <w:jc w:val="right"/>
              <w:ind w:right="220"/>
              <w:spacing w:after="0"/>
              <w:rPr>
                <w:sz w:val="20"/>
                <w:szCs w:val="20"/>
                <w:color w:val="auto"/>
              </w:rPr>
            </w:pPr>
            <w:r>
              <w:rPr>
                <w:rFonts w:ascii="Arial" w:cs="Arial" w:eastAsia="Arial" w:hAnsi="Arial"/>
                <w:sz w:val="18"/>
                <w:szCs w:val="18"/>
                <w:b w:val="1"/>
                <w:bCs w:val="1"/>
                <w:color w:val="auto"/>
              </w:rPr>
              <w:t>(132)</w:t>
            </w:r>
          </w:p>
        </w:tc>
        <w:tc>
          <w:tcPr>
            <w:tcW w:w="320" w:type="dxa"/>
            <w:vAlign w:val="bottom"/>
            <w:shd w:val="clear" w:color="auto" w:fill="CCF0FC"/>
          </w:tcPr>
          <w:p>
            <w:pPr>
              <w:jc w:val="right"/>
              <w:ind w:right="16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0FC"/>
          </w:tcPr>
          <w:p>
            <w:pPr>
              <w:jc w:val="right"/>
              <w:ind w:right="200"/>
              <w:spacing w:after="0"/>
              <w:rPr>
                <w:sz w:val="20"/>
                <w:szCs w:val="20"/>
                <w:color w:val="auto"/>
              </w:rPr>
            </w:pPr>
            <w:r>
              <w:rPr>
                <w:rFonts w:ascii="Arial" w:cs="Arial" w:eastAsia="Arial" w:hAnsi="Arial"/>
                <w:sz w:val="18"/>
                <w:szCs w:val="18"/>
                <w:color w:val="auto"/>
              </w:rPr>
              <w:t>(824)</w:t>
            </w:r>
          </w:p>
        </w:tc>
        <w:tc>
          <w:tcPr>
            <w:tcW w:w="220" w:type="dxa"/>
            <w:vAlign w:val="bottom"/>
            <w:gridSpan w:val="2"/>
            <w:shd w:val="clear" w:color="auto" w:fill="CCF0FC"/>
          </w:tcPr>
          <w:p>
            <w:pPr>
              <w:jc w:val="right"/>
              <w:ind w:right="47"/>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0FC"/>
          </w:tcPr>
          <w:p>
            <w:pPr>
              <w:jc w:val="right"/>
              <w:ind w:right="40"/>
              <w:spacing w:after="0"/>
              <w:rPr>
                <w:sz w:val="20"/>
                <w:szCs w:val="20"/>
                <w:color w:val="auto"/>
              </w:rPr>
            </w:pPr>
            <w:r>
              <w:rPr>
                <w:rFonts w:ascii="Arial" w:cs="Arial" w:eastAsia="Arial" w:hAnsi="Arial"/>
                <w:sz w:val="18"/>
                <w:szCs w:val="18"/>
                <w:color w:val="auto"/>
              </w:rPr>
              <w:t>(660)</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United States-State</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3880" w:type="dxa"/>
            <w:vAlign w:val="bottom"/>
            <w:shd w:val="clear" w:color="auto" w:fill="CCF0FC"/>
          </w:tcPr>
          <w:p>
            <w:pPr>
              <w:spacing w:after="0"/>
              <w:rPr>
                <w:sz w:val="20"/>
                <w:szCs w:val="20"/>
                <w:color w:val="auto"/>
              </w:rPr>
            </w:pPr>
            <w:r>
              <w:rPr>
                <w:rFonts w:ascii="Arial" w:cs="Arial" w:eastAsia="Arial" w:hAnsi="Arial"/>
                <w:sz w:val="18"/>
                <w:szCs w:val="18"/>
                <w:color w:val="auto"/>
              </w:rPr>
              <w:t>Outside United States</w:t>
            </w:r>
          </w:p>
        </w:tc>
        <w:tc>
          <w:tcPr>
            <w:tcW w:w="2300" w:type="dxa"/>
            <w:vAlign w:val="bottom"/>
            <w:shd w:val="clear" w:color="auto" w:fill="CCF0FC"/>
          </w:tcPr>
          <w:p>
            <w:pPr>
              <w:spacing w:after="0"/>
              <w:rPr>
                <w:sz w:val="19"/>
                <w:szCs w:val="19"/>
                <w:color w:val="auto"/>
              </w:rPr>
            </w:pPr>
          </w:p>
        </w:tc>
        <w:tc>
          <w:tcPr>
            <w:tcW w:w="320" w:type="dxa"/>
            <w:vAlign w:val="bottom"/>
            <w:shd w:val="clear" w:color="auto" w:fill="CCF0FC"/>
          </w:tcPr>
          <w:p>
            <w:pPr>
              <w:spacing w:after="0"/>
              <w:rPr>
                <w:sz w:val="19"/>
                <w:szCs w:val="19"/>
                <w:color w:val="auto"/>
              </w:rPr>
            </w:pPr>
          </w:p>
        </w:tc>
        <w:tc>
          <w:tcPr>
            <w:tcW w:w="1420" w:type="dxa"/>
            <w:vAlign w:val="bottom"/>
            <w:gridSpan w:val="2"/>
            <w:shd w:val="clear" w:color="auto" w:fill="CCF0FC"/>
          </w:tcPr>
          <w:p>
            <w:pPr>
              <w:jc w:val="right"/>
              <w:ind w:right="22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F0FC"/>
          </w:tcPr>
          <w:p>
            <w:pPr>
              <w:spacing w:after="0"/>
              <w:rPr>
                <w:sz w:val="19"/>
                <w:szCs w:val="19"/>
                <w:color w:val="auto"/>
              </w:rPr>
            </w:pPr>
          </w:p>
        </w:tc>
        <w:tc>
          <w:tcPr>
            <w:tcW w:w="1420" w:type="dxa"/>
            <w:vAlign w:val="bottom"/>
            <w:gridSpan w:val="2"/>
            <w:shd w:val="clear" w:color="auto" w:fill="CCF0FC"/>
          </w:tcPr>
          <w:p>
            <w:pPr>
              <w:jc w:val="right"/>
              <w:ind w:right="20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F0FC"/>
          </w:tcPr>
          <w:p>
            <w:pPr>
              <w:spacing w:after="0"/>
              <w:rPr>
                <w:sz w:val="19"/>
                <w:szCs w:val="19"/>
                <w:color w:val="auto"/>
              </w:rPr>
            </w:pPr>
          </w:p>
        </w:tc>
        <w:tc>
          <w:tcPr>
            <w:tcW w:w="200" w:type="dxa"/>
            <w:vAlign w:val="bottom"/>
            <w:shd w:val="clear" w:color="auto" w:fill="CCF0FC"/>
          </w:tcPr>
          <w:p>
            <w:pPr>
              <w:spacing w:after="0"/>
              <w:rPr>
                <w:sz w:val="19"/>
                <w:szCs w:val="19"/>
                <w:color w:val="auto"/>
              </w:rPr>
            </w:pPr>
          </w:p>
        </w:tc>
        <w:tc>
          <w:tcPr>
            <w:tcW w:w="1360" w:type="dxa"/>
            <w:vAlign w:val="bottom"/>
            <w:gridSpan w:val="2"/>
            <w:shd w:val="clear" w:color="auto" w:fill="CCF0FC"/>
          </w:tcPr>
          <w:p>
            <w:pPr>
              <w:jc w:val="right"/>
              <w:ind w:right="40"/>
              <w:spacing w:after="0"/>
              <w:rPr>
                <w:sz w:val="20"/>
                <w:szCs w:val="20"/>
                <w:color w:val="auto"/>
              </w:rPr>
            </w:pPr>
            <w:r>
              <w:rPr>
                <w:rFonts w:ascii="Arial" w:cs="Arial" w:eastAsia="Arial" w:hAnsi="Arial"/>
                <w:sz w:val="18"/>
                <w:szCs w:val="18"/>
                <w:color w:val="auto"/>
              </w:rPr>
              <w:t>(257)</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Valuation allowance</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3880" w:type="dxa"/>
            <w:vAlign w:val="bottom"/>
            <w:tcBorders>
              <w:top w:val="single" w:sz="8" w:color="CCF0FC"/>
            </w:tcBorders>
            <w:shd w:val="clear" w:color="auto" w:fill="CCF0FC"/>
          </w:tcPr>
          <w:p>
            <w:pPr>
              <w:spacing w:after="0"/>
              <w:rPr>
                <w:sz w:val="19"/>
                <w:szCs w:val="19"/>
                <w:color w:val="auto"/>
              </w:rPr>
            </w:pPr>
          </w:p>
        </w:tc>
        <w:tc>
          <w:tcPr>
            <w:tcW w:w="2300" w:type="dxa"/>
            <w:vAlign w:val="bottom"/>
            <w:tcBorders>
              <w:top w:val="single" w:sz="8" w:color="CCF0FC"/>
            </w:tcBorders>
            <w:shd w:val="clear" w:color="auto" w:fill="CCF0FC"/>
          </w:tcPr>
          <w:p>
            <w:pPr>
              <w:spacing w:after="0"/>
              <w:rPr>
                <w:sz w:val="19"/>
                <w:szCs w:val="19"/>
                <w:color w:val="auto"/>
              </w:rPr>
            </w:pPr>
          </w:p>
        </w:tc>
        <w:tc>
          <w:tcPr>
            <w:tcW w:w="320" w:type="dxa"/>
            <w:vAlign w:val="bottom"/>
            <w:tcBorders>
              <w:top w:val="single" w:sz="8" w:color="auto"/>
              <w:bottom w:val="single" w:sz="8" w:color="auto"/>
            </w:tcBorders>
            <w:shd w:val="clear" w:color="auto" w:fill="CCF0FC"/>
          </w:tcPr>
          <w:p>
            <w:pPr>
              <w:spacing w:after="0"/>
              <w:rPr>
                <w:sz w:val="19"/>
                <w:szCs w:val="19"/>
                <w:color w:val="auto"/>
              </w:rPr>
            </w:pPr>
          </w:p>
        </w:tc>
        <w:tc>
          <w:tcPr>
            <w:tcW w:w="114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tcBorders>
              <w:top w:val="single" w:sz="8" w:color="CCF0FC"/>
            </w:tcBorders>
            <w:shd w:val="clear" w:color="auto" w:fill="CCF0FC"/>
          </w:tcPr>
          <w:p>
            <w:pPr>
              <w:spacing w:after="0"/>
              <w:rPr>
                <w:sz w:val="19"/>
                <w:szCs w:val="19"/>
                <w:color w:val="auto"/>
              </w:rPr>
            </w:pPr>
          </w:p>
        </w:tc>
        <w:tc>
          <w:tcPr>
            <w:tcW w:w="320" w:type="dxa"/>
            <w:vAlign w:val="bottom"/>
            <w:tcBorders>
              <w:top w:val="single" w:sz="8" w:color="auto"/>
              <w:bottom w:val="single" w:sz="8" w:color="auto"/>
            </w:tcBorders>
            <w:shd w:val="clear" w:color="auto" w:fill="CCF0FC"/>
          </w:tcPr>
          <w:p>
            <w:pPr>
              <w:spacing w:after="0"/>
              <w:rPr>
                <w:sz w:val="19"/>
                <w:szCs w:val="19"/>
                <w:color w:val="auto"/>
              </w:rPr>
            </w:pPr>
          </w:p>
        </w:tc>
        <w:tc>
          <w:tcPr>
            <w:tcW w:w="116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(1,248)</w:t>
            </w:r>
          </w:p>
        </w:tc>
        <w:tc>
          <w:tcPr>
            <w:tcW w:w="260" w:type="dxa"/>
            <w:vAlign w:val="bottom"/>
            <w:tcBorders>
              <w:top w:val="single" w:sz="8" w:color="CCF0FC"/>
            </w:tcBorders>
            <w:shd w:val="clear" w:color="auto" w:fill="CCF0FC"/>
          </w:tcPr>
          <w:p>
            <w:pPr>
              <w:spacing w:after="0"/>
              <w:rPr>
                <w:sz w:val="19"/>
                <w:szCs w:val="19"/>
                <w:color w:val="auto"/>
              </w:rPr>
            </w:pPr>
          </w:p>
        </w:tc>
        <w:tc>
          <w:tcPr>
            <w:tcW w:w="20" w:type="dxa"/>
            <w:vAlign w:val="bottom"/>
            <w:tcBorders>
              <w:top w:val="single" w:sz="8" w:color="CCF0FC"/>
            </w:tcBorders>
            <w:shd w:val="clear" w:color="auto" w:fill="CCF0FC"/>
          </w:tcPr>
          <w:p>
            <w:pPr>
              <w:spacing w:after="0"/>
              <w:rPr>
                <w:sz w:val="19"/>
                <w:szCs w:val="19"/>
                <w:color w:val="auto"/>
              </w:rPr>
            </w:pPr>
          </w:p>
        </w:tc>
        <w:tc>
          <w:tcPr>
            <w:tcW w:w="200" w:type="dxa"/>
            <w:vAlign w:val="bottom"/>
            <w:tcBorders>
              <w:top w:val="single" w:sz="8" w:color="auto"/>
              <w:bottom w:val="single" w:sz="8" w:color="auto"/>
            </w:tcBorders>
            <w:shd w:val="clear" w:color="auto" w:fill="CCF0FC"/>
          </w:tcPr>
          <w:p>
            <w:pPr>
              <w:spacing w:after="0"/>
              <w:rPr>
                <w:sz w:val="19"/>
                <w:szCs w:val="19"/>
                <w:color w:val="auto"/>
              </w:rPr>
            </w:pPr>
          </w:p>
        </w:tc>
        <w:tc>
          <w:tcPr>
            <w:tcW w:w="1260" w:type="dxa"/>
            <w:vAlign w:val="bottom"/>
            <w:tcBorders>
              <w:top w:val="single" w:sz="8" w:color="auto"/>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top w:val="single" w:sz="8" w:color="CCF0FC"/>
            </w:tcBorders>
            <w:shd w:val="clear" w:color="auto" w:fill="CCF0FC"/>
          </w:tcPr>
          <w:p>
            <w:pPr>
              <w:spacing w:after="0"/>
              <w:rPr>
                <w:sz w:val="19"/>
                <w:szCs w:val="19"/>
                <w:color w:val="auto"/>
              </w:rPr>
            </w:pPr>
          </w:p>
        </w:tc>
      </w:tr>
      <w:tr>
        <w:trPr>
          <w:trHeight w:val="223"/>
        </w:trPr>
        <w:tc>
          <w:tcPr>
            <w:tcW w:w="3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United States statutory federal tax rate to the consolidated effective tax rate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F0FC"/>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F0F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F0F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F0FC"/>
            </w:tcBorders>
          </w:tcPr>
          <w:p>
            <w:pPr>
              <w:spacing w:after="0"/>
              <w:rPr>
                <w:sz w:val="20"/>
                <w:szCs w:val="20"/>
                <w:color w:val="auto"/>
              </w:rPr>
            </w:pPr>
          </w:p>
        </w:tc>
      </w:tr>
      <w:tr>
        <w:trPr>
          <w:trHeight w:val="223"/>
        </w:trPr>
        <w:tc>
          <w:tcPr>
            <w:tcW w:w="6020" w:type="dxa"/>
            <w:vAlign w:val="bottom"/>
            <w:shd w:val="clear" w:color="auto" w:fill="CCF0FC"/>
          </w:tcPr>
          <w:p>
            <w:pPr>
              <w:spacing w:after="0"/>
              <w:rPr>
                <w:sz w:val="20"/>
                <w:szCs w:val="20"/>
                <w:color w:val="auto"/>
              </w:rPr>
            </w:pPr>
            <w:r>
              <w:rPr>
                <w:rFonts w:ascii="Arial" w:cs="Arial" w:eastAsia="Arial" w:hAnsi="Arial"/>
                <w:sz w:val="18"/>
                <w:szCs w:val="18"/>
                <w:color w:val="auto"/>
              </w:rPr>
              <w:t>US federal statutory rate</w:t>
            </w:r>
          </w:p>
        </w:tc>
        <w:tc>
          <w:tcPr>
            <w:tcW w:w="1820" w:type="dxa"/>
            <w:vAlign w:val="bottom"/>
            <w:gridSpan w:val="2"/>
            <w:shd w:val="clear" w:color="auto" w:fill="CCF0FC"/>
          </w:tcPr>
          <w:p>
            <w:pPr>
              <w:jc w:val="right"/>
              <w:ind w:right="180"/>
              <w:spacing w:after="0"/>
              <w:rPr>
                <w:sz w:val="20"/>
                <w:szCs w:val="20"/>
                <w:color w:val="auto"/>
              </w:rPr>
            </w:pPr>
            <w:r>
              <w:rPr>
                <w:rFonts w:ascii="Arial" w:cs="Arial" w:eastAsia="Arial" w:hAnsi="Arial"/>
                <w:sz w:val="18"/>
                <w:szCs w:val="18"/>
                <w:b w:val="1"/>
                <w:bCs w:val="1"/>
                <w:color w:val="auto"/>
              </w:rPr>
              <w:t>21%</w:t>
            </w:r>
          </w:p>
        </w:tc>
        <w:tc>
          <w:tcPr>
            <w:tcW w:w="1780" w:type="dxa"/>
            <w:vAlign w:val="bottom"/>
            <w:gridSpan w:val="2"/>
            <w:shd w:val="clear" w:color="auto" w:fill="CCF0FC"/>
          </w:tcPr>
          <w:p>
            <w:pPr>
              <w:jc w:val="right"/>
              <w:ind w:right="180"/>
              <w:spacing w:after="0"/>
              <w:rPr>
                <w:sz w:val="20"/>
                <w:szCs w:val="20"/>
                <w:color w:val="auto"/>
              </w:rPr>
            </w:pPr>
            <w:r>
              <w:rPr>
                <w:rFonts w:ascii="Arial" w:cs="Arial" w:eastAsia="Arial" w:hAnsi="Arial"/>
                <w:sz w:val="18"/>
                <w:szCs w:val="18"/>
                <w:color w:val="auto"/>
              </w:rPr>
              <w:t>21%</w:t>
            </w:r>
          </w:p>
        </w:tc>
        <w:tc>
          <w:tcPr>
            <w:tcW w:w="1620" w:type="dxa"/>
            <w:vAlign w:val="bottom"/>
            <w:gridSpan w:val="2"/>
            <w:shd w:val="clear" w:color="auto" w:fill="CCF0FC"/>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Charges and credits (See Note 3)</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29"/>
        </w:trPr>
        <w:tc>
          <w:tcPr>
            <w:tcW w:w="6020" w:type="dxa"/>
            <w:vAlign w:val="bottom"/>
            <w:shd w:val="clear" w:color="auto" w:fill="CCF0FC"/>
          </w:tcPr>
          <w:p>
            <w:pPr>
              <w:spacing w:after="0"/>
              <w:rPr>
                <w:sz w:val="20"/>
                <w:szCs w:val="20"/>
                <w:color w:val="auto"/>
              </w:rPr>
            </w:pPr>
            <w:r>
              <w:rPr>
                <w:rFonts w:ascii="Arial" w:cs="Arial" w:eastAsia="Arial" w:hAnsi="Arial"/>
                <w:sz w:val="18"/>
                <w:szCs w:val="18"/>
                <w:color w:val="auto"/>
              </w:rPr>
              <w:t>Other</w:t>
            </w:r>
          </w:p>
        </w:tc>
        <w:tc>
          <w:tcPr>
            <w:tcW w:w="1820" w:type="dxa"/>
            <w:vAlign w:val="bottom"/>
            <w:gridSpan w:val="2"/>
            <w:shd w:val="clear" w:color="auto" w:fill="CCF0FC"/>
          </w:tcPr>
          <w:p>
            <w:pPr>
              <w:jc w:val="right"/>
              <w:ind w:right="300"/>
              <w:spacing w:after="0"/>
              <w:rPr>
                <w:sz w:val="20"/>
                <w:szCs w:val="20"/>
                <w:color w:val="auto"/>
              </w:rPr>
            </w:pPr>
            <w:r>
              <w:rPr>
                <w:rFonts w:ascii="Arial" w:cs="Arial" w:eastAsia="Arial" w:hAnsi="Arial"/>
                <w:sz w:val="18"/>
                <w:szCs w:val="18"/>
                <w:b w:val="1"/>
                <w:bCs w:val="1"/>
                <w:color w:val="auto"/>
              </w:rPr>
              <w:t>(2)</w:t>
            </w:r>
          </w:p>
        </w:tc>
        <w:tc>
          <w:tcPr>
            <w:tcW w:w="1440" w:type="dxa"/>
            <w:vAlign w:val="bottom"/>
            <w:shd w:val="clear" w:color="auto" w:fill="CC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0FC"/>
          </w:tcPr>
          <w:p>
            <w:pPr>
              <w:spacing w:after="0"/>
              <w:rPr>
                <w:sz w:val="19"/>
                <w:szCs w:val="19"/>
                <w:color w:val="auto"/>
              </w:rPr>
            </w:pPr>
          </w:p>
        </w:tc>
        <w:tc>
          <w:tcPr>
            <w:tcW w:w="144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F0FC"/>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60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60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number of the jurisdictions in which Schlumberger operates have tax laws that are not fully defined and are evolving. Schlumberger’s tax filings are subject to regular audit by the tax authorities. These audits may result in assessments for additional taxes that are resolved with the tax authorities or, potentially, through the courts. Tax liabilities are recorded based on estimates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ind w:right="20"/>
        <w:spacing w:after="0" w:line="277" w:lineRule="auto"/>
        <w:rPr>
          <w:sz w:val="20"/>
          <w:szCs w:val="20"/>
          <w:color w:val="auto"/>
        </w:rPr>
      </w:pPr>
      <w:r>
        <w:rPr>
          <w:rFonts w:ascii="Arial" w:cs="Arial" w:eastAsia="Arial" w:hAnsi="Arial"/>
          <w:sz w:val="18"/>
          <w:szCs w:val="18"/>
          <w:color w:val="auto"/>
        </w:rPr>
        <w:t>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beginning and ending amount of liabilities associated with uncertain tax positions for the years ended December 31, 2021, 2020 and 2019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Borders>
              <w:bottom w:val="single" w:sz="8" w:color="CCF0FC"/>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CC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F0FC"/>
            </w:tcBorders>
          </w:tcPr>
          <w:p>
            <w:pPr>
              <w:spacing w:after="0"/>
              <w:rPr>
                <w:sz w:val="24"/>
                <w:szCs w:val="24"/>
                <w:color w:val="auto"/>
              </w:rPr>
            </w:pPr>
          </w:p>
        </w:tc>
      </w:tr>
      <w:tr>
        <w:trPr>
          <w:trHeight w:val="223"/>
        </w:trPr>
        <w:tc>
          <w:tcPr>
            <w:tcW w:w="6600" w:type="dxa"/>
            <w:vAlign w:val="bottom"/>
            <w:shd w:val="clear" w:color="auto" w:fill="CCF0FC"/>
          </w:tcPr>
          <w:p>
            <w:pPr>
              <w:spacing w:after="0"/>
              <w:rPr>
                <w:sz w:val="20"/>
                <w:szCs w:val="20"/>
                <w:color w:val="auto"/>
              </w:rPr>
            </w:pPr>
            <w:r>
              <w:rPr>
                <w:rFonts w:ascii="Arial" w:cs="Arial" w:eastAsia="Arial" w:hAnsi="Arial"/>
                <w:sz w:val="18"/>
                <w:szCs w:val="18"/>
                <w:color w:val="auto"/>
              </w:rPr>
              <w:t>Balance at beginning of year</w:t>
            </w:r>
          </w:p>
        </w:tc>
        <w:tc>
          <w:tcPr>
            <w:tcW w:w="880" w:type="dxa"/>
            <w:vAlign w:val="bottom"/>
            <w:shd w:val="clear" w:color="auto" w:fill="CCF0FC"/>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w w:val="93"/>
              </w:rPr>
              <w:t>1,271</w:t>
            </w:r>
          </w:p>
        </w:tc>
        <w:tc>
          <w:tcPr>
            <w:tcW w:w="240" w:type="dxa"/>
            <w:vAlign w:val="bottom"/>
            <w:shd w:val="clear" w:color="auto" w:fill="CCF0FC"/>
          </w:tcPr>
          <w:p>
            <w:pPr>
              <w:spacing w:after="0"/>
              <w:rPr>
                <w:sz w:val="19"/>
                <w:szCs w:val="19"/>
                <w:color w:val="auto"/>
              </w:rPr>
            </w:pPr>
          </w:p>
        </w:tc>
        <w:tc>
          <w:tcPr>
            <w:tcW w:w="300" w:type="dxa"/>
            <w:vAlign w:val="bottom"/>
            <w:shd w:val="clear" w:color="auto" w:fill="CC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1,301</w:t>
            </w:r>
          </w:p>
        </w:tc>
        <w:tc>
          <w:tcPr>
            <w:tcW w:w="260" w:type="dxa"/>
            <w:vAlign w:val="bottom"/>
            <w:shd w:val="clear" w:color="auto" w:fill="CCF0FC"/>
          </w:tcPr>
          <w:p>
            <w:pPr>
              <w:spacing w:after="0"/>
              <w:rPr>
                <w:sz w:val="19"/>
                <w:szCs w:val="19"/>
                <w:color w:val="auto"/>
              </w:rPr>
            </w:pPr>
          </w:p>
        </w:tc>
        <w:tc>
          <w:tcPr>
            <w:tcW w:w="160" w:type="dxa"/>
            <w:vAlign w:val="bottom"/>
            <w:shd w:val="clear" w:color="auto" w:fill="CC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r>
      <w:tr>
        <w:trPr>
          <w:trHeight w:val="229"/>
        </w:trPr>
        <w:tc>
          <w:tcPr>
            <w:tcW w:w="6600" w:type="dxa"/>
            <w:vAlign w:val="bottom"/>
            <w:shd w:val="clear" w:color="auto" w:fill="CCF0FC"/>
          </w:tcPr>
          <w:p>
            <w:pPr>
              <w:spacing w:after="0"/>
              <w:rPr>
                <w:sz w:val="20"/>
                <w:szCs w:val="20"/>
                <w:color w:val="auto"/>
              </w:rPr>
            </w:pPr>
            <w:r>
              <w:rPr>
                <w:rFonts w:ascii="Arial" w:cs="Arial" w:eastAsia="Arial" w:hAnsi="Arial"/>
                <w:sz w:val="18"/>
                <w:szCs w:val="18"/>
                <w:color w:val="auto"/>
              </w:rPr>
              <w:t>Additions for tax positions of prior years</w:t>
            </w:r>
          </w:p>
        </w:tc>
        <w:tc>
          <w:tcPr>
            <w:tcW w:w="880" w:type="dxa"/>
            <w:vAlign w:val="bottom"/>
            <w:shd w:val="clear" w:color="auto" w:fill="CCF0FC"/>
          </w:tcPr>
          <w:p>
            <w:pPr>
              <w:spacing w:after="0"/>
              <w:rPr>
                <w:sz w:val="19"/>
                <w:szCs w:val="19"/>
                <w:color w:val="auto"/>
              </w:rPr>
            </w:pPr>
          </w:p>
        </w:tc>
        <w:tc>
          <w:tcPr>
            <w:tcW w:w="46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19"/>
                <w:szCs w:val="19"/>
                <w:color w:val="auto"/>
              </w:rPr>
            </w:pPr>
          </w:p>
        </w:tc>
        <w:tc>
          <w:tcPr>
            <w:tcW w:w="1040" w:type="dxa"/>
            <w:vAlign w:val="bottom"/>
            <w:shd w:val="clear" w:color="auto" w:fill="CCF0FC"/>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F0FC"/>
          </w:tcPr>
          <w:p>
            <w:pPr>
              <w:spacing w:after="0"/>
              <w:rPr>
                <w:sz w:val="19"/>
                <w:szCs w:val="19"/>
                <w:color w:val="auto"/>
              </w:rPr>
            </w:pPr>
          </w:p>
        </w:tc>
        <w:tc>
          <w:tcPr>
            <w:tcW w:w="160" w:type="dxa"/>
            <w:vAlign w:val="bottom"/>
            <w:shd w:val="clear" w:color="auto" w:fill="CCF0FC"/>
          </w:tcPr>
          <w:p>
            <w:pPr>
              <w:spacing w:after="0"/>
              <w:rPr>
                <w:sz w:val="19"/>
                <w:szCs w:val="19"/>
                <w:color w:val="auto"/>
              </w:rPr>
            </w:pPr>
          </w:p>
        </w:tc>
        <w:tc>
          <w:tcPr>
            <w:tcW w:w="1200" w:type="dxa"/>
            <w:vAlign w:val="bottom"/>
            <w:shd w:val="clear" w:color="auto" w:fill="CC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Impact of changes in exchange rates</w:t>
            </w:r>
          </w:p>
        </w:tc>
        <w:tc>
          <w:tcPr>
            <w:tcW w:w="8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6600" w:type="dxa"/>
            <w:vAlign w:val="bottom"/>
            <w:shd w:val="clear" w:color="auto" w:fill="CCF0FC"/>
          </w:tcPr>
          <w:p>
            <w:pPr>
              <w:spacing w:after="0"/>
              <w:rPr>
                <w:sz w:val="20"/>
                <w:szCs w:val="20"/>
                <w:color w:val="auto"/>
              </w:rPr>
            </w:pPr>
            <w:r>
              <w:rPr>
                <w:rFonts w:ascii="Arial" w:cs="Arial" w:eastAsia="Arial" w:hAnsi="Arial"/>
                <w:sz w:val="18"/>
                <w:szCs w:val="18"/>
                <w:color w:val="auto"/>
              </w:rPr>
              <w:t>Settlements with tax authorities</w:t>
            </w:r>
          </w:p>
        </w:tc>
        <w:tc>
          <w:tcPr>
            <w:tcW w:w="880" w:type="dxa"/>
            <w:vAlign w:val="bottom"/>
            <w:shd w:val="clear" w:color="auto" w:fill="CCF0FC"/>
          </w:tcPr>
          <w:p>
            <w:pPr>
              <w:spacing w:after="0"/>
              <w:rPr>
                <w:sz w:val="19"/>
                <w:szCs w:val="19"/>
                <w:color w:val="auto"/>
              </w:rPr>
            </w:pPr>
          </w:p>
        </w:tc>
        <w:tc>
          <w:tcPr>
            <w:tcW w:w="700" w:type="dxa"/>
            <w:vAlign w:val="bottom"/>
            <w:gridSpan w:val="2"/>
            <w:shd w:val="clear" w:color="auto" w:fill="CCF0FC"/>
          </w:tcPr>
          <w:p>
            <w:pPr>
              <w:jc w:val="right"/>
              <w:ind w:right="180"/>
              <w:spacing w:after="0"/>
              <w:rPr>
                <w:sz w:val="20"/>
                <w:szCs w:val="20"/>
                <w:color w:val="auto"/>
              </w:rPr>
            </w:pPr>
            <w:r>
              <w:rPr>
                <w:rFonts w:ascii="Arial" w:cs="Arial" w:eastAsia="Arial" w:hAnsi="Arial"/>
                <w:sz w:val="18"/>
                <w:szCs w:val="18"/>
                <w:b w:val="1"/>
                <w:bCs w:val="1"/>
                <w:color w:val="auto"/>
              </w:rPr>
              <w:t>(49)</w:t>
            </w:r>
          </w:p>
        </w:tc>
        <w:tc>
          <w:tcPr>
            <w:tcW w:w="300" w:type="dxa"/>
            <w:vAlign w:val="bottom"/>
            <w:shd w:val="clear" w:color="auto" w:fill="CCF0FC"/>
          </w:tcPr>
          <w:p>
            <w:pPr>
              <w:spacing w:after="0"/>
              <w:rPr>
                <w:sz w:val="19"/>
                <w:szCs w:val="19"/>
                <w:color w:val="auto"/>
              </w:rPr>
            </w:pPr>
          </w:p>
        </w:tc>
        <w:tc>
          <w:tcPr>
            <w:tcW w:w="1300" w:type="dxa"/>
            <w:vAlign w:val="bottom"/>
            <w:gridSpan w:val="2"/>
            <w:shd w:val="clear" w:color="auto" w:fill="CCF0FC"/>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0FC"/>
          </w:tcPr>
          <w:p>
            <w:pPr>
              <w:spacing w:after="0"/>
              <w:rPr>
                <w:sz w:val="19"/>
                <w:szCs w:val="19"/>
                <w:color w:val="auto"/>
              </w:rPr>
            </w:pPr>
          </w:p>
        </w:tc>
        <w:tc>
          <w:tcPr>
            <w:tcW w:w="1300" w:type="dxa"/>
            <w:vAlign w:val="bottom"/>
            <w:gridSpan w:val="2"/>
            <w:shd w:val="clear" w:color="auto" w:fill="CCF0FC"/>
          </w:tcPr>
          <w:p>
            <w:pPr>
              <w:jc w:val="right"/>
              <w:ind w:right="40"/>
              <w:spacing w:after="0"/>
              <w:rPr>
                <w:sz w:val="20"/>
                <w:szCs w:val="20"/>
                <w:color w:val="auto"/>
              </w:rPr>
            </w:pPr>
            <w:r>
              <w:rPr>
                <w:rFonts w:ascii="Arial" w:cs="Arial" w:eastAsia="Arial" w:hAnsi="Arial"/>
                <w:sz w:val="18"/>
                <w:szCs w:val="18"/>
                <w:color w:val="auto"/>
              </w:rPr>
              <w:t>(50)</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8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(228)</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229"/>
        </w:trPr>
        <w:tc>
          <w:tcPr>
            <w:tcW w:w="6600" w:type="dxa"/>
            <w:vAlign w:val="bottom"/>
            <w:shd w:val="clear" w:color="auto" w:fill="CCF0FC"/>
          </w:tcPr>
          <w:p>
            <w:pPr>
              <w:spacing w:after="0"/>
              <w:rPr>
                <w:sz w:val="20"/>
                <w:szCs w:val="20"/>
                <w:color w:val="auto"/>
              </w:rPr>
            </w:pPr>
            <w:r>
              <w:rPr>
                <w:rFonts w:ascii="Arial" w:cs="Arial" w:eastAsia="Arial" w:hAnsi="Arial"/>
                <w:sz w:val="18"/>
                <w:szCs w:val="18"/>
                <w:color w:val="auto"/>
              </w:rPr>
              <w:t>Reductions due to the lapse of the applicable statute of limitations</w:t>
            </w:r>
          </w:p>
        </w:tc>
        <w:tc>
          <w:tcPr>
            <w:tcW w:w="880" w:type="dxa"/>
            <w:vAlign w:val="bottom"/>
            <w:shd w:val="clear" w:color="auto" w:fill="CCF0FC"/>
          </w:tcPr>
          <w:p>
            <w:pPr>
              <w:spacing w:after="0"/>
              <w:rPr>
                <w:sz w:val="19"/>
                <w:szCs w:val="19"/>
                <w:color w:val="auto"/>
              </w:rPr>
            </w:pPr>
          </w:p>
        </w:tc>
        <w:tc>
          <w:tcPr>
            <w:tcW w:w="700" w:type="dxa"/>
            <w:vAlign w:val="bottom"/>
            <w:gridSpan w:val="2"/>
            <w:shd w:val="clear" w:color="auto" w:fill="CCF0FC"/>
          </w:tcPr>
          <w:p>
            <w:pPr>
              <w:jc w:val="right"/>
              <w:ind w:right="180"/>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F0FC"/>
          </w:tcPr>
          <w:p>
            <w:pPr>
              <w:spacing w:after="0"/>
              <w:rPr>
                <w:sz w:val="19"/>
                <w:szCs w:val="19"/>
                <w:color w:val="auto"/>
              </w:rPr>
            </w:pPr>
          </w:p>
        </w:tc>
        <w:tc>
          <w:tcPr>
            <w:tcW w:w="1300" w:type="dxa"/>
            <w:vAlign w:val="bottom"/>
            <w:gridSpan w:val="2"/>
            <w:shd w:val="clear" w:color="auto" w:fill="CCF0FC"/>
          </w:tcPr>
          <w:p>
            <w:pPr>
              <w:jc w:val="right"/>
              <w:ind w:right="2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F0FC"/>
          </w:tcPr>
          <w:p>
            <w:pPr>
              <w:spacing w:after="0"/>
              <w:rPr>
                <w:sz w:val="19"/>
                <w:szCs w:val="19"/>
                <w:color w:val="auto"/>
              </w:rPr>
            </w:pPr>
          </w:p>
        </w:tc>
        <w:tc>
          <w:tcPr>
            <w:tcW w:w="1300" w:type="dxa"/>
            <w:vAlign w:val="bottom"/>
            <w:gridSpan w:val="2"/>
            <w:shd w:val="clear" w:color="auto" w:fill="CCF0FC"/>
          </w:tcPr>
          <w:p>
            <w:pPr>
              <w:jc w:val="right"/>
              <w:ind w:right="40"/>
              <w:spacing w:after="0"/>
              <w:rPr>
                <w:sz w:val="20"/>
                <w:szCs w:val="20"/>
                <w:color w:val="auto"/>
              </w:rPr>
            </w:pPr>
            <w:r>
              <w:rPr>
                <w:rFonts w:ascii="Arial" w:cs="Arial" w:eastAsia="Arial" w:hAnsi="Arial"/>
                <w:sz w:val="18"/>
                <w:szCs w:val="18"/>
                <w:color w:val="auto"/>
              </w:rPr>
              <w:t>(59)</w:t>
            </w:r>
          </w:p>
        </w:tc>
      </w:tr>
      <w:tr>
        <w:trPr>
          <w:trHeight w:val="223"/>
        </w:trPr>
        <w:tc>
          <w:tcPr>
            <w:tcW w:w="66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1,001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amounts above exclude accrued interest and penalties of $164 million, $184 million and $188 million at December 31, 2021, 2020 and 2019, respectively. Schlumberger classifies interest and penalties relating to uncertain tax positions within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 (Loss)</w:t>
      </w:r>
      <w:r>
        <w:rPr>
          <w:rFonts w:ascii="Arial" w:cs="Arial" w:eastAsia="Arial" w:hAnsi="Arial"/>
          <w:sz w:val="18"/>
          <w:szCs w:val="18"/>
          <w:color w:val="auto"/>
        </w:rPr>
        <w: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shd w:val="clear" w:color="auto" w:fill="CCF0FC"/>
          </w:tcPr>
          <w:p>
            <w:pPr>
              <w:spacing w:after="0"/>
              <w:rPr>
                <w:sz w:val="20"/>
                <w:szCs w:val="20"/>
                <w:color w:val="auto"/>
              </w:rPr>
            </w:pPr>
            <w:r>
              <w:rPr>
                <w:rFonts w:ascii="Arial" w:cs="Arial" w:eastAsia="Arial" w:hAnsi="Arial"/>
                <w:sz w:val="18"/>
                <w:szCs w:val="18"/>
                <w:color w:val="auto"/>
              </w:rPr>
              <w:t>Canada</w:t>
            </w:r>
          </w:p>
        </w:tc>
        <w:tc>
          <w:tcPr>
            <w:tcW w:w="4320" w:type="dxa"/>
            <w:vAlign w:val="bottom"/>
            <w:shd w:val="clear" w:color="auto" w:fill="CCF0FC"/>
          </w:tcPr>
          <w:p>
            <w:pPr>
              <w:jc w:val="right"/>
              <w:spacing w:after="0"/>
              <w:rPr>
                <w:sz w:val="20"/>
                <w:szCs w:val="20"/>
                <w:color w:val="auto"/>
              </w:rPr>
            </w:pPr>
            <w:r>
              <w:rPr>
                <w:rFonts w:ascii="Arial" w:cs="Arial" w:eastAsia="Arial" w:hAnsi="Arial"/>
                <w:sz w:val="18"/>
                <w:szCs w:val="18"/>
                <w:color w:val="auto"/>
              </w:rPr>
              <w:t>2014 - 2021</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Ecuador</w:t>
            </w:r>
          </w:p>
        </w:tc>
        <w:tc>
          <w:tcPr>
            <w:tcW w:w="4320" w:type="dxa"/>
            <w:vAlign w:val="bottom"/>
          </w:tcPr>
          <w:p>
            <w:pPr>
              <w:jc w:val="right"/>
              <w:spacing w:after="0"/>
              <w:rPr>
                <w:sz w:val="20"/>
                <w:szCs w:val="20"/>
                <w:color w:val="auto"/>
              </w:rPr>
            </w:pPr>
            <w:r>
              <w:rPr>
                <w:rFonts w:ascii="Arial" w:cs="Arial" w:eastAsia="Arial" w:hAnsi="Arial"/>
                <w:sz w:val="18"/>
                <w:szCs w:val="18"/>
                <w:color w:val="auto"/>
              </w:rPr>
              <w:t>2017 - 2021</w:t>
            </w:r>
          </w:p>
        </w:tc>
      </w:tr>
      <w:tr>
        <w:trPr>
          <w:trHeight w:val="229"/>
        </w:trPr>
        <w:tc>
          <w:tcPr>
            <w:tcW w:w="4660" w:type="dxa"/>
            <w:vAlign w:val="bottom"/>
            <w:shd w:val="clear" w:color="auto" w:fill="CCF0FC"/>
          </w:tcPr>
          <w:p>
            <w:pPr>
              <w:spacing w:after="0"/>
              <w:rPr>
                <w:sz w:val="20"/>
                <w:szCs w:val="20"/>
                <w:color w:val="auto"/>
              </w:rPr>
            </w:pPr>
            <w:r>
              <w:rPr>
                <w:rFonts w:ascii="Arial" w:cs="Arial" w:eastAsia="Arial" w:hAnsi="Arial"/>
                <w:sz w:val="18"/>
                <w:szCs w:val="18"/>
                <w:color w:val="auto"/>
              </w:rPr>
              <w:t>Mexico</w:t>
            </w:r>
          </w:p>
        </w:tc>
        <w:tc>
          <w:tcPr>
            <w:tcW w:w="4320" w:type="dxa"/>
            <w:vAlign w:val="bottom"/>
            <w:shd w:val="clear" w:color="auto" w:fill="CCF0FC"/>
          </w:tcPr>
          <w:p>
            <w:pPr>
              <w:jc w:val="right"/>
              <w:spacing w:after="0"/>
              <w:rPr>
                <w:sz w:val="20"/>
                <w:szCs w:val="20"/>
                <w:color w:val="auto"/>
              </w:rPr>
            </w:pPr>
            <w:r>
              <w:rPr>
                <w:rFonts w:ascii="Arial" w:cs="Arial" w:eastAsia="Arial" w:hAnsi="Arial"/>
                <w:sz w:val="18"/>
                <w:szCs w:val="18"/>
                <w:color w:val="auto"/>
              </w:rPr>
              <w:t>2013 - 2021</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Norway</w:t>
            </w:r>
          </w:p>
        </w:tc>
        <w:tc>
          <w:tcPr>
            <w:tcW w:w="4320" w:type="dxa"/>
            <w:vAlign w:val="bottom"/>
          </w:tcPr>
          <w:p>
            <w:pPr>
              <w:jc w:val="right"/>
              <w:spacing w:after="0"/>
              <w:rPr>
                <w:sz w:val="20"/>
                <w:szCs w:val="20"/>
                <w:color w:val="auto"/>
              </w:rPr>
            </w:pPr>
            <w:r>
              <w:rPr>
                <w:rFonts w:ascii="Arial" w:cs="Arial" w:eastAsia="Arial" w:hAnsi="Arial"/>
                <w:sz w:val="18"/>
                <w:szCs w:val="18"/>
                <w:color w:val="auto"/>
              </w:rPr>
              <w:t>2016 - 2021</w:t>
            </w:r>
          </w:p>
        </w:tc>
      </w:tr>
      <w:tr>
        <w:trPr>
          <w:trHeight w:val="230"/>
        </w:trPr>
        <w:tc>
          <w:tcPr>
            <w:tcW w:w="4660" w:type="dxa"/>
            <w:vAlign w:val="bottom"/>
            <w:shd w:val="clear" w:color="auto" w:fill="CCF0FC"/>
          </w:tcPr>
          <w:p>
            <w:pPr>
              <w:spacing w:after="0"/>
              <w:rPr>
                <w:sz w:val="20"/>
                <w:szCs w:val="20"/>
                <w:color w:val="auto"/>
              </w:rPr>
            </w:pPr>
            <w:r>
              <w:rPr>
                <w:rFonts w:ascii="Arial" w:cs="Arial" w:eastAsia="Arial" w:hAnsi="Arial"/>
                <w:sz w:val="18"/>
                <w:szCs w:val="18"/>
                <w:color w:val="auto"/>
              </w:rPr>
              <w:t>Russia</w:t>
            </w:r>
          </w:p>
        </w:tc>
        <w:tc>
          <w:tcPr>
            <w:tcW w:w="4320" w:type="dxa"/>
            <w:vAlign w:val="bottom"/>
            <w:shd w:val="clear" w:color="auto" w:fill="CCF0FC"/>
          </w:tcPr>
          <w:p>
            <w:pPr>
              <w:jc w:val="right"/>
              <w:spacing w:after="0"/>
              <w:rPr>
                <w:sz w:val="20"/>
                <w:szCs w:val="20"/>
                <w:color w:val="auto"/>
              </w:rPr>
            </w:pPr>
            <w:r>
              <w:rPr>
                <w:rFonts w:ascii="Arial" w:cs="Arial" w:eastAsia="Arial" w:hAnsi="Arial"/>
                <w:sz w:val="18"/>
                <w:szCs w:val="18"/>
                <w:color w:val="auto"/>
              </w:rPr>
              <w:t>2016 - 2021</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Saudi Arabia</w:t>
            </w:r>
          </w:p>
        </w:tc>
        <w:tc>
          <w:tcPr>
            <w:tcW w:w="4320" w:type="dxa"/>
            <w:vAlign w:val="bottom"/>
          </w:tcPr>
          <w:p>
            <w:pPr>
              <w:jc w:val="right"/>
              <w:spacing w:after="0"/>
              <w:rPr>
                <w:sz w:val="20"/>
                <w:szCs w:val="20"/>
                <w:color w:val="auto"/>
              </w:rPr>
            </w:pPr>
            <w:r>
              <w:rPr>
                <w:rFonts w:ascii="Arial" w:cs="Arial" w:eastAsia="Arial" w:hAnsi="Arial"/>
                <w:sz w:val="18"/>
                <w:szCs w:val="18"/>
                <w:color w:val="auto"/>
              </w:rPr>
              <w:t>2016 - 2021</w:t>
            </w:r>
          </w:p>
        </w:tc>
      </w:tr>
      <w:tr>
        <w:trPr>
          <w:trHeight w:val="229"/>
        </w:trPr>
        <w:tc>
          <w:tcPr>
            <w:tcW w:w="4660" w:type="dxa"/>
            <w:vAlign w:val="bottom"/>
            <w:shd w:val="clear" w:color="auto" w:fill="CCF0FC"/>
          </w:tcPr>
          <w:p>
            <w:pPr>
              <w:spacing w:after="0"/>
              <w:rPr>
                <w:sz w:val="20"/>
                <w:szCs w:val="20"/>
                <w:color w:val="auto"/>
              </w:rPr>
            </w:pPr>
            <w:r>
              <w:rPr>
                <w:rFonts w:ascii="Arial" w:cs="Arial" w:eastAsia="Arial" w:hAnsi="Arial"/>
                <w:sz w:val="18"/>
                <w:szCs w:val="18"/>
                <w:color w:val="auto"/>
              </w:rPr>
              <w:t>United Kingdom</w:t>
            </w:r>
          </w:p>
        </w:tc>
        <w:tc>
          <w:tcPr>
            <w:tcW w:w="4320" w:type="dxa"/>
            <w:vAlign w:val="bottom"/>
            <w:shd w:val="clear" w:color="auto" w:fill="CCF0FC"/>
          </w:tcPr>
          <w:p>
            <w:pPr>
              <w:jc w:val="right"/>
              <w:spacing w:after="0"/>
              <w:rPr>
                <w:sz w:val="20"/>
                <w:szCs w:val="20"/>
                <w:color w:val="auto"/>
              </w:rPr>
            </w:pPr>
            <w:r>
              <w:rPr>
                <w:rFonts w:ascii="Arial" w:cs="Arial" w:eastAsia="Arial" w:hAnsi="Arial"/>
                <w:sz w:val="18"/>
                <w:szCs w:val="18"/>
                <w:color w:val="auto"/>
              </w:rPr>
              <w:t>2017 - 2021</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United States</w:t>
            </w:r>
          </w:p>
        </w:tc>
        <w:tc>
          <w:tcPr>
            <w:tcW w:w="4320" w:type="dxa"/>
            <w:vAlign w:val="bottom"/>
          </w:tcPr>
          <w:p>
            <w:pPr>
              <w:jc w:val="right"/>
              <w:spacing w:after="0"/>
              <w:rPr>
                <w:sz w:val="20"/>
                <w:szCs w:val="20"/>
                <w:color w:val="auto"/>
              </w:rPr>
            </w:pPr>
            <w:r>
              <w:rPr>
                <w:rFonts w:ascii="Arial" w:cs="Arial" w:eastAsia="Arial" w:hAnsi="Arial"/>
                <w:sz w:val="18"/>
                <w:szCs w:val="18"/>
                <w:color w:val="auto"/>
              </w:rPr>
              <w:t>2017 - 2021</w:t>
            </w:r>
          </w:p>
        </w:tc>
      </w:tr>
    </w:tbl>
    <w:p>
      <w:pPr>
        <w:spacing w:after="0" w:line="332"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Schlumberger’s leasing activities primarily consist of operating leases for administrative offices, manufacturing facilities, research centers, service centers, sales offices and certain equipment. Total operating lease expense, which approximates cash paid and includes short-term leases, was $1.2 billion in 2021, $1.4 billion in 2020 and $1.7 billion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Maturities of operating lease liabilities as of December 31, 2021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(Stated in millions)</w:t>
            </w:r>
          </w:p>
        </w:tc>
      </w:tr>
      <w:tr>
        <w:trPr>
          <w:trHeight w:val="215"/>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r>
      <w:tr>
        <w:trPr>
          <w:trHeight w:val="229"/>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23"/>
        </w:trPr>
        <w:tc>
          <w:tcPr>
            <w:tcW w:w="7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57" w:right="339" w:bottom="1440" w:gutter="0" w:footer="0" w:header="0"/>
        </w:sectPr>
      </w:pPr>
    </w:p>
    <w:p>
      <w:pPr>
        <w:spacing w:after="0"/>
        <w:rPr>
          <w:sz w:val="20"/>
          <w:szCs w:val="20"/>
          <w:color w:val="auto"/>
        </w:rPr>
      </w:pPr>
      <w:r>
        <w:rPr>
          <w:rFonts w:ascii="Arial" w:cs="Arial" w:eastAsia="Arial" w:hAnsi="Arial"/>
          <w:sz w:val="16"/>
          <w:szCs w:val="16"/>
          <w:b w:val="1"/>
          <w:bCs w:val="1"/>
          <w:i w:val="1"/>
          <w:iCs w:val="1"/>
          <w:color w:val="auto"/>
        </w:rPr>
        <w:t>Amounts recognized in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039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268" w:hanging="1268"/>
        <w:spacing w:after="0"/>
        <w:tabs>
          <w:tab w:leader="none" w:pos="12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186</w:t>
      </w:r>
    </w:p>
    <w:p>
      <w:pPr>
        <w:spacing w:after="0" w:line="46" w:lineRule="exact"/>
        <w:rPr>
          <w:rFonts w:ascii="Arial" w:cs="Arial" w:eastAsia="Arial" w:hAnsi="Arial"/>
          <w:sz w:val="16"/>
          <w:szCs w:val="16"/>
          <w:color w:val="auto"/>
        </w:rPr>
      </w:pPr>
    </w:p>
    <w:p>
      <w:pPr>
        <w:ind w:left="1268"/>
        <w:spacing w:after="0"/>
        <w:rPr>
          <w:rFonts w:ascii="Arial" w:cs="Arial" w:eastAsia="Arial" w:hAnsi="Arial"/>
          <w:sz w:val="16"/>
          <w:szCs w:val="16"/>
          <w:color w:val="auto"/>
        </w:rPr>
      </w:pPr>
      <w:r>
        <w:rPr>
          <w:rFonts w:ascii="Arial" w:cs="Arial" w:eastAsia="Arial" w:hAnsi="Arial"/>
          <w:sz w:val="16"/>
          <w:szCs w:val="16"/>
          <w:color w:val="auto"/>
        </w:rPr>
        <w:t>628</w:t>
      </w:r>
    </w:p>
    <w:p>
      <w:pPr>
        <w:spacing w:after="0" w:line="58" w:lineRule="exact"/>
        <w:rPr>
          <w:sz w:val="20"/>
          <w:szCs w:val="20"/>
          <w:color w:val="auto"/>
        </w:rPr>
      </w:pPr>
    </w:p>
    <w:p>
      <w:pPr>
        <w:ind w:left="1268" w:hanging="1268"/>
        <w:spacing w:after="0"/>
        <w:tabs>
          <w:tab w:leader="none" w:pos="1268" w:val="left"/>
        </w:tabs>
        <w:numPr>
          <w:ilvl w:val="0"/>
          <w:numId w:val="45"/>
        </w:numPr>
        <w:rPr>
          <w:rFonts w:ascii="Arial" w:cs="Arial" w:eastAsia="Arial" w:hAnsi="Arial"/>
          <w:sz w:val="16"/>
          <w:szCs w:val="16"/>
          <w:color w:val="auto"/>
        </w:rPr>
      </w:pPr>
      <w:r>
        <w:rPr>
          <w:rFonts w:ascii="Arial" w:cs="Arial" w:eastAsia="Arial" w:hAnsi="Arial"/>
          <w:sz w:val="16"/>
          <w:szCs w:val="16"/>
          <w:color w:val="auto"/>
        </w:rPr>
        <w:t>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986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32" w:space="720"/>
            <w:col w:w="3888"/>
          </w:cols>
          <w:pgMar w:left="320" w:top="557" w:right="339" w:bottom="1440" w:gutter="0" w:footer="0" w:header="0"/>
          <w:type w:val="continuous"/>
        </w:sectPr>
      </w:pPr>
    </w:p>
    <w:p>
      <w:pPr>
        <w:spacing w:after="0" w:line="1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Operating lease assets of $0.6 billion and $0.7 billion as of December 31, 2021 and 2020, respectively, were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w:t>
      </w:r>
      <w:r>
        <w:rPr>
          <w:rFonts w:ascii="Arial" w:cs="Arial" w:eastAsia="Arial" w:hAnsi="Arial"/>
          <w:sz w:val="18"/>
          <w:szCs w:val="18"/>
          <w:color w:val="auto"/>
        </w:rPr>
        <w:t>. Operating lease liabilities as of December 31, 2020 were $1.0 billion, of which $0.2 billion was classified in</w:t>
      </w:r>
      <w:r>
        <w:rPr>
          <w:rFonts w:ascii="Arial" w:cs="Arial" w:eastAsia="Arial" w:hAnsi="Arial"/>
          <w:sz w:val="18"/>
          <w:szCs w:val="18"/>
          <w:i w:val="1"/>
          <w:iCs w:val="1"/>
          <w:color w:val="auto"/>
        </w:rPr>
        <w:t xml:space="preserve"> Accounts payable and accrued liabilities </w:t>
      </w:r>
      <w:r>
        <w:rPr>
          <w:rFonts w:ascii="Arial" w:cs="Arial" w:eastAsia="Arial" w:hAnsi="Arial"/>
          <w:sz w:val="18"/>
          <w:szCs w:val="18"/>
          <w:color w:val="auto"/>
        </w:rPr>
        <w:t>and $0.8 billion was classified in</w:t>
      </w:r>
      <w:r>
        <w:rPr>
          <w:rFonts w:ascii="Arial" w:cs="Arial" w:eastAsia="Arial" w:hAnsi="Arial"/>
          <w:sz w:val="18"/>
          <w:szCs w:val="18"/>
          <w:i w:val="1"/>
          <w:iCs w:val="1"/>
          <w:color w:val="auto"/>
        </w:rPr>
        <w:t xml:space="preserve"> Other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remaining lease term as of December 31, 2021 was 10 years. The weighted-average discount rate used to determine the operating lease liability as of December 31, 2021 was 3.1%.</w:t>
      </w:r>
    </w:p>
    <w:p>
      <w:pPr>
        <w:spacing w:after="0" w:line="166"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20"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Schlumberger is organized under four Divisions that combine and integrate Schlumberger’s technologies, enhancing the Company’s ability to support the emerging long-term growth opportunities in each of these market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 Divisions, representing Schlumberger’s segments, are:</w:t>
      </w:r>
    </w:p>
    <w:p>
      <w:pPr>
        <w:spacing w:after="0" w:line="117" w:lineRule="exact"/>
        <w:rPr>
          <w:sz w:val="20"/>
          <w:szCs w:val="20"/>
          <w:color w:val="auto"/>
        </w:rPr>
      </w:pPr>
    </w:p>
    <w:p>
      <w:pPr>
        <w:ind w:left="740" w:hanging="368"/>
        <w:spacing w:after="0" w:line="258"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Digital &amp; Integration </w:t>
      </w:r>
      <w:r>
        <w:rPr>
          <w:rFonts w:ascii="Arial" w:cs="Arial" w:eastAsia="Arial" w:hAnsi="Arial"/>
          <w:sz w:val="18"/>
          <w:szCs w:val="18"/>
          <w:color w:val="auto"/>
        </w:rPr>
        <w:t>– Combines Schlumberger’s digital workflow solutions and seismic data interpretation and management businesses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integrated offering of Asset Performance Solutions.</w:t>
      </w:r>
    </w:p>
    <w:p>
      <w:pPr>
        <w:spacing w:after="0" w:line="1"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Reservoir Performance </w:t>
      </w:r>
      <w:r>
        <w:rPr>
          <w:rFonts w:ascii="Arial" w:cs="Arial" w:eastAsia="Arial" w:hAnsi="Arial"/>
          <w:sz w:val="18"/>
          <w:szCs w:val="18"/>
          <w:color w:val="auto"/>
        </w:rPr>
        <w:t>– Consists of reservoir-centric technologies and services that are critical to optimizing reservoir productivity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w:t>
      </w:r>
    </w:p>
    <w:p>
      <w:pPr>
        <w:ind w:left="740" w:hanging="368"/>
        <w:spacing w:after="0" w:line="250"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 Combines the full portfolio of products and services to optimize well placement and performance, maximize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efficiency, and improve wellbore assurance.</w:t>
      </w:r>
    </w:p>
    <w:p>
      <w:pPr>
        <w:ind w:left="740" w:hanging="368"/>
        <w:spacing w:after="0" w:line="260"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Systems </w:t>
      </w:r>
      <w:r>
        <w:rPr>
          <w:rFonts w:ascii="Arial" w:cs="Arial" w:eastAsia="Arial" w:hAnsi="Arial"/>
          <w:sz w:val="18"/>
          <w:szCs w:val="18"/>
          <w:color w:val="auto"/>
        </w:rPr>
        <w:t>– Develops technologies and provides expertise that enhance production and recovery from subsurface reservoirs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surface, into pipelines, and to refineries.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Financial information for the years ended December 31, 2021, 2020 and 2019, by segment,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Depreciation</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8"/>
              </w:rPr>
              <w:t>Income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r>
      <w:tr>
        <w:trPr>
          <w:trHeight w:val="234"/>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Before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Assets</w:t>
            </w:r>
          </w:p>
        </w:tc>
        <w:tc>
          <w:tcPr>
            <w:tcW w:w="180" w:type="dxa"/>
            <w:vAlign w:val="bottom"/>
          </w:tcPr>
          <w:p>
            <w:pPr>
              <w:spacing w:after="0"/>
              <w:rPr>
                <w:sz w:val="20"/>
                <w:szCs w:val="20"/>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1,141</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3,134</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58"/>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446</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8,706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4,714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424</w:t>
            </w:r>
          </w:p>
        </w:tc>
        <w:tc>
          <w:tcPr>
            <w:tcW w:w="12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4,684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(376)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(253)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16,201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3,139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5,215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(573)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22,929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1,654</w:t>
            </w:r>
          </w:p>
        </w:tc>
        <w:tc>
          <w:tcPr>
            <w:tcW w:w="1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1"/>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Depreciation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6"/>
          </w:tcPr>
          <w:p>
            <w:pPr>
              <w:ind w:left="80"/>
              <w:spacing w:after="0"/>
              <w:rPr>
                <w:sz w:val="20"/>
                <w:szCs w:val="20"/>
                <w:color w:val="auto"/>
              </w:rPr>
            </w:pPr>
            <w:r>
              <w:rPr>
                <w:rFonts w:ascii="Arial" w:cs="Arial" w:eastAsia="Arial" w:hAnsi="Arial"/>
                <w:sz w:val="18"/>
                <w:szCs w:val="18"/>
                <w:color w:val="auto"/>
              </w:rPr>
              <w:t>Income (Loss)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right="15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Capital</w:t>
            </w:r>
          </w:p>
        </w:tc>
      </w:tr>
      <w:tr>
        <w:trPr>
          <w:trHeight w:val="230"/>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color w:val="auto"/>
                <w:w w:val="85"/>
              </w:rPr>
              <w:t>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w w:val="89"/>
              </w:rPr>
              <w:t>Before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Assets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Investments</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3,595</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3,489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4,768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4,665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16,436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5,535</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(12,515)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(11,298)</w:t>
            </w:r>
          </w:p>
        </w:tc>
        <w:tc>
          <w:tcPr>
            <w:tcW w:w="1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42,434</w:t>
            </w:r>
          </w:p>
        </w:tc>
        <w:tc>
          <w:tcPr>
            <w:tcW w:w="2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5"/>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Depreciation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Income (Loss)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center"/>
              <w:ind w:right="17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Capital</w:t>
            </w:r>
          </w:p>
        </w:tc>
      </w:tr>
      <w:tr>
        <w:trPr>
          <w:trHeight w:val="243"/>
        </w:trPr>
        <w:tc>
          <w:tcPr>
            <w:tcW w:w="4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Revenue</w:t>
            </w:r>
          </w:p>
        </w:tc>
        <w:tc>
          <w:tcPr>
            <w:tcW w:w="10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Before Taxes</w:t>
            </w:r>
          </w:p>
        </w:tc>
        <w:tc>
          <w:tcPr>
            <w:tcW w:w="18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Assets</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Investments</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Reservoir Performance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Production Systems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(12,901)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9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32,917</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(10,418)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56,312</w:t>
            </w:r>
          </w:p>
        </w:tc>
        <w:tc>
          <w:tcPr>
            <w:tcW w:w="2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3,589</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right="20" w:hanging="372"/>
        <w:spacing w:after="0" w:line="203" w:lineRule="auto"/>
        <w:tabs>
          <w:tab w:leader="none" w:pos="380" w:val="left"/>
        </w:tabs>
        <w:numPr>
          <w:ilvl w:val="0"/>
          <w:numId w:val="49"/>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5"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49"/>
        </w:numPr>
        <w:rPr>
          <w:rFonts w:ascii="Arial" w:cs="Arial" w:eastAsia="Arial" w:hAnsi="Arial"/>
          <w:sz w:val="26"/>
          <w:szCs w:val="26"/>
          <w:color w:val="auto"/>
          <w:vertAlign w:val="superscript"/>
        </w:rPr>
      </w:pPr>
      <w:r>
        <w:rPr>
          <w:rFonts w:ascii="Arial" w:cs="Arial" w:eastAsia="Arial" w:hAnsi="Arial"/>
          <w:sz w:val="16"/>
          <w:szCs w:val="16"/>
          <w:color w:val="auto"/>
        </w:rPr>
        <w:t>Interest income excludes amounts which are included in the segments’ income (2021: $2 million; 2020: $2 million; 2019: $8 million).</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(2021: $15 million; 2020: $28 million; 2019: $38 million).</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receivables, inventories, fixed assets, multiclient seismic data and APS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investments includes capital expenditures, APS investments and multiclient seismic data cost capitalized.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includes depreciation of property, plant and equipment and amortization of intangible assets, multiclient seismic data costs and APS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by geographic area for the years ended December 31, 2021, 2020 and 2019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Middle East &amp; Asia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22,929</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32,917</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is based on the location where services are provided and products are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each of the three years ended December 31, 2021, 2020 and 2019, no single customer exceeded 10% of consolidated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2021, 2020 and 2019 was $3.4 billion, $4.5 billion and $9.3 billion,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Eliminations &amp;</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812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2,474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8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3,290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1,485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(50)</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(376)</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4,466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8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3"/>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Eliminations &amp;</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ind w:left="140"/>
              <w:spacing w:after="0"/>
              <w:rPr>
                <w:sz w:val="20"/>
                <w:szCs w:val="20"/>
                <w:color w:val="auto"/>
              </w:rPr>
            </w:pPr>
            <w:r>
              <w:rPr>
                <w:rFonts w:ascii="Arial" w:cs="Arial" w:eastAsia="Arial" w:hAnsi="Arial"/>
                <w:sz w:val="18"/>
                <w:szCs w:val="18"/>
                <w:color w:val="auto"/>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8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(332)</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8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Eliminations &amp;</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Total</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11,880</w:t>
            </w:r>
          </w:p>
        </w:tc>
        <w:tc>
          <w:tcPr>
            <w:tcW w:w="100" w:type="dxa"/>
            <w:vAlign w:val="bottom"/>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8,167</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(574)</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22,242</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32,917</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Fixed Assets less accumulated depreciation </w:t>
      </w:r>
      <w:r>
        <w:rPr>
          <w:rFonts w:ascii="Arial" w:cs="Arial" w:eastAsia="Arial" w:hAnsi="Arial"/>
          <w:sz w:val="18"/>
          <w:szCs w:val="18"/>
          <w:color w:val="auto"/>
        </w:rPr>
        <w:t>by geographic area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3480" w:type="dxa"/>
            <w:vAlign w:val="bottom"/>
          </w:tcPr>
          <w:p>
            <w:pPr>
              <w:spacing w:after="0"/>
              <w:rPr>
                <w:sz w:val="24"/>
                <w:szCs w:val="24"/>
                <w:color w:val="auto"/>
              </w:rPr>
            </w:pPr>
          </w:p>
        </w:tc>
        <w:tc>
          <w:tcPr>
            <w:tcW w:w="5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CF0FC"/>
            </w:tcBorders>
            <w:shd w:val="clear" w:color="auto" w:fill="CCF0FC"/>
          </w:tcPr>
          <w:p>
            <w:pPr>
              <w:spacing w:after="0"/>
              <w:rPr>
                <w:sz w:val="20"/>
                <w:szCs w:val="20"/>
                <w:color w:val="auto"/>
              </w:rPr>
            </w:pPr>
            <w:r>
              <w:rPr>
                <w:rFonts w:ascii="Arial" w:cs="Arial" w:eastAsia="Arial" w:hAnsi="Arial"/>
                <w:sz w:val="18"/>
                <w:szCs w:val="18"/>
                <w:color w:val="auto"/>
              </w:rPr>
              <w:t>North America</w:t>
            </w:r>
          </w:p>
        </w:tc>
        <w:tc>
          <w:tcPr>
            <w:tcW w:w="4200" w:type="dxa"/>
            <w:vAlign w:val="bottom"/>
            <w:tcBorders>
              <w:top w:val="single" w:sz="8" w:color="CCF0FC"/>
            </w:tcBorders>
            <w:shd w:val="clear" w:color="auto" w:fill="CCF0FC"/>
          </w:tcPr>
          <w:p>
            <w:pPr>
              <w:spacing w:after="0"/>
              <w:rPr>
                <w:sz w:val="19"/>
                <w:szCs w:val="19"/>
                <w:color w:val="auto"/>
              </w:rPr>
            </w:pPr>
          </w:p>
        </w:tc>
        <w:tc>
          <w:tcPr>
            <w:tcW w:w="1060" w:type="dxa"/>
            <w:vAlign w:val="bottom"/>
            <w:tcBorders>
              <w:top w:val="single" w:sz="8" w:color="auto"/>
            </w:tcBorders>
            <w:shd w:val="clear" w:color="auto" w:fill="CC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1,368</w:t>
            </w:r>
          </w:p>
        </w:tc>
        <w:tc>
          <w:tcPr>
            <w:tcW w:w="280" w:type="dxa"/>
            <w:vAlign w:val="bottom"/>
            <w:tcBorders>
              <w:top w:val="single" w:sz="8" w:color="CCF0FC"/>
            </w:tcBorders>
            <w:shd w:val="clear" w:color="auto" w:fill="CCF0FC"/>
          </w:tcPr>
          <w:p>
            <w:pPr>
              <w:spacing w:after="0"/>
              <w:rPr>
                <w:sz w:val="19"/>
                <w:szCs w:val="19"/>
                <w:color w:val="auto"/>
              </w:rPr>
            </w:pPr>
          </w:p>
        </w:tc>
        <w:tc>
          <w:tcPr>
            <w:tcW w:w="280" w:type="dxa"/>
            <w:vAlign w:val="bottom"/>
            <w:tcBorders>
              <w:top w:val="single" w:sz="8" w:color="auto"/>
            </w:tcBorders>
            <w:shd w:val="clear" w:color="auto" w:fill="CC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Borders>
              <w:top w:val="single" w:sz="8" w:color="CCF0FC"/>
            </w:tcBorders>
            <w:shd w:val="clear" w:color="auto" w:fill="CC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Latin America</w:t>
            </w:r>
          </w:p>
        </w:tc>
        <w:tc>
          <w:tcPr>
            <w:tcW w:w="4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868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F0FC"/>
          </w:tcPr>
          <w:p>
            <w:pPr>
              <w:spacing w:after="0"/>
              <w:rPr>
                <w:sz w:val="20"/>
                <w:szCs w:val="20"/>
                <w:color w:val="auto"/>
              </w:rPr>
            </w:pPr>
            <w:r>
              <w:rPr>
                <w:rFonts w:ascii="Arial" w:cs="Arial" w:eastAsia="Arial" w:hAnsi="Arial"/>
                <w:sz w:val="18"/>
                <w:szCs w:val="18"/>
                <w:color w:val="auto"/>
              </w:rPr>
              <w:t>Europe/CIS/Africa</w:t>
            </w:r>
          </w:p>
        </w:tc>
        <w:tc>
          <w:tcPr>
            <w:tcW w:w="4200" w:type="dxa"/>
            <w:vAlign w:val="bottom"/>
            <w:shd w:val="clear" w:color="auto" w:fill="CCF0FC"/>
          </w:tcPr>
          <w:p>
            <w:pPr>
              <w:spacing w:after="0"/>
              <w:rPr>
                <w:sz w:val="19"/>
                <w:szCs w:val="19"/>
                <w:color w:val="auto"/>
              </w:rPr>
            </w:pPr>
          </w:p>
        </w:tc>
        <w:tc>
          <w:tcPr>
            <w:tcW w:w="1060" w:type="dxa"/>
            <w:vAlign w:val="bottom"/>
            <w:shd w:val="clear" w:color="auto" w:fill="CCF0FC"/>
          </w:tcPr>
          <w:p>
            <w:pPr>
              <w:spacing w:after="0"/>
              <w:rPr>
                <w:sz w:val="19"/>
                <w:szCs w:val="19"/>
                <w:color w:val="auto"/>
              </w:rPr>
            </w:pPr>
          </w:p>
        </w:tc>
        <w:tc>
          <w:tcPr>
            <w:tcW w:w="520" w:type="dxa"/>
            <w:vAlign w:val="bottom"/>
            <w:shd w:val="clear" w:color="auto" w:fill="CCF0FC"/>
          </w:tcPr>
          <w:p>
            <w:pPr>
              <w:jc w:val="right"/>
              <w:spacing w:after="0"/>
              <w:rPr>
                <w:sz w:val="20"/>
                <w:szCs w:val="20"/>
                <w:color w:val="auto"/>
              </w:rPr>
            </w:pPr>
            <w:r>
              <w:rPr>
                <w:rFonts w:ascii="Arial" w:cs="Arial" w:eastAsia="Arial" w:hAnsi="Arial"/>
                <w:sz w:val="18"/>
                <w:szCs w:val="18"/>
                <w:b w:val="1"/>
                <w:bCs w:val="1"/>
                <w:color w:val="auto"/>
              </w:rPr>
              <w:t>1,690</w:t>
            </w:r>
          </w:p>
        </w:tc>
        <w:tc>
          <w:tcPr>
            <w:tcW w:w="280" w:type="dxa"/>
            <w:vAlign w:val="bottom"/>
            <w:shd w:val="clear" w:color="auto" w:fill="CCF0FC"/>
          </w:tcPr>
          <w:p>
            <w:pPr>
              <w:spacing w:after="0"/>
              <w:rPr>
                <w:sz w:val="19"/>
                <w:szCs w:val="19"/>
                <w:color w:val="auto"/>
              </w:rPr>
            </w:pPr>
          </w:p>
        </w:tc>
        <w:tc>
          <w:tcPr>
            <w:tcW w:w="280" w:type="dxa"/>
            <w:vAlign w:val="bottom"/>
            <w:shd w:val="clear" w:color="auto" w:fill="CCF0FC"/>
          </w:tcPr>
          <w:p>
            <w:pPr>
              <w:spacing w:after="0"/>
              <w:rPr>
                <w:sz w:val="19"/>
                <w:szCs w:val="19"/>
                <w:color w:val="auto"/>
              </w:rPr>
            </w:pPr>
          </w:p>
        </w:tc>
        <w:tc>
          <w:tcPr>
            <w:tcW w:w="1300" w:type="dxa"/>
            <w:vAlign w:val="bottom"/>
            <w:shd w:val="clear" w:color="auto" w:fill="CCF0FC"/>
          </w:tcPr>
          <w:p>
            <w:pPr>
              <w:jc w:val="right"/>
              <w:spacing w:after="0"/>
              <w:rPr>
                <w:sz w:val="20"/>
                <w:szCs w:val="20"/>
                <w:color w:val="auto"/>
              </w:rPr>
            </w:pPr>
            <w:r>
              <w:rPr>
                <w:rFonts w:ascii="Arial" w:cs="Arial" w:eastAsia="Arial" w:hAnsi="Arial"/>
                <w:sz w:val="18"/>
                <w:szCs w:val="18"/>
                <w:color w:val="auto"/>
              </w:rPr>
              <w:t>1,840</w:t>
            </w:r>
          </w:p>
        </w:tc>
        <w:tc>
          <w:tcPr>
            <w:tcW w:w="120" w:type="dxa"/>
            <w:vAlign w:val="bottom"/>
            <w:shd w:val="clear" w:color="auto" w:fill="CC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Middle East &amp; Asia</w:t>
            </w:r>
          </w:p>
        </w:tc>
        <w:tc>
          <w:tcPr>
            <w:tcW w:w="4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2,049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F0FC"/>
          </w:tcPr>
          <w:p>
            <w:pPr>
              <w:spacing w:after="0"/>
              <w:rPr>
                <w:sz w:val="20"/>
                <w:szCs w:val="20"/>
                <w:color w:val="auto"/>
              </w:rPr>
            </w:pPr>
            <w:r>
              <w:rPr>
                <w:rFonts w:ascii="Arial" w:cs="Arial" w:eastAsia="Arial" w:hAnsi="Arial"/>
                <w:sz w:val="18"/>
                <w:szCs w:val="18"/>
                <w:color w:val="auto"/>
              </w:rPr>
              <w:t>Unallocated</w:t>
            </w:r>
          </w:p>
        </w:tc>
        <w:tc>
          <w:tcPr>
            <w:tcW w:w="4200" w:type="dxa"/>
            <w:vAlign w:val="bottom"/>
            <w:shd w:val="clear" w:color="auto" w:fill="CCF0FC"/>
          </w:tcPr>
          <w:p>
            <w:pPr>
              <w:spacing w:after="0"/>
              <w:rPr>
                <w:sz w:val="19"/>
                <w:szCs w:val="19"/>
                <w:color w:val="auto"/>
              </w:rPr>
            </w:pPr>
          </w:p>
        </w:tc>
        <w:tc>
          <w:tcPr>
            <w:tcW w:w="1060" w:type="dxa"/>
            <w:vAlign w:val="bottom"/>
            <w:tcBorders>
              <w:bottom w:val="single" w:sz="8" w:color="auto"/>
            </w:tcBorders>
            <w:shd w:val="clear" w:color="auto" w:fill="CCF0FC"/>
          </w:tcPr>
          <w:p>
            <w:pPr>
              <w:spacing w:after="0"/>
              <w:rPr>
                <w:sz w:val="19"/>
                <w:szCs w:val="19"/>
                <w:color w:val="auto"/>
              </w:rPr>
            </w:pPr>
          </w:p>
        </w:tc>
        <w:tc>
          <w:tcPr>
            <w:tcW w:w="5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b w:val="1"/>
                <w:bCs w:val="1"/>
                <w:color w:val="auto"/>
              </w:rPr>
              <w:t>454</w:t>
            </w:r>
          </w:p>
        </w:tc>
        <w:tc>
          <w:tcPr>
            <w:tcW w:w="280" w:type="dxa"/>
            <w:vAlign w:val="bottom"/>
            <w:shd w:val="clear" w:color="auto" w:fill="CCF0FC"/>
          </w:tcPr>
          <w:p>
            <w:pPr>
              <w:spacing w:after="0"/>
              <w:rPr>
                <w:sz w:val="19"/>
                <w:szCs w:val="19"/>
                <w:color w:val="auto"/>
              </w:rPr>
            </w:pPr>
          </w:p>
        </w:tc>
        <w:tc>
          <w:tcPr>
            <w:tcW w:w="280" w:type="dxa"/>
            <w:vAlign w:val="bottom"/>
            <w:tcBorders>
              <w:bottom w:val="single" w:sz="8" w:color="auto"/>
            </w:tcBorders>
            <w:shd w:val="clear" w:color="auto" w:fill="CCF0FC"/>
          </w:tcPr>
          <w:p>
            <w:pPr>
              <w:spacing w:after="0"/>
              <w:rPr>
                <w:sz w:val="19"/>
                <w:szCs w:val="19"/>
                <w:color w:val="auto"/>
              </w:rPr>
            </w:pPr>
          </w:p>
        </w:tc>
        <w:tc>
          <w:tcPr>
            <w:tcW w:w="13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200" w:type="dxa"/>
            <w:vAlign w:val="bottom"/>
            <w:vMerge w:val="restart"/>
          </w:tcPr>
          <w:p>
            <w:pPr>
              <w:jc w:val="right"/>
              <w:ind w:right="1870"/>
              <w:spacing w:after="0"/>
              <w:rPr>
                <w:sz w:val="20"/>
                <w:szCs w:val="20"/>
                <w:color w:val="auto"/>
              </w:rPr>
            </w:pPr>
            <w:r>
              <w:rPr>
                <w:rFonts w:ascii="Arial" w:cs="Arial" w:eastAsia="Arial" w:hAnsi="Arial"/>
                <w:sz w:val="18"/>
                <w:szCs w:val="18"/>
                <w:color w:val="auto"/>
              </w:rPr>
              <w:t>57</w:t>
            </w: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left="320" w:hanging="312"/>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US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assumed discount rate, compensation increases and expected long-term rate of return on plan assets used to determine the net pension cost for the US and International plans were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center"/>
              <w:ind w:right="740"/>
              <w:spacing w:after="0"/>
              <w:rPr>
                <w:sz w:val="20"/>
                <w:szCs w:val="20"/>
                <w:color w:val="auto"/>
              </w:rPr>
            </w:pPr>
            <w:r>
              <w:rPr>
                <w:rFonts w:ascii="Arial" w:cs="Arial" w:eastAsia="Arial" w:hAnsi="Arial"/>
                <w:sz w:val="18"/>
                <w:szCs w:val="18"/>
                <w:color w:val="auto"/>
                <w:w w:val="87"/>
              </w:rPr>
              <w:t>US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6"/>
          </w:tcPr>
          <w:p>
            <w:pPr>
              <w:jc w:val="center"/>
              <w:ind w:right="148"/>
              <w:spacing w:after="0"/>
              <w:rPr>
                <w:sz w:val="20"/>
                <w:szCs w:val="20"/>
                <w:color w:val="auto"/>
              </w:rPr>
            </w:pPr>
            <w:r>
              <w:rPr>
                <w:rFonts w:ascii="Arial" w:cs="Arial" w:eastAsia="Arial" w:hAnsi="Arial"/>
                <w:sz w:val="18"/>
                <w:szCs w:val="18"/>
                <w:color w:val="auto"/>
                <w:w w:val="92"/>
              </w:rPr>
              <w:t>International</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2019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2.60%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2.38%</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4.00%</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Compensation increases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b w:val="1"/>
                <w:bCs w:val="1"/>
                <w:color w:val="auto"/>
              </w:rPr>
              <w:t>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4.82%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4.83%</w:t>
            </w: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Return on plan assets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6.60%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6.73%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7.22%</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w w:val="94"/>
              </w:rPr>
              <w:t>Net pension cost (credit) included the following components: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3"/>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5"/>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r>
      <w:tr>
        <w:trPr>
          <w:trHeight w:val="431"/>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95"/>
              </w:rPr>
              <w:t>US</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4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117</w:t>
            </w: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(254)</w:t>
            </w:r>
          </w:p>
        </w:tc>
        <w:tc>
          <w:tcPr>
            <w:tcW w:w="1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(640)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(592)</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r>
      <w:tr>
        <w:trPr>
          <w:trHeight w:val="230"/>
        </w:trPr>
        <w:tc>
          <w:tcPr>
            <w:tcW w:w="4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Settlement charge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2019, certain of Schlumberger’s deferred benefit pension plans offered former Schlumberger employees, who had not yet commenced receiving their pension benefits, an opportunity to receive a lump sum payout of their vested pension benefit. Schlumberger’s pension plans paid $257 million from pension plan assets to those who accepted this offer, thereby reducing its pension benefit obligations. These transactions resulted in a non-cash pension settlement charge of $37 million, representing the immediate recognition of the related deferred actuarial losses in </w:t>
      </w:r>
      <w:r>
        <w:rPr>
          <w:rFonts w:ascii="Arial" w:cs="Arial" w:eastAsia="Arial" w:hAnsi="Arial"/>
          <w:sz w:val="18"/>
          <w:szCs w:val="18"/>
          <w:i w:val="1"/>
          <w:iCs w:val="1"/>
          <w:color w:val="auto"/>
        </w:rPr>
        <w:t>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Loss</w:t>
      </w:r>
      <w:r>
        <w:rPr>
          <w:rFonts w:ascii="Arial" w:cs="Arial" w:eastAsia="Arial" w:hAnsi="Arial"/>
          <w:sz w:val="18"/>
          <w:szCs w:val="18"/>
          <w:color w:val="auto"/>
        </w:rPr>
        <w:t>, in the fourth quarter of 2019. See Note 3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assumed discount rate and compensation increases used to determine the projected benefit obligations for the US and International plans were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US</w:t>
            </w:r>
          </w:p>
        </w:tc>
        <w:tc>
          <w:tcPr>
            <w:tcW w:w="11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w w:val="94"/>
              </w:rPr>
              <w:t>International</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5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3.00%</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w:t>
            </w:r>
          </w:p>
        </w:tc>
        <w:tc>
          <w:tcPr>
            <w:tcW w:w="1460" w:type="dxa"/>
            <w:vAlign w:val="bottom"/>
            <w:gridSpan w:val="2"/>
            <w:shd w:val="clear" w:color="auto" w:fill="CFF0FC"/>
          </w:tcPr>
          <w:p>
            <w:pPr>
              <w:ind w:left="800"/>
              <w:spacing w:after="0"/>
              <w:rPr>
                <w:sz w:val="20"/>
                <w:szCs w:val="20"/>
                <w:color w:val="auto"/>
              </w:rPr>
            </w:pPr>
            <w:r>
              <w:rPr>
                <w:rFonts w:ascii="Arial" w:cs="Arial" w:eastAsia="Arial" w:hAnsi="Arial"/>
                <w:sz w:val="18"/>
                <w:szCs w:val="18"/>
                <w:b w:val="1"/>
                <w:bCs w:val="1"/>
                <w:color w:val="auto"/>
              </w:rPr>
              <w:t>2.83%</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w:t>
            </w: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color w:val="auto"/>
              </w:rPr>
              <w:t>Compensation increases</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460" w:type="dxa"/>
            <w:vAlign w:val="bottom"/>
            <w:gridSpan w:val="2"/>
          </w:tcPr>
          <w:p>
            <w:pPr>
              <w:ind w:left="800"/>
              <w:spacing w:after="0"/>
              <w:rPr>
                <w:sz w:val="20"/>
                <w:szCs w:val="20"/>
                <w:color w:val="auto"/>
              </w:rPr>
            </w:pPr>
            <w:r>
              <w:rPr>
                <w:rFonts w:ascii="Arial" w:cs="Arial" w:eastAsia="Arial" w:hAnsi="Arial"/>
                <w:sz w:val="18"/>
                <w:szCs w:val="18"/>
                <w:b w:val="1"/>
                <w:bCs w:val="1"/>
                <w:color w:val="auto"/>
              </w:rPr>
              <w:t>4.83%</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r>
      <w:tr>
        <w:trPr>
          <w:trHeight w:val="643"/>
        </w:trPr>
        <w:tc>
          <w:tcPr>
            <w:tcW w:w="6360" w:type="dxa"/>
            <w:vAlign w:val="bottom"/>
            <w:gridSpan w:val="2"/>
          </w:tcPr>
          <w:p>
            <w:pPr>
              <w:jc w:val="right"/>
              <w:ind w:right="55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1"/>
        </w:trPr>
        <w:tc>
          <w:tcPr>
            <w:tcW w:w="5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Projected Benefit Obligations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4,593</w:t>
            </w:r>
          </w:p>
        </w:tc>
        <w:tc>
          <w:tcPr>
            <w:tcW w:w="14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11,140</w:t>
            </w:r>
          </w:p>
        </w:tc>
        <w:tc>
          <w:tcPr>
            <w:tcW w:w="2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9,647</w:t>
            </w:r>
          </w:p>
        </w:tc>
        <w:tc>
          <w:tcPr>
            <w:tcW w:w="12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117</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plan participants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Currency effect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(18)</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(232)</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(355)</w:t>
            </w: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Projected benefit obligation at end of year</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4,668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10,618</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Plan assets at fair value at beginning of year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4,776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10,493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Currency effect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(28)</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Company contributions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(232)</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(355)</w:t>
            </w: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Plan assets at fair value at end of year</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4,696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11,221</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Asset / (Unfunded Liability)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w:t>
            </w:r>
          </w:p>
        </w:tc>
        <w:tc>
          <w:tcPr>
            <w:tcW w:w="2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FF0FC"/>
            </w:tcBorders>
          </w:tcPr>
          <w:p>
            <w:pPr>
              <w:spacing w:after="0"/>
              <w:rPr>
                <w:sz w:val="22"/>
                <w:szCs w:val="22"/>
                <w:color w:val="auto"/>
              </w:rPr>
            </w:pP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Amounts Recognized in Balance Sheet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622</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FF0FC"/>
          </w:tcPr>
          <w:p>
            <w:pPr>
              <w:spacing w:after="0"/>
              <w:rPr>
                <w:sz w:val="19"/>
                <w:szCs w:val="19"/>
                <w:color w:val="auto"/>
              </w:rPr>
            </w:pPr>
          </w:p>
        </w:tc>
      </w:tr>
      <w:tr>
        <w:trPr>
          <w:trHeight w:val="263"/>
        </w:trPr>
        <w:tc>
          <w:tcPr>
            <w:tcW w:w="57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w:t>
            </w:r>
          </w:p>
        </w:tc>
        <w:tc>
          <w:tcPr>
            <w:tcW w:w="2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FF0FC"/>
            </w:tcBorders>
          </w:tcPr>
          <w:p>
            <w:pPr>
              <w:spacing w:after="0"/>
              <w:rPr>
                <w:sz w:val="22"/>
                <w:szCs w:val="22"/>
                <w:color w:val="auto"/>
              </w:rPr>
            </w:pP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Amounts Recognized in Accumulated Other Comprehensive Loss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Actuarial losses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1,174</w:t>
            </w:r>
          </w:p>
        </w:tc>
        <w:tc>
          <w:tcPr>
            <w:tcW w:w="2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Accumulated benefit obligation</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4,484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10,370</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(“ABO”) represents the actuarial present value of benefits based on employee service and compensation but does not include an assumption about future compensation levels.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Actuarial gains arising during 2021 and actuarial losses arising during 2020 were primarily attributable to changes in the discount rate used to determine the PBO.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allocation of plan assets and the target allocations by asset category as of December 31, 2021 are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US</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2"/>
              </w:rPr>
              <w:t>International</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Target</w:t>
            </w: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Target</w:t>
            </w:r>
          </w:p>
        </w:tc>
        <w:tc>
          <w:tcPr>
            <w:tcW w:w="30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9"/>
                <w:szCs w:val="19"/>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4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4 - 8</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20 - 30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Debt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- 90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50 - 60</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0 - 3</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0 - 5</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jc w:val="right"/>
              <w:spacing w:after="0"/>
              <w:rPr>
                <w:sz w:val="20"/>
                <w:szCs w:val="20"/>
                <w:color w:val="auto"/>
              </w:rPr>
            </w:pPr>
            <w:r>
              <w:rPr>
                <w:rFonts w:ascii="Arial" w:cs="Arial" w:eastAsia="Arial" w:hAnsi="Arial"/>
                <w:sz w:val="18"/>
                <w:szCs w:val="18"/>
                <w:color w:val="auto"/>
                <w:w w:val="96"/>
              </w:rPr>
              <w:t>- 15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19 - 26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r>
      <w:tr>
        <w:trPr>
          <w:trHeight w:val="223"/>
        </w:trPr>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100</w:t>
            </w:r>
          </w:p>
        </w:tc>
        <w:tc>
          <w:tcPr>
            <w:tcW w:w="4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42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performance is monitored frequently with an overall expectation that plan assets will meet or exceed the weighted index of its target asset allocation and component benchmark over rolling five-year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The expected rate of return on assets assumptions reflect the long-term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Schlumberger’s pension plan assets at December 31, 2021 and 2020, by asset category, is presented below and was determined based on valuation techniques categorized as follows:</w:t>
      </w:r>
    </w:p>
    <w:p>
      <w:pPr>
        <w:spacing w:after="0" w:line="62" w:lineRule="exact"/>
        <w:rPr>
          <w:sz w:val="20"/>
          <w:szCs w:val="20"/>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One: The use of quoted prices in active markets for identical instruments.</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Three: The use of significant unobservable inputs that typically require the use of management’s estimates of assumptions that market participants would use in pricing.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ind w:left="4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3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US Plan Assets</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7"/>
              </w:rPr>
              <w:t>Level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Level</w:t>
            </w:r>
          </w:p>
        </w:tc>
        <w:tc>
          <w:tcPr>
            <w:tcW w:w="12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Level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7"/>
              </w:rPr>
              <w:t>Level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Level</w:t>
            </w:r>
          </w:p>
        </w:tc>
        <w:tc>
          <w:tcPr>
            <w:tcW w:w="14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Level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One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Two</w:t>
            </w:r>
          </w:p>
        </w:tc>
        <w:tc>
          <w:tcPr>
            <w:tcW w:w="12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Three</w:t>
            </w: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One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Two</w:t>
            </w: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Three</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2,583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rPr>
              <w:t>Government and government-related debt</w:t>
            </w: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Alternative Investments: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Private debt</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4,696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60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ind w:left="4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3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color w:val="auto"/>
                <w:w w:val="93"/>
              </w:rPr>
              <w:t>International Plan Assets</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Level</w:t>
            </w:r>
          </w:p>
        </w:tc>
        <w:tc>
          <w:tcPr>
            <w:tcW w:w="12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7"/>
              </w:rPr>
              <w:t>Level</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Level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7"/>
              </w:rPr>
              <w:t>Level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Level</w:t>
            </w:r>
          </w:p>
        </w:tc>
        <w:tc>
          <w:tcPr>
            <w:tcW w:w="14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Level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One</w:t>
            </w:r>
          </w:p>
        </w:tc>
        <w:tc>
          <w:tcPr>
            <w:tcW w:w="1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Two</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Three</w:t>
            </w:r>
          </w:p>
        </w:tc>
        <w:tc>
          <w:tcPr>
            <w:tcW w:w="14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One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Two</w:t>
            </w: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Three</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60"/>
              <w:spacing w:after="0"/>
              <w:rPr>
                <w:sz w:val="20"/>
                <w:szCs w:val="20"/>
                <w:color w:val="auto"/>
              </w:rPr>
            </w:pPr>
            <w:r>
              <w:rPr>
                <w:rFonts w:ascii="Arial" w:cs="Arial" w:eastAsia="Arial" w:hAnsi="Arial"/>
                <w:sz w:val="18"/>
                <w:szCs w:val="18"/>
                <w:color w:val="auto"/>
              </w:rPr>
              <w:t>Government and government-related debt</w:t>
            </w: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Collateralized mortgage obligations and mortgage</w:t>
            </w:r>
          </w:p>
        </w:tc>
        <w:tc>
          <w:tcPr>
            <w:tcW w:w="1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backed securities</w:t>
            </w:r>
          </w:p>
        </w:tc>
        <w:tc>
          <w:tcPr>
            <w:tcW w:w="12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Arial" w:cs="Arial" w:eastAsia="Arial" w:hAnsi="Arial"/>
                <w:sz w:val="18"/>
                <w:szCs w:val="18"/>
                <w:color w:val="auto"/>
              </w:rPr>
              <w:t>Private debt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5,990</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does not expect to make any material contributions to its postretirement benefit plans in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Benefits Other Than Pensions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Schlumberger provides healthcare benefits to certain former US employees who have retired.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actuarial assumptions used to determine the accumulated postretirement benefit obligation and net periodic benefit cost for the US postretirement medical plan were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color w:val="auto"/>
                <w:w w:val="93"/>
              </w:rPr>
              <w:t>Benefit Obligations</w:t>
            </w:r>
          </w:p>
        </w:tc>
        <w:tc>
          <w:tcPr>
            <w:tcW w:w="1000" w:type="dxa"/>
            <w:vAlign w:val="bottom"/>
          </w:tcPr>
          <w:p>
            <w:pPr>
              <w:spacing w:after="0"/>
              <w:rPr>
                <w:sz w:val="19"/>
                <w:szCs w:val="19"/>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Net Periodic Benefit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880" w:type="dxa"/>
            <w:vAlign w:val="bottom"/>
          </w:tcPr>
          <w:p>
            <w:pPr>
              <w:spacing w:after="0"/>
              <w:rPr>
                <w:sz w:val="20"/>
                <w:szCs w:val="20"/>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At December 31,</w:t>
            </w:r>
          </w:p>
        </w:tc>
        <w:tc>
          <w:tcPr>
            <w:tcW w:w="1000" w:type="dxa"/>
            <w:vAlign w:val="bottom"/>
          </w:tcPr>
          <w:p>
            <w:pPr>
              <w:spacing w:after="0"/>
              <w:rPr>
                <w:sz w:val="20"/>
                <w:szCs w:val="20"/>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Cost for the Year</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8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8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3.00%</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2.60%</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Return on plan assets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Current medical cost trend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6.75%</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7.00%</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7.25%</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Ultimate medical cost trend rate</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Year that the rate reaches the ultimate trend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2031</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credit for the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0"/>
        </w:trPr>
        <w:tc>
          <w:tcPr>
            <w:tcW w:w="4060" w:type="dxa"/>
            <w:vAlign w:val="bottom"/>
          </w:tcPr>
          <w:p>
            <w:pPr>
              <w:spacing w:after="0"/>
              <w:rPr>
                <w:sz w:val="24"/>
                <w:szCs w:val="24"/>
                <w:color w:val="auto"/>
              </w:rPr>
            </w:pPr>
          </w:p>
        </w:tc>
        <w:tc>
          <w:tcPr>
            <w:tcW w:w="350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1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25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2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2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(73)</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2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Curtailment gain</w:t>
            </w:r>
          </w:p>
        </w:tc>
        <w:tc>
          <w:tcPr>
            <w:tcW w:w="2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540" w:type="dxa"/>
            <w:vAlign w:val="bottom"/>
            <w:vMerge w:val="restart"/>
          </w:tcPr>
          <w:p>
            <w:pPr>
              <w:jc w:val="right"/>
              <w:ind w:right="790"/>
              <w:spacing w:after="0"/>
              <w:rPr>
                <w:sz w:val="20"/>
                <w:szCs w:val="20"/>
                <w:color w:val="auto"/>
              </w:rPr>
            </w:pPr>
            <w:r>
              <w:rPr>
                <w:rFonts w:ascii="Arial" w:cs="Arial" w:eastAsia="Arial" w:hAnsi="Arial"/>
                <w:sz w:val="18"/>
                <w:szCs w:val="18"/>
                <w:color w:val="auto"/>
              </w:rPr>
              <w:t>61</w:t>
            </w: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 xml:space="preserve">Due to the actions taken by Schlumberger to reduce its global workforce during 2020, Schlumberger experienced a significant reduction in the expected aggregate years of future service of its employees in its US postretirement medical plan. Accordingly, Schlumberger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Schlumberger performed a remeasurement of the plan, which had an immaterial impact. This gain was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See Note 3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accumulated postretirement benefit obligation, plan assets and funded status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6260" w:type="dxa"/>
            <w:vAlign w:val="bottom"/>
          </w:tcPr>
          <w:p>
            <w:pPr>
              <w:spacing w:after="0"/>
              <w:rPr>
                <w:sz w:val="24"/>
                <w:szCs w:val="24"/>
                <w:color w:val="auto"/>
              </w:rPr>
            </w:pPr>
          </w:p>
        </w:tc>
        <w:tc>
          <w:tcPr>
            <w:tcW w:w="2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Projected Benefit Obligations</w:t>
            </w:r>
          </w:p>
        </w:tc>
        <w:tc>
          <w:tcPr>
            <w:tcW w:w="1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5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1,234</w:t>
            </w:r>
          </w:p>
        </w:tc>
        <w:tc>
          <w:tcPr>
            <w:tcW w:w="300" w:type="dxa"/>
            <w:vAlign w:val="bottom"/>
          </w:tcPr>
          <w:p>
            <w:pPr>
              <w:spacing w:after="0"/>
              <w:rPr>
                <w:sz w:val="19"/>
                <w:szCs w:val="19"/>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Interest cost</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plan participants</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(63)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Curtailment</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obligation at end of year</w:t>
            </w:r>
          </w:p>
        </w:tc>
        <w:tc>
          <w:tcPr>
            <w:tcW w:w="1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Plan assets at fair value at beginning of year</w:t>
            </w:r>
          </w:p>
        </w:tc>
        <w:tc>
          <w:tcPr>
            <w:tcW w:w="250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1,356</w:t>
            </w:r>
          </w:p>
        </w:tc>
        <w:tc>
          <w:tcPr>
            <w:tcW w:w="3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Benefits paid</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Plan assets at fair value at end of year</w:t>
            </w:r>
          </w:p>
        </w:tc>
        <w:tc>
          <w:tcPr>
            <w:tcW w:w="1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Asset</w:t>
            </w:r>
          </w:p>
        </w:tc>
        <w:tc>
          <w:tcPr>
            <w:tcW w:w="142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tcPr>
          <w:p>
            <w:pPr>
              <w:spacing w:after="0"/>
              <w:rPr>
                <w:sz w:val="22"/>
                <w:szCs w:val="22"/>
                <w:color w:val="auto"/>
              </w:rPr>
            </w:pPr>
          </w:p>
        </w:tc>
      </w:tr>
      <w:tr>
        <w:trPr>
          <w:trHeight w:val="210"/>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Amounts Recognized in Accumulated Other Comprehensive Loss</w:t>
            </w:r>
          </w:p>
        </w:tc>
        <w:tc>
          <w:tcPr>
            <w:tcW w:w="1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Actuarial gains</w:t>
            </w:r>
          </w:p>
        </w:tc>
        <w:tc>
          <w:tcPr>
            <w:tcW w:w="25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300" w:type="dxa"/>
            <w:vAlign w:val="bottom"/>
          </w:tcPr>
          <w:p>
            <w:pPr>
              <w:spacing w:after="0"/>
              <w:rPr>
                <w:sz w:val="19"/>
                <w:szCs w:val="19"/>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14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r>
      <w:tr>
        <w:trPr>
          <w:trHeight w:val="223"/>
        </w:trPr>
        <w:tc>
          <w:tcPr>
            <w:tcW w:w="6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asset balance relating to this plan was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of the US postretirement medical plan are invested 13% in equity securities and 87% in debt securities at December 31, 2021. The fair value of these assets was primarily determined based on Level Two valuation techniques.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benefits to be paid under the US and International pension plans as well as the postretirement medical plan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3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gridSpan w:val="5"/>
          </w:tcPr>
          <w:p>
            <w:pPr>
              <w:ind w:left="40"/>
              <w:spacing w:after="0"/>
              <w:rPr>
                <w:sz w:val="20"/>
                <w:szCs w:val="20"/>
                <w:color w:val="auto"/>
              </w:rPr>
            </w:pPr>
            <w:r>
              <w:rPr>
                <w:rFonts w:ascii="Arial" w:cs="Arial" w:eastAsia="Arial" w:hAnsi="Arial"/>
                <w:sz w:val="18"/>
                <w:szCs w:val="18"/>
                <w:color w:val="auto"/>
              </w:rPr>
              <w:t>Pension Benefits</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Postretirement</w:t>
            </w:r>
          </w:p>
        </w:tc>
      </w:tr>
      <w:tr>
        <w:trPr>
          <w:trHeight w:val="223"/>
        </w:trPr>
        <w:tc>
          <w:tcPr>
            <w:tcW w:w="31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6"/>
              </w:rPr>
              <w:t>International</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Medical Plan</w:t>
            </w: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4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2023</w:t>
            </w:r>
          </w:p>
        </w:tc>
        <w:tc>
          <w:tcPr>
            <w:tcW w:w="4240" w:type="dxa"/>
            <w:vAlign w:val="bottom"/>
            <w:gridSpan w:val="2"/>
          </w:tcPr>
          <w:p>
            <w:pPr>
              <w:jc w:val="right"/>
              <w:ind w:right="63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240" w:type="dxa"/>
            <w:vAlign w:val="bottom"/>
            <w:gridSpan w:val="2"/>
            <w:shd w:val="clear" w:color="auto" w:fill="CFF0FC"/>
          </w:tcPr>
          <w:p>
            <w:pPr>
              <w:jc w:val="right"/>
              <w:ind w:right="63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2025</w:t>
            </w:r>
          </w:p>
        </w:tc>
        <w:tc>
          <w:tcPr>
            <w:tcW w:w="4240" w:type="dxa"/>
            <w:vAlign w:val="bottom"/>
            <w:gridSpan w:val="2"/>
          </w:tcPr>
          <w:p>
            <w:pPr>
              <w:jc w:val="right"/>
              <w:ind w:right="63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240" w:type="dxa"/>
            <w:vAlign w:val="bottom"/>
            <w:gridSpan w:val="2"/>
            <w:shd w:val="clear" w:color="auto" w:fill="CFF0FC"/>
          </w:tcPr>
          <w:p>
            <w:pPr>
              <w:jc w:val="right"/>
              <w:ind w:right="63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2027-2031</w:t>
            </w:r>
          </w:p>
        </w:tc>
        <w:tc>
          <w:tcPr>
            <w:tcW w:w="4240" w:type="dxa"/>
            <w:vAlign w:val="bottom"/>
            <w:gridSpan w:val="2"/>
          </w:tcPr>
          <w:p>
            <w:pPr>
              <w:jc w:val="right"/>
              <w:ind w:right="63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r>
      <w:tr>
        <w:trPr>
          <w:trHeight w:val="674"/>
        </w:trPr>
        <w:tc>
          <w:tcPr>
            <w:tcW w:w="3160" w:type="dxa"/>
            <w:vAlign w:val="bottom"/>
          </w:tcPr>
          <w:p>
            <w:pPr>
              <w:spacing w:after="0"/>
              <w:rPr>
                <w:sz w:val="24"/>
                <w:szCs w:val="24"/>
                <w:color w:val="auto"/>
              </w:rPr>
            </w:pPr>
          </w:p>
        </w:tc>
        <w:tc>
          <w:tcPr>
            <w:tcW w:w="3440" w:type="dxa"/>
            <w:vAlign w:val="bottom"/>
          </w:tcPr>
          <w:p>
            <w:pPr>
              <w:jc w:val="right"/>
              <w:ind w:right="790"/>
              <w:spacing w:after="0"/>
              <w:rPr>
                <w:sz w:val="20"/>
                <w:szCs w:val="20"/>
                <w:color w:val="auto"/>
              </w:rPr>
            </w:pPr>
            <w:r>
              <w:rPr>
                <w:rFonts w:ascii="Arial" w:cs="Arial" w:eastAsia="Arial" w:hAnsi="Arial"/>
                <w:sz w:val="18"/>
                <w:szCs w:val="18"/>
                <w:color w:val="auto"/>
              </w:rPr>
              <w:t>62</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62" w:name="page63"/>
    <w:bookmarkEnd w:id="62"/>
    <w:p>
      <w:pPr>
        <w:ind w:left="280" w:hanging="272"/>
        <w:spacing w:after="0"/>
        <w:tabs>
          <w:tab w:leader="none" w:pos="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Supplementary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542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1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Arial" w:cs="Arial" w:eastAsia="Arial" w:hAnsi="Arial"/>
                <w:sz w:val="18"/>
                <w:szCs w:val="18"/>
                <w:color w:val="auto"/>
              </w:rPr>
              <w:t>Income tax</w:t>
            </w:r>
          </w:p>
        </w:tc>
        <w:tc>
          <w:tcPr>
            <w:tcW w:w="2060" w:type="dxa"/>
            <w:vAlign w:val="bottom"/>
            <w:gridSpan w:val="2"/>
          </w:tcPr>
          <w:p>
            <w:pPr>
              <w:jc w:val="right"/>
              <w:ind w:right="727"/>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591</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5420" w:type="dxa"/>
            <w:vAlign w:val="bottom"/>
          </w:tcPr>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542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of equity method investments</w:t>
            </w:r>
          </w:p>
        </w:tc>
        <w:tc>
          <w:tcPr>
            <w:tcW w:w="1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 (see Note 3)</w:t>
            </w:r>
          </w:p>
        </w:tc>
        <w:tc>
          <w:tcPr>
            <w:tcW w:w="1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sale of Liberty shares (see Note 3)</w:t>
            </w:r>
          </w:p>
        </w:tc>
        <w:tc>
          <w:tcPr>
            <w:tcW w:w="11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w w:val="91"/>
              </w:rPr>
              <w:t>The components of depreciation and amortization expense are as follows:</w:t>
            </w:r>
          </w:p>
        </w:tc>
        <w:tc>
          <w:tcPr>
            <w:tcW w:w="1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542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of fixed assets</w:t>
            </w:r>
          </w:p>
        </w:tc>
        <w:tc>
          <w:tcPr>
            <w:tcW w:w="1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1,402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Amortization of APS investments</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multiclient seismic data</w:t>
            </w:r>
          </w:p>
        </w:tc>
        <w:tc>
          <w:tcPr>
            <w:tcW w:w="11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2,120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 xml:space="preserve">The change in </w:t>
            </w: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xml:space="preserve"> is as follows:</w:t>
            </w:r>
          </w:p>
        </w:tc>
        <w:tc>
          <w:tcPr>
            <w:tcW w:w="1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0"/>
        </w:trPr>
        <w:tc>
          <w:tcPr>
            <w:tcW w:w="542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1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301</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Additions</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Amounts written off</w:t>
            </w:r>
          </w:p>
        </w:tc>
        <w:tc>
          <w:tcPr>
            <w:tcW w:w="1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80" w:type="dxa"/>
            <w:vAlign w:val="bottom"/>
            <w:vMerge w:val="restart"/>
          </w:tcPr>
          <w:p>
            <w:pPr>
              <w:jc w:val="right"/>
              <w:ind w:right="790"/>
              <w:spacing w:after="0"/>
              <w:rPr>
                <w:sz w:val="20"/>
                <w:szCs w:val="20"/>
                <w:color w:val="auto"/>
              </w:rPr>
            </w:pPr>
            <w:r>
              <w:rPr>
                <w:rFonts w:ascii="Arial" w:cs="Arial" w:eastAsia="Arial" w:hAnsi="Arial"/>
                <w:sz w:val="18"/>
                <w:szCs w:val="18"/>
                <w:color w:val="auto"/>
              </w:rPr>
              <w:t>63</w:t>
            </w: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December 31, 2021 and 2020.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622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512"/>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in APS projects</w:t>
            </w:r>
          </w:p>
        </w:tc>
        <w:tc>
          <w:tcPr>
            <w:tcW w:w="14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1,786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Pension and other postretirement</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hedge contracts</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4,183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consist of the following:</w:t>
            </w:r>
          </w:p>
        </w:tc>
        <w:tc>
          <w:tcPr>
            <w:tcW w:w="1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ind w:lef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6220" w:type="dxa"/>
            <w:vAlign w:val="bottom"/>
          </w:tcPr>
          <w:p>
            <w:pPr>
              <w:spacing w:after="0"/>
              <w:rPr>
                <w:sz w:val="24"/>
                <w:szCs w:val="24"/>
                <w:color w:val="auto"/>
              </w:rPr>
            </w:pPr>
          </w:p>
        </w:tc>
        <w:tc>
          <w:tcPr>
            <w:tcW w:w="2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w:t>
            </w:r>
          </w:p>
        </w:tc>
        <w:tc>
          <w:tcPr>
            <w:tcW w:w="14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3,205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Payroll, vacation and employee benefits</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Billings and cash collections in excess of revenue</w:t>
            </w:r>
          </w:p>
        </w:tc>
        <w:tc>
          <w:tcPr>
            <w:tcW w:w="1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8,382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management is responsible for establishing and maintaining adequate internal control over financial reporting as defined in Rule 13a–15(f) of the Securities Exchange Act of 1934, as amended (the “Exchange Act”).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 management assessed the effectiveness of its internal control over financial reporting as of December 31, 2021. In making this assessment, it used the criteria set forth in 2013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this assessment Schlumberger’s management has concluded that, as of December 31, 2021, its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 based on those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Schlumberger’s internal control over financial reporting as of December 31, 2021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 of Schlumberger Limited and its subsidiaries (the “Company”) as of December 31, 2021 and 2020, and the related consolidated statements of income (loss), comprehensive income (loss), stockholders’ equity and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12 to the consolidated financial statements, the Company’s tax filings are subject to regular audit by the tax authorities, and those audits may result in assessments for additional taxes that are resolved with the tax authorities or, potentially, through the courts. Tax liabilities are recorded based on estimates of additional taxes that will be due upon the conclusion of these audits.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uncertain tax positions is a critical audit matter are the significant judgment applied by management in determining these liabilities including a high degree of estimation uncertainty due to the uncertain and complex application of tax regulations, which in turn led to a high degree of auditor judgment, subjectivity, and effort in performing procedures to evaluate management’s estimates.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uncertain tax positions. These procedures also included, among others (i) evaluating management’s process for determining the estimated liabilities for uncertain tax positions, (ii) testing the completeness and reasonableness of uncertain tax positions recorded in the consolidated financial statements, and (iii) evaluating assessments received from the relevant tax authorities. Professionals with specialized skill and knowledge were used to assist in evaluating the reasonableness of assumptions used by management, including management’s assessment of whether tax positions are more-likely-than-not of being sustained.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2021 that has materially affected, or is reasonably likely to materially affect, Schlumberger’s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2013, Schlumberger completed the wind-down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in 2021 consisted of payments of taxes and other typical governmental charges. Certain non-US subsidiaries of Schlumberger maintained depository accounts at the Dubai branch of Bank Saderat Iran (“Saderat”), and at Bank Tejarat (“Tejarat”) in Tehran and in Kish for the deposit by NIOC of amounts owed to non-US subsidiaries of Schlumberger for services rendered in Iran prior to the wind-down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 of Schlumberger.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See “Item 1. Business—Information About Our Executive Officers” of this Report for information regarding the executive officers of Schlumberger. The information set forth under the captions “Election of Directors,” “Corporate Governance—Process for Selecting New Directors” and “Corporate Governance—Board Committees” in Schlumberger’s 2022 Proxy Statement is incorporated herein by reference. The information set forth under the caption “Stock Ownership Information—Delinquent Section 16(a) Reports” in Schlumberger’s 2022 Proxy Statement is incorporated herein by reference to the extent any disclosure is required.</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Schlumberger has a Code of Conduct that applies to all of its directors, officers and employees, including its principal executive, financial and accounting officers, or persons performing similar functions. Schlumberger’s Code of Conduct is posted on its website at https://www.slb.com/who-we-are/guiding-principles/our-code-of-conduct. Schlumberger intends to disclose future amendments to the Code of Conduct and any grant of a waiver from a provision of the Code of Conduct requiring disclosure under applicable SEC rules at https://www.slb.com/who-we-are/guiding-principles/our-code-of-conduct.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under the captions “Compensation Committee Report,” “Compensation Discussion and Analysis,” “Executive Compensation Tables” and “Director Compensation” in Schlumberger’s 2022 Proxy Statement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the captions “Stock Ownership Information—Security Ownership by Management and Our Board,” “Stock Ownership Information —Security Ownership by Certain Beneficial Owners” and “Executive Compensation Tables—Equity Compensation Plan Information” in Schlumberger’s 2022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under the captions “Corporate Governance—Director Independence” and “Corporate Governance—Certain Relationships and Related Person Transactions” in Schlumberger’s 2022 Proxy Statement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under the caption “Ratification of Appointment of Independent Auditors for 2022” in Schlumberger’s 2022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1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20" w:type="dxa"/>
            <w:vAlign w:val="bottom"/>
            <w:gridSpan w:val="9"/>
            <w:vMerge w:val="restart"/>
          </w:tcPr>
          <w:p>
            <w:pPr>
              <w:spacing w:after="0"/>
              <w:rPr>
                <w:sz w:val="20"/>
                <w:szCs w:val="20"/>
                <w:color w:val="auto"/>
              </w:rPr>
            </w:pPr>
            <w:r>
              <w:rPr>
                <w:rFonts w:ascii="Arial" w:cs="Arial" w:eastAsia="Arial" w:hAnsi="Arial"/>
                <w:sz w:val="18"/>
                <w:szCs w:val="18"/>
                <w:color w:val="auto"/>
              </w:rPr>
              <w:t>(1)  Financial Statements</w:t>
            </w:r>
          </w:p>
        </w:tc>
        <w:tc>
          <w:tcPr>
            <w:tcW w:w="1980" w:type="dxa"/>
            <w:vAlign w:val="bottom"/>
          </w:tcPr>
          <w:p>
            <w:pPr>
              <w:jc w:val="center"/>
              <w:ind w:left="1172"/>
              <w:spacing w:after="0"/>
              <w:rPr>
                <w:sz w:val="20"/>
                <w:szCs w:val="20"/>
                <w:color w:val="auto"/>
              </w:rPr>
            </w:pPr>
            <w:r>
              <w:rPr>
                <w:rFonts w:ascii="Arial" w:cs="Arial" w:eastAsia="Arial" w:hAnsi="Arial"/>
                <w:sz w:val="14"/>
                <w:szCs w:val="14"/>
                <w:color w:val="auto"/>
                <w:w w:val="89"/>
              </w:rPr>
              <w:t>Page(s)</w:t>
            </w:r>
          </w:p>
        </w:tc>
        <w:tc>
          <w:tcPr>
            <w:tcW w:w="0" w:type="dxa"/>
            <w:vAlign w:val="bottom"/>
          </w:tcPr>
          <w:p>
            <w:pPr>
              <w:spacing w:after="0"/>
              <w:rPr>
                <w:sz w:val="1"/>
                <w:szCs w:val="1"/>
                <w:color w:val="auto"/>
              </w:rPr>
            </w:pPr>
          </w:p>
        </w:tc>
      </w:tr>
      <w:tr>
        <w:trPr>
          <w:trHeight w:val="187"/>
        </w:trPr>
        <w:tc>
          <w:tcPr>
            <w:tcW w:w="9120" w:type="dxa"/>
            <w:vAlign w:val="bottom"/>
            <w:gridSpan w:val="9"/>
            <w:vMerge w:val="continue"/>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8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Consolidated Statement of Income (Loss) for the three years ended December 31, 2021</w:t>
              </w:r>
            </w:hyperlink>
          </w:p>
        </w:tc>
        <w:tc>
          <w:tcPr>
            <w:tcW w:w="2420" w:type="dxa"/>
            <w:vAlign w:val="bottom"/>
            <w:gridSpan w:val="3"/>
          </w:tcPr>
          <w:p>
            <w:pPr>
              <w:spacing w:after="0"/>
              <w:rPr>
                <w:sz w:val="16"/>
                <w:szCs w:val="16"/>
                <w:color w:val="auto"/>
              </w:rPr>
            </w:pPr>
          </w:p>
        </w:tc>
        <w:tc>
          <w:tcPr>
            <w:tcW w:w="1980" w:type="dxa"/>
            <w:vAlign w:val="bottom"/>
          </w:tcPr>
          <w:p>
            <w:pPr>
              <w:jc w:val="center"/>
              <w:ind w:left="1192"/>
              <w:spacing w:after="0" w:line="190"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70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Statement of Comprehensive Income (Loss) for the three years ended December 31, 2021</w:t>
              </w:r>
            </w:hyperlink>
          </w:p>
        </w:tc>
        <w:tc>
          <w:tcPr>
            <w:tcW w:w="1980" w:type="dxa"/>
            <w:vAlign w:val="bottom"/>
          </w:tcPr>
          <w:p>
            <w:pPr>
              <w:jc w:val="center"/>
              <w:ind w:left="1192"/>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Consolidated Balance Sheet at December 31, 2021 and 2020</w:t>
              </w:r>
            </w:hyperlink>
          </w:p>
        </w:tc>
        <w:tc>
          <w:tcPr>
            <w:tcW w:w="3080" w:type="dxa"/>
            <w:vAlign w:val="bottom"/>
            <w:tcBorders>
              <w:top w:val="single" w:sz="8" w:color="0000EE"/>
            </w:tcBorders>
            <w:gridSpan w:val="4"/>
          </w:tcPr>
          <w:p>
            <w:pPr>
              <w:spacing w:after="0"/>
              <w:rPr>
                <w:sz w:val="17"/>
                <w:szCs w:val="17"/>
                <w:color w:val="auto"/>
              </w:rPr>
            </w:pPr>
          </w:p>
        </w:tc>
        <w:tc>
          <w:tcPr>
            <w:tcW w:w="1260" w:type="dxa"/>
            <w:vAlign w:val="bottom"/>
          </w:tcPr>
          <w:p>
            <w:pPr>
              <w:spacing w:after="0"/>
              <w:rPr>
                <w:sz w:val="17"/>
                <w:szCs w:val="17"/>
                <w:color w:val="auto"/>
              </w:rPr>
            </w:pPr>
          </w:p>
        </w:tc>
        <w:tc>
          <w:tcPr>
            <w:tcW w:w="1980" w:type="dxa"/>
            <w:vAlign w:val="bottom"/>
          </w:tcPr>
          <w:p>
            <w:pPr>
              <w:jc w:val="center"/>
              <w:ind w:left="1192"/>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0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Consolidated Statement of Cash Flows for the three years ended December 31, 2021</w:t>
              </w:r>
            </w:hyperlink>
          </w:p>
        </w:tc>
        <w:tc>
          <w:tcPr>
            <w:tcW w:w="2620" w:type="dxa"/>
            <w:vAlign w:val="bottom"/>
            <w:gridSpan w:val="4"/>
          </w:tcPr>
          <w:p>
            <w:pPr>
              <w:spacing w:after="0"/>
              <w:rPr>
                <w:sz w:val="17"/>
                <w:szCs w:val="17"/>
                <w:color w:val="auto"/>
              </w:rPr>
            </w:pPr>
          </w:p>
        </w:tc>
        <w:tc>
          <w:tcPr>
            <w:tcW w:w="1980" w:type="dxa"/>
            <w:vAlign w:val="bottom"/>
          </w:tcPr>
          <w:p>
            <w:pPr>
              <w:jc w:val="center"/>
              <w:ind w:left="1192"/>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6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Consolidated Statement of Stockholders’ Equity for the three years ended December 31, 2021</w:t>
              </w:r>
            </w:hyperlink>
          </w:p>
        </w:tc>
        <w:tc>
          <w:tcPr>
            <w:tcW w:w="1940" w:type="dxa"/>
            <w:vAlign w:val="bottom"/>
            <w:gridSpan w:val="2"/>
          </w:tcPr>
          <w:p>
            <w:pPr>
              <w:spacing w:after="0"/>
              <w:rPr>
                <w:sz w:val="17"/>
                <w:szCs w:val="17"/>
                <w:color w:val="auto"/>
              </w:rPr>
            </w:pPr>
          </w:p>
        </w:tc>
        <w:tc>
          <w:tcPr>
            <w:tcW w:w="1980" w:type="dxa"/>
            <w:vAlign w:val="bottom"/>
          </w:tcPr>
          <w:p>
            <w:pPr>
              <w:jc w:val="center"/>
              <w:ind w:left="1172"/>
              <w:spacing w:after="0" w:line="196" w:lineRule="exact"/>
              <w:rPr>
                <w:sz w:val="20"/>
                <w:szCs w:val="20"/>
                <w:color w:val="auto"/>
              </w:rPr>
            </w:pPr>
            <w:r>
              <w:rPr>
                <w:rFonts w:ascii="Arial" w:cs="Arial" w:eastAsia="Arial" w:hAnsi="Arial"/>
                <w:sz w:val="18"/>
                <w:szCs w:val="18"/>
                <w:color w:val="auto"/>
                <w:w w:val="89"/>
              </w:rPr>
              <w:t>34 and 35</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70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w:t>
              </w:r>
            </w:hyperlink>
          </w:p>
        </w:tc>
        <w:tc>
          <w:tcPr>
            <w:tcW w:w="1980" w:type="dxa"/>
            <w:vAlign w:val="bottom"/>
          </w:tcPr>
          <w:p>
            <w:pPr>
              <w:jc w:val="center"/>
              <w:ind w:left="1172"/>
              <w:spacing w:after="0" w:line="196" w:lineRule="exact"/>
              <w:rPr>
                <w:sz w:val="20"/>
                <w:szCs w:val="20"/>
                <w:color w:val="auto"/>
              </w:rPr>
            </w:pPr>
            <w:r>
              <w:rPr>
                <w:rFonts w:ascii="Arial" w:cs="Arial" w:eastAsia="Arial" w:hAnsi="Arial"/>
                <w:sz w:val="18"/>
                <w:szCs w:val="18"/>
                <w:color w:val="auto"/>
                <w:w w:val="92"/>
              </w:rPr>
              <w:t>36 to 64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70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1980" w:type="dxa"/>
            <w:vAlign w:val="bottom"/>
          </w:tcPr>
          <w:p>
            <w:pPr>
              <w:jc w:val="center"/>
              <w:ind w:left="1192"/>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statements of companies accounted for under the equity method and unconsolidated subsidiaries have been omitted because they do not meet the materiality tests for assets or income.</w:t>
      </w:r>
    </w:p>
    <w:p>
      <w:pPr>
        <w:spacing w:after="0" w:line="170"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 See exhibits listed under Part (b) below.</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Articles of Incorporation of Schlumberger Limited (Schlumberger N.V.) (incorporated by reference to Exhibit 3.1 to Schlumberger’s</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Current Report on Form 8-K filed on April 6, 2016)</w:t>
        </w:r>
      </w:hyperlink>
    </w:p>
    <w:p>
      <w:pPr>
        <w:spacing w:after="0" w:line="76" w:lineRule="exact"/>
        <w:rPr>
          <w:sz w:val="20"/>
          <w:szCs w:val="20"/>
          <w:color w:val="auto"/>
        </w:rPr>
      </w:pPr>
    </w:p>
    <w:p>
      <w:pPr>
        <w:jc w:val="both"/>
        <w:spacing w:after="0" w:line="277" w:lineRule="auto"/>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Amended and Restated By-Laws of Schlumberger Limited (Schlumberger N.V.) (incorporated by reference to Exhibit 3 to Schlumberger’s</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Current Report on Form 8-K filed on July 22, 2019)</w:t>
        </w:r>
      </w:hyperlink>
    </w:p>
    <w:p>
      <w:pPr>
        <w:spacing w:after="0" w:line="76" w:lineRule="exact"/>
        <w:rPr>
          <w:sz w:val="20"/>
          <w:szCs w:val="20"/>
          <w:color w:val="auto"/>
        </w:rPr>
      </w:pPr>
    </w:p>
    <w:p>
      <w:pPr>
        <w:jc w:val="both"/>
        <w:spacing w:after="0" w:line="277" w:lineRule="auto"/>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Description of Common Stock of Schlumberger Limited (incorporated by reference to Exhibit 4.1 to Schlumberger’s Annual Report on</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Form 10-K filed on January 27, 2021)</w:t>
        </w:r>
      </w:hyperlink>
    </w:p>
    <w:p>
      <w:pPr>
        <w:spacing w:after="0" w:line="76" w:lineRule="exact"/>
        <w:rPr>
          <w:sz w:val="20"/>
          <w:szCs w:val="20"/>
          <w:color w:val="auto"/>
        </w:rPr>
      </w:pPr>
    </w:p>
    <w:p>
      <w:pPr>
        <w:jc w:val="both"/>
        <w:spacing w:after="0" w:line="263"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Indenture dated as of December 3, 2013, by and among Schlumberger Investment SA, as issuer, Schlumberger Limited, as guarantor, and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The Bank of New York Mellon, as trustee (incorporated by reference to Exhibit 4.1 to Schlumberger’s Current Report on Form 8-K filed on</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December 3, 2013)</w:t>
        </w:r>
      </w:hyperlink>
    </w:p>
    <w:p>
      <w:pPr>
        <w:spacing w:after="0" w:line="89" w:lineRule="exact"/>
        <w:rPr>
          <w:rFonts w:ascii="Arial" w:cs="Arial" w:eastAsia="Arial" w:hAnsi="Arial"/>
          <w:sz w:val="18"/>
          <w:szCs w:val="18"/>
          <w:u w:val="single" w:color="auto"/>
          <w:color w:val="0000EE"/>
        </w:rPr>
      </w:pPr>
    </w:p>
    <w:p>
      <w:pPr>
        <w:jc w:val="both"/>
        <w:spacing w:after="0" w:line="286" w:lineRule="auto"/>
        <w:rPr>
          <w:rFonts w:ascii="Arial" w:cs="Arial" w:eastAsia="Arial" w:hAnsi="Arial"/>
          <w:sz w:val="17"/>
          <w:szCs w:val="17"/>
          <w:u w:val="single" w:color="auto"/>
          <w:color w:val="0000EE"/>
        </w:rPr>
      </w:pPr>
      <w:hyperlink r:id="rId112">
        <w:r>
          <w:rPr>
            <w:rFonts w:ascii="Arial" w:cs="Arial" w:eastAsia="Arial" w:hAnsi="Arial"/>
            <w:sz w:val="17"/>
            <w:szCs w:val="17"/>
            <w:u w:val="single" w:color="auto"/>
            <w:color w:val="0000EE"/>
          </w:rPr>
          <w:t>First Supplemental Indenture dated as of December 3, 2013, by and among Schlumberger Investment SA, as issuer, Schlumberger Limited,</w:t>
        </w:r>
      </w:hyperlink>
      <w:r>
        <w:rPr>
          <w:rFonts w:ascii="Arial" w:cs="Arial" w:eastAsia="Arial" w:hAnsi="Arial"/>
          <w:sz w:val="17"/>
          <w:szCs w:val="17"/>
          <w:u w:val="single" w:color="auto"/>
          <w:color w:val="0000EE"/>
        </w:rPr>
        <w:t xml:space="preserve"> </w:t>
      </w:r>
      <w:hyperlink r:id="rId112">
        <w:r>
          <w:rPr>
            <w:rFonts w:ascii="Arial" w:cs="Arial" w:eastAsia="Arial" w:hAnsi="Arial"/>
            <w:sz w:val="17"/>
            <w:szCs w:val="17"/>
            <w:u w:val="single" w:color="auto"/>
            <w:color w:val="0000EE"/>
          </w:rPr>
          <w:t>as guarantor, and The Bank of New York Mellon, as trustee (including form of global notes representing 3.650% Senior Notes due 2023)</w:t>
        </w:r>
      </w:hyperlink>
      <w:r>
        <w:rPr>
          <w:rFonts w:ascii="Arial" w:cs="Arial" w:eastAsia="Arial" w:hAnsi="Arial"/>
          <w:sz w:val="17"/>
          <w:szCs w:val="17"/>
          <w:u w:val="single" w:color="auto"/>
          <w:color w:val="0000EE"/>
        </w:rPr>
        <w:t xml:space="preserve"> </w:t>
      </w:r>
      <w:hyperlink r:id="rId112">
        <w:r>
          <w:rPr>
            <w:rFonts w:ascii="Arial" w:cs="Arial" w:eastAsia="Arial" w:hAnsi="Arial"/>
            <w:sz w:val="17"/>
            <w:szCs w:val="17"/>
            <w:u w:val="single" w:color="auto"/>
            <w:color w:val="0000EE"/>
          </w:rPr>
          <w:t>(incorporated by reference to Exhibit 4.2 to Schlumberger’s Current Report on Form 8-K filed on December 3, 2013)</w:t>
        </w:r>
      </w:hyperlink>
    </w:p>
    <w:p>
      <w:pPr>
        <w:spacing w:after="0" w:line="71" w:lineRule="exact"/>
        <w:rPr>
          <w:rFonts w:ascii="Arial" w:cs="Arial" w:eastAsia="Arial" w:hAnsi="Arial"/>
          <w:sz w:val="17"/>
          <w:szCs w:val="17"/>
          <w:u w:val="single" w:color="auto"/>
          <w:color w:val="0000EE"/>
        </w:rPr>
      </w:pPr>
    </w:p>
    <w:p>
      <w:pPr>
        <w:jc w:val="both"/>
        <w:spacing w:after="0" w:line="286" w:lineRule="auto"/>
        <w:rPr>
          <w:rFonts w:ascii="Arial" w:cs="Arial" w:eastAsia="Arial" w:hAnsi="Arial"/>
          <w:sz w:val="17"/>
          <w:szCs w:val="17"/>
          <w:u w:val="single" w:color="auto"/>
          <w:color w:val="0000EE"/>
        </w:rPr>
      </w:pPr>
      <w:hyperlink r:id="rId113">
        <w:r>
          <w:rPr>
            <w:rFonts w:ascii="Arial" w:cs="Arial" w:eastAsia="Arial" w:hAnsi="Arial"/>
            <w:sz w:val="17"/>
            <w:szCs w:val="17"/>
            <w:u w:val="single" w:color="auto"/>
            <w:color w:val="0000EE"/>
          </w:rPr>
          <w:t>Second Supplemental Indenture dated as of June 26, 2020, by and among Schlumberger Investment SA, as issuer, Schlumberger Limited,</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as guarantor, and The Bank of New York Mellon, as trustee (including form of global notes representing 2.650% Senior Notes due 2030)</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(incorporated by reference to Exhibit 4.1 to Schlumberger’s Current Report on Form 8-K filed on June 26, 2020)</w:t>
        </w:r>
      </w:hyperlink>
    </w:p>
    <w:p>
      <w:pPr>
        <w:spacing w:after="0" w:line="71" w:lineRule="exact"/>
        <w:rPr>
          <w:rFonts w:ascii="Arial" w:cs="Arial" w:eastAsia="Arial" w:hAnsi="Arial"/>
          <w:sz w:val="17"/>
          <w:szCs w:val="17"/>
          <w:u w:val="single" w:color="auto"/>
          <w:color w:val="0000EE"/>
        </w:rPr>
      </w:pPr>
    </w:p>
    <w:p>
      <w:pPr>
        <w:jc w:val="both"/>
        <w:spacing w:after="0" w:line="263" w:lineRule="auto"/>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Officers’ Certificate dated as of August 11, 2020, executed by Schlumberger Investment SA, as issuer, and Schlumberger Limited, as</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guarantor (including form of global notes representing 2.650% Senior Notes due 2030) (incorporated by reference to Exhibit 4.1 to</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Schlumberger’s Current Report on Form 8-K filed on August 11, 2020)</w:t>
        </w:r>
      </w:hyperlink>
    </w:p>
    <w:p>
      <w:pPr>
        <w:spacing w:after="0" w:line="89" w:lineRule="exact"/>
        <w:rPr>
          <w:rFonts w:ascii="Arial" w:cs="Arial" w:eastAsia="Arial" w:hAnsi="Arial"/>
          <w:sz w:val="18"/>
          <w:szCs w:val="18"/>
          <w:u w:val="single" w:color="auto"/>
          <w:color w:val="0000EE"/>
        </w:rPr>
      </w:pPr>
    </w:p>
    <w:p>
      <w:pPr>
        <w:jc w:val="both"/>
        <w:spacing w:after="0" w:line="263"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Indenture dated as of September 18, 2020, by and among Schlumberger Finance Canada Ltd., as issuer, Schlumberger Limited, as</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guarantor, and The Bank of New York Mellon, as trustee (incorporated by reference to Exhibit 4.1 to Schlumberger’s Current Report on</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Form 8-K filed on September 18, 2020)</w:t>
        </w:r>
      </w:hyperlink>
    </w:p>
    <w:p>
      <w:pPr>
        <w:spacing w:after="0" w:line="89" w:lineRule="exact"/>
        <w:rPr>
          <w:rFonts w:ascii="Arial" w:cs="Arial" w:eastAsia="Arial" w:hAnsi="Arial"/>
          <w:sz w:val="18"/>
          <w:szCs w:val="18"/>
          <w:u w:val="single" w:color="auto"/>
          <w:color w:val="0000EE"/>
        </w:rPr>
      </w:pPr>
    </w:p>
    <w:p>
      <w:pPr>
        <w:jc w:val="both"/>
        <w:spacing w:after="0" w:line="311" w:lineRule="auto"/>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First Supplemental Indenture dated as of September 18, 2020, by and among Schlumberger Finance Canada Ltd., as issuer, Schlumberger</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Limited, as guarantor, and The Bank of New York Mellon, as trustee (including form of global notes representing 1.400% Senior Notes due</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2025) (incorporated by reference to Exhibit 4.2 to Schlumberger’s Current Report on Form 8-K filed on September 18, 2020)</w:t>
        </w:r>
      </w:hyperlink>
    </w:p>
    <w:p>
      <w:pPr>
        <w:spacing w:after="0" w:line="54" w:lineRule="exact"/>
        <w:rPr>
          <w:rFonts w:ascii="Arial" w:cs="Arial" w:eastAsia="Arial" w:hAnsi="Arial"/>
          <w:sz w:val="16"/>
          <w:szCs w:val="16"/>
          <w:u w:val="single" w:color="auto"/>
          <w:color w:val="0000EE"/>
        </w:rPr>
      </w:pPr>
    </w:p>
    <w:p>
      <w:pPr>
        <w:jc w:val="both"/>
        <w:spacing w:after="0" w:line="308" w:lineRule="auto"/>
        <w:rPr>
          <w:rFonts w:ascii="Arial" w:cs="Arial" w:eastAsia="Arial" w:hAnsi="Arial"/>
          <w:sz w:val="17"/>
          <w:szCs w:val="17"/>
          <w:u w:val="single" w:color="auto"/>
          <w:color w:val="0000EE"/>
        </w:rPr>
      </w:pPr>
      <w:hyperlink r:id="rId117">
        <w:r>
          <w:rPr>
            <w:rFonts w:ascii="Arial" w:cs="Arial" w:eastAsia="Arial" w:hAnsi="Arial"/>
            <w:sz w:val="17"/>
            <w:szCs w:val="17"/>
            <w:u w:val="single" w:color="auto"/>
            <w:color w:val="0000EE"/>
          </w:rPr>
          <w:t>Indenture dated as of December 21, 2015, by and between Schlumberger Holdings Corporation, as issuer, and The Bank of New York</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Mellon, as trustee (incorporated by reference to Exhibit 4.8 to Schlumberger’s Annual Report on Form 10-K filed on January 27, 2021)</w:t>
        </w:r>
      </w:hyperlink>
    </w:p>
    <w:p>
      <w:pPr>
        <w:spacing w:after="0" w:line="52" w:lineRule="exact"/>
        <w:rPr>
          <w:sz w:val="20"/>
          <w:szCs w:val="20"/>
          <w:color w:val="auto"/>
        </w:rPr>
      </w:pPr>
    </w:p>
    <w:p>
      <w:pPr>
        <w:jc w:val="both"/>
        <w:spacing w:after="0" w:line="311" w:lineRule="auto"/>
        <w:rPr>
          <w:rFonts w:ascii="Arial" w:cs="Arial" w:eastAsia="Arial" w:hAnsi="Arial"/>
          <w:sz w:val="16"/>
          <w:szCs w:val="16"/>
          <w:u w:val="single" w:color="auto"/>
          <w:color w:val="0000EE"/>
        </w:rPr>
      </w:pPr>
      <w:hyperlink r:id="rId118">
        <w:r>
          <w:rPr>
            <w:rFonts w:ascii="Arial" w:cs="Arial" w:eastAsia="Arial" w:hAnsi="Arial"/>
            <w:sz w:val="16"/>
            <w:szCs w:val="16"/>
            <w:u w:val="single" w:color="auto"/>
            <w:color w:val="0000EE"/>
          </w:rPr>
          <w:t>First Supplemental Indenture dated as of December 21, 2015, by and between Schlumberger Holdings Corporation, as issuer, and The Bank</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of New York Mellon, as trustee (including forms of global notes representing 3.625% Senior Notes due 2022 and 4.000% Senior Notes due</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2025) (incorporated by reference to Exhibit 4.9 to Schlumberger’s Annual Report on Form 10-K filed on January 27, 2021)</w:t>
        </w:r>
      </w:hyperlink>
    </w:p>
    <w:p>
      <w:pPr>
        <w:spacing w:after="0" w:line="54" w:lineRule="exact"/>
        <w:rPr>
          <w:rFonts w:ascii="Arial" w:cs="Arial" w:eastAsia="Arial" w:hAnsi="Arial"/>
          <w:sz w:val="16"/>
          <w:szCs w:val="16"/>
          <w:u w:val="single" w:color="auto"/>
          <w:color w:val="0000EE"/>
        </w:rPr>
      </w:pPr>
    </w:p>
    <w:p>
      <w:pPr>
        <w:jc w:val="both"/>
        <w:spacing w:after="0" w:line="311" w:lineRule="auto"/>
        <w:rPr>
          <w:rFonts w:ascii="Arial" w:cs="Arial" w:eastAsia="Arial" w:hAnsi="Arial"/>
          <w:sz w:val="16"/>
          <w:szCs w:val="16"/>
          <w:u w:val="single" w:color="auto"/>
          <w:color w:val="0000EE"/>
        </w:rPr>
      </w:pPr>
      <w:hyperlink r:id="rId119">
        <w:r>
          <w:rPr>
            <w:rFonts w:ascii="Arial" w:cs="Arial" w:eastAsia="Arial" w:hAnsi="Arial"/>
            <w:sz w:val="16"/>
            <w:szCs w:val="16"/>
            <w:u w:val="single" w:color="auto"/>
            <w:color w:val="0000EE"/>
          </w:rPr>
          <w:t>Second Supplemental Indenture dated as of February 4, 2019, by and between Schlumberger Holdings Corporation, as issuer, and The Bank</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of New York Mellon, as trustee (including forms of global notes representing 3.750% Senior Notes due 2024 and 4.300% Senior Notes due</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2029) (incorporated by reference to Exhibit 4.10 to Schlumberger’s Annual Report on Form 10-K filed on January 27, 2021)</w:t>
        </w:r>
      </w:hyperlink>
    </w:p>
    <w:p>
      <w:pPr>
        <w:spacing w:after="0" w:line="54" w:lineRule="exact"/>
        <w:rPr>
          <w:rFonts w:ascii="Arial" w:cs="Arial" w:eastAsia="Arial" w:hAnsi="Arial"/>
          <w:sz w:val="16"/>
          <w:szCs w:val="16"/>
          <w:u w:val="single" w:color="auto"/>
          <w:color w:val="0000EE"/>
        </w:rPr>
      </w:pPr>
    </w:p>
    <w:p>
      <w:pPr>
        <w:jc w:val="both"/>
        <w:spacing w:after="0" w:line="263" w:lineRule="auto"/>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Third Supplemental Indenture dated as of April 11, 2019, by and between Schlumberger Holdings Corporation, as issuer, and The Bank of</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New York Mellon, as trustee (including form of global notes representing 3.900% Senior Notes due 2028) (incorporated by reference to</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Exhibit 4.11 to Schlumberger’s Annual Report on Form 10-K filed on January 27, 2021)</w:t>
        </w:r>
      </w:hyperlink>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Exhibit</w:t>
      </w:r>
    </w:p>
    <w:p>
      <w:pPr>
        <w:spacing w:after="0" w:line="63"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3.1</w:t>
      </w:r>
    </w:p>
    <w:p>
      <w:pPr>
        <w:spacing w:after="0" w:line="381"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3.2</w:t>
      </w:r>
    </w:p>
    <w:p>
      <w:pPr>
        <w:spacing w:after="0" w:line="381"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4.1</w:t>
      </w:r>
    </w:p>
    <w:p>
      <w:pPr>
        <w:spacing w:after="0" w:line="381"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4.2</w:t>
      </w:r>
    </w:p>
    <w:p>
      <w:pPr>
        <w:spacing w:after="0" w:line="200" w:lineRule="exact"/>
        <w:rPr>
          <w:rFonts w:ascii="Arial" w:cs="Arial" w:eastAsia="Arial" w:hAnsi="Arial"/>
          <w:sz w:val="18"/>
          <w:szCs w:val="18"/>
          <w:u w:val="single" w:color="auto"/>
          <w:color w:val="0000EE"/>
        </w:rPr>
      </w:pPr>
    </w:p>
    <w:p>
      <w:pPr>
        <w:spacing w:after="0" w:line="397"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4.3</w:t>
      </w:r>
    </w:p>
    <w:p>
      <w:pPr>
        <w:spacing w:after="0" w:line="200" w:lineRule="exact"/>
        <w:rPr>
          <w:rFonts w:ascii="Arial" w:cs="Arial" w:eastAsia="Arial" w:hAnsi="Arial"/>
          <w:sz w:val="18"/>
          <w:szCs w:val="18"/>
          <w:u w:val="single" w:color="auto"/>
          <w:color w:val="0000EE"/>
        </w:rPr>
      </w:pPr>
    </w:p>
    <w:p>
      <w:pPr>
        <w:spacing w:after="0" w:line="397"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4.4</w:t>
      </w:r>
    </w:p>
    <w:p>
      <w:pPr>
        <w:spacing w:after="0" w:line="200" w:lineRule="exact"/>
        <w:rPr>
          <w:rFonts w:ascii="Arial" w:cs="Arial" w:eastAsia="Arial" w:hAnsi="Arial"/>
          <w:sz w:val="18"/>
          <w:szCs w:val="18"/>
          <w:u w:val="single" w:color="auto"/>
          <w:color w:val="0000EE"/>
        </w:rPr>
      </w:pPr>
    </w:p>
    <w:p>
      <w:pPr>
        <w:spacing w:after="0" w:line="397"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4.5</w:t>
      </w:r>
    </w:p>
    <w:p>
      <w:pPr>
        <w:spacing w:after="0" w:line="200" w:lineRule="exact"/>
        <w:rPr>
          <w:rFonts w:ascii="Arial" w:cs="Arial" w:eastAsia="Arial" w:hAnsi="Arial"/>
          <w:sz w:val="18"/>
          <w:szCs w:val="18"/>
          <w:u w:val="single" w:color="auto"/>
          <w:color w:val="0000EE"/>
        </w:rPr>
      </w:pPr>
    </w:p>
    <w:p>
      <w:pPr>
        <w:spacing w:after="0" w:line="397"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4.6</w:t>
      </w:r>
    </w:p>
    <w:p>
      <w:pPr>
        <w:spacing w:after="0" w:line="200" w:lineRule="exact"/>
        <w:rPr>
          <w:rFonts w:ascii="Arial" w:cs="Arial" w:eastAsia="Arial" w:hAnsi="Arial"/>
          <w:sz w:val="18"/>
          <w:szCs w:val="18"/>
          <w:u w:val="single" w:color="auto"/>
          <w:color w:val="0000EE"/>
        </w:rPr>
      </w:pPr>
    </w:p>
    <w:p>
      <w:pPr>
        <w:spacing w:after="0" w:line="397"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4.7</w:t>
      </w:r>
    </w:p>
    <w:p>
      <w:pPr>
        <w:spacing w:after="0" w:line="200" w:lineRule="exact"/>
        <w:rPr>
          <w:rFonts w:ascii="Arial" w:cs="Arial" w:eastAsia="Arial" w:hAnsi="Arial"/>
          <w:sz w:val="18"/>
          <w:szCs w:val="18"/>
          <w:u w:val="single" w:color="auto"/>
          <w:color w:val="0000EE"/>
        </w:rPr>
      </w:pPr>
    </w:p>
    <w:p>
      <w:pPr>
        <w:spacing w:after="0" w:line="397" w:lineRule="exact"/>
        <w:rPr>
          <w:rFonts w:ascii="Arial" w:cs="Arial" w:eastAsia="Arial" w:hAnsi="Arial"/>
          <w:sz w:val="18"/>
          <w:szCs w:val="18"/>
          <w:u w:val="single" w:color="auto"/>
          <w:color w:val="0000EE"/>
        </w:rPr>
      </w:pPr>
    </w:p>
    <w:p>
      <w:pPr>
        <w:ind w:left="520"/>
        <w:spacing w:after="0"/>
        <w:rPr>
          <w:sz w:val="20"/>
          <w:szCs w:val="20"/>
          <w:color w:val="auto"/>
        </w:rPr>
      </w:pPr>
      <w:r>
        <w:rPr>
          <w:rFonts w:ascii="Arial" w:cs="Arial" w:eastAsia="Arial" w:hAnsi="Arial"/>
          <w:sz w:val="15"/>
          <w:szCs w:val="15"/>
          <w:color w:val="auto"/>
        </w:rPr>
        <w:t>4.8</w:t>
      </w:r>
    </w:p>
    <w:p>
      <w:pPr>
        <w:spacing w:after="0" w:line="381"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4.9</w:t>
      </w:r>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4.10</w:t>
      </w:r>
    </w:p>
    <w:p>
      <w:pPr>
        <w:spacing w:after="0" w:line="200" w:lineRule="exact"/>
        <w:rPr>
          <w:rFonts w:ascii="Arial" w:cs="Arial" w:eastAsia="Arial" w:hAnsi="Arial"/>
          <w:sz w:val="18"/>
          <w:szCs w:val="18"/>
          <w:u w:val="single" w:color="auto"/>
          <w:color w:val="0000EE"/>
        </w:rPr>
      </w:pPr>
    </w:p>
    <w:p>
      <w:pPr>
        <w:spacing w:after="0" w:line="363" w:lineRule="exact"/>
        <w:rPr>
          <w:rFonts w:ascii="Arial" w:cs="Arial" w:eastAsia="Arial" w:hAnsi="Arial"/>
          <w:sz w:val="18"/>
          <w:szCs w:val="18"/>
          <w:u w:val="single" w:color="auto"/>
          <w:color w:val="0000EE"/>
        </w:rPr>
      </w:pPr>
    </w:p>
    <w:p>
      <w:pPr>
        <w:ind w:left="400"/>
        <w:spacing w:after="0"/>
        <w:rPr>
          <w:sz w:val="20"/>
          <w:szCs w:val="20"/>
          <w:color w:val="auto"/>
        </w:rPr>
      </w:pPr>
      <w:r>
        <w:rPr>
          <w:rFonts w:ascii="Arial" w:cs="Arial" w:eastAsia="Arial" w:hAnsi="Arial"/>
          <w:sz w:val="17"/>
          <w:szCs w:val="17"/>
          <w:color w:val="auto"/>
        </w:rPr>
        <w:t>4.11</w:t>
      </w:r>
    </w:p>
    <w:p>
      <w:pPr>
        <w:sectPr>
          <w:pgSz w:w="11900" w:h="16838" w:orient="portrait"/>
          <w:cols w:equalWidth="0" w:num="2">
            <w:col w:w="10100" w:space="400"/>
            <w:col w:w="740"/>
          </w:cols>
          <w:pgMar w:left="320" w:top="55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120" w:type="dxa"/>
            <w:vAlign w:val="bottom"/>
            <w:tcBorders>
              <w:bottom w:val="single" w:sz="8" w:color="0000EE"/>
            </w:tcBorders>
            <w:gridSpan w:val="15"/>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Schlumberger Limited Supplementary Benefit Plan, as established effective June 1, 1995 and conformed to include amendments through</w:t>
              </w:r>
            </w:hyperlink>
          </w:p>
        </w:tc>
        <w:tc>
          <w:tcPr>
            <w:tcW w:w="360" w:type="dxa"/>
            <w:vAlign w:val="bottom"/>
            <w:gridSpan w:val="6"/>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10480" w:type="dxa"/>
            <w:vAlign w:val="bottom"/>
            <w:gridSpan w:val="21"/>
          </w:tcPr>
          <w:p>
            <w:pPr>
              <w:spacing w:after="0" w:line="196" w:lineRule="exact"/>
              <w:rPr>
                <w:rFonts w:ascii="Arial" w:cs="Arial" w:eastAsia="Arial" w:hAnsi="Arial"/>
                <w:sz w:val="18"/>
                <w:szCs w:val="18"/>
                <w:color w:val="0000EE"/>
                <w:w w:val="96"/>
              </w:rPr>
            </w:pPr>
            <w:hyperlink r:id="rId122">
              <w:r>
                <w:rPr>
                  <w:rFonts w:ascii="Arial" w:cs="Arial" w:eastAsia="Arial" w:hAnsi="Arial"/>
                  <w:sz w:val="18"/>
                  <w:szCs w:val="18"/>
                  <w:color w:val="0000EE"/>
                  <w:w w:val="96"/>
                </w:rPr>
                <w:t>January 1, 2019 (incorporated by reference to Exhibit 10.1 to Schlumberger’s Annual Report on Form 10-K for the year ended December</w:t>
              </w:r>
            </w:hyperlink>
          </w:p>
        </w:tc>
        <w:tc>
          <w:tcPr>
            <w:tcW w:w="760" w:type="dxa"/>
            <w:vAlign w:val="bottom"/>
          </w:tcPr>
          <w:p>
            <w:pPr>
              <w:spacing w:after="0"/>
              <w:rPr>
                <w:sz w:val="17"/>
                <w:szCs w:val="17"/>
                <w:color w:val="auto"/>
              </w:rPr>
            </w:pPr>
          </w:p>
        </w:tc>
      </w:tr>
      <w:tr>
        <w:trPr>
          <w:trHeight w:val="196"/>
        </w:trPr>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31, 2018) (+)</w:t>
              </w:r>
            </w:hyperlink>
          </w:p>
        </w:tc>
        <w:tc>
          <w:tcPr>
            <w:tcW w:w="5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9"/>
          </w:tcPr>
          <w:p>
            <w:pPr>
              <w:spacing w:after="0"/>
              <w:rPr>
                <w:rFonts w:ascii="Arial" w:cs="Arial" w:eastAsia="Arial" w:hAnsi="Arial"/>
                <w:sz w:val="18"/>
                <w:szCs w:val="18"/>
                <w:color w:val="0000EE"/>
                <w:w w:val="95"/>
              </w:rPr>
            </w:pPr>
            <w:hyperlink r:id="rId123">
              <w:r>
                <w:rPr>
                  <w:rFonts w:ascii="Arial" w:cs="Arial" w:eastAsia="Arial" w:hAnsi="Arial"/>
                  <w:sz w:val="18"/>
                  <w:szCs w:val="18"/>
                  <w:color w:val="0000EE"/>
                  <w:w w:val="95"/>
                </w:rPr>
                <w:t>Schlumberger Limited Restoration Savings Plan, as established effective June 1, 1995 and conformed to include amendments through</w:t>
              </w:r>
            </w:hyperlink>
          </w:p>
        </w:tc>
        <w:tc>
          <w:tcPr>
            <w:tcW w:w="28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196"/>
        </w:trPr>
        <w:tc>
          <w:tcPr>
            <w:tcW w:w="10480" w:type="dxa"/>
            <w:vAlign w:val="bottom"/>
            <w:gridSpan w:val="21"/>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January 1, 2019 (incorporated by reference to Exhibit 10.2 to Schlumberger’s Annual Report on Form 10-K for the year ended December</w:t>
              </w:r>
            </w:hyperlink>
          </w:p>
        </w:tc>
        <w:tc>
          <w:tcPr>
            <w:tcW w:w="760" w:type="dxa"/>
            <w:vAlign w:val="bottom"/>
          </w:tcPr>
          <w:p>
            <w:pPr>
              <w:spacing w:after="0"/>
              <w:rPr>
                <w:sz w:val="17"/>
                <w:szCs w:val="17"/>
                <w:color w:val="auto"/>
              </w:rPr>
            </w:pPr>
          </w:p>
        </w:tc>
      </w:tr>
      <w:tr>
        <w:trPr>
          <w:trHeight w:val="196"/>
        </w:trPr>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31, 2018) (+)</w:t>
              </w:r>
            </w:hyperlink>
          </w:p>
        </w:tc>
        <w:tc>
          <w:tcPr>
            <w:tcW w:w="5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18"/>
        </w:trPr>
        <w:tc>
          <w:tcPr>
            <w:tcW w:w="10220" w:type="dxa"/>
            <w:vAlign w:val="bottom"/>
            <w:tcBorders>
              <w:bottom w:val="single" w:sz="8" w:color="0000EE"/>
            </w:tcBorders>
            <w:gridSpan w:val="20"/>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Schlumberger Technology Corporation Supplementary Benefit Plan, as established effective January 1, 1995 and conformed to include</w:t>
              </w:r>
            </w:hyperlink>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10480" w:type="dxa"/>
            <w:vAlign w:val="bottom"/>
            <w:gridSpan w:val="21"/>
          </w:tcPr>
          <w:p>
            <w:pPr>
              <w:spacing w:after="0" w:line="19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amendments through January 1, 2019 (incorporated by reference to Exhibit 10.3 to Schlumberger’s Annual Report on Form 10-K for the</w:t>
              </w:r>
            </w:hyperlink>
          </w:p>
        </w:tc>
        <w:tc>
          <w:tcPr>
            <w:tcW w:w="760" w:type="dxa"/>
            <w:vAlign w:val="bottom"/>
          </w:tcPr>
          <w:p>
            <w:pPr>
              <w:spacing w:after="0"/>
              <w:rPr>
                <w:sz w:val="17"/>
                <w:szCs w:val="17"/>
                <w:color w:val="auto"/>
              </w:rPr>
            </w:pPr>
          </w:p>
        </w:tc>
      </w:tr>
      <w:tr>
        <w:trPr>
          <w:trHeight w:val="196"/>
        </w:trPr>
        <w:tc>
          <w:tcPr>
            <w:tcW w:w="2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year ended December 31, 2018) (+)</w:t>
              </w:r>
            </w:hyperlink>
          </w:p>
        </w:tc>
        <w:tc>
          <w:tcPr>
            <w:tcW w:w="7520" w:type="dxa"/>
            <w:vAlign w:val="bottom"/>
            <w:tcBorders>
              <w:top w:val="single" w:sz="8" w:color="0000EE"/>
            </w:tcBorders>
            <w:gridSpan w:val="10"/>
          </w:tcPr>
          <w:p>
            <w:pPr>
              <w:spacing w:after="0"/>
              <w:rPr>
                <w:sz w:val="17"/>
                <w:szCs w:val="17"/>
                <w:color w:val="auto"/>
              </w:rPr>
            </w:pPr>
          </w:p>
        </w:tc>
        <w:tc>
          <w:tcPr>
            <w:tcW w:w="3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9"/>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Schlumberger 2010 Omnibus Stock Incentive Plan, as amended and restated as of July 19, 2017 (incorporated by reference to Exhibit 10.8</w:t>
              </w:r>
            </w:hyperlink>
          </w:p>
        </w:tc>
        <w:tc>
          <w:tcPr>
            <w:tcW w:w="28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196"/>
        </w:trPr>
        <w:tc>
          <w:tcPr>
            <w:tcW w:w="10480" w:type="dxa"/>
            <w:vAlign w:val="bottom"/>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to Schlumberger’s Annual Report on Form 10-K for the year ended December 31, 2018) (+)</w:t>
              </w:r>
            </w:hyperlink>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19"/>
          </w:tcPr>
          <w:p>
            <w:pPr>
              <w:spacing w:after="0"/>
              <w:rPr>
                <w:rFonts w:ascii="Arial" w:cs="Arial" w:eastAsia="Arial" w:hAnsi="Arial"/>
                <w:sz w:val="18"/>
                <w:szCs w:val="18"/>
                <w:color w:val="0000EE"/>
                <w:w w:val="96"/>
              </w:rPr>
            </w:pPr>
            <w:hyperlink r:id="rId126">
              <w:r>
                <w:rPr>
                  <w:rFonts w:ascii="Arial" w:cs="Arial" w:eastAsia="Arial" w:hAnsi="Arial"/>
                  <w:sz w:val="18"/>
                  <w:szCs w:val="18"/>
                  <w:color w:val="0000EE"/>
                  <w:w w:val="96"/>
                </w:rPr>
                <w:t>Form of Option Agreement (Employees in France), Incentive Stock Option, under Schlumberger 2010 Omnibus Stock Incentive Plan</w:t>
              </w:r>
            </w:hyperlink>
          </w:p>
        </w:tc>
        <w:tc>
          <w:tcPr>
            <w:tcW w:w="28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196"/>
        </w:trPr>
        <w:tc>
          <w:tcPr>
            <w:tcW w:w="9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(incorporated by reference to Exhibit 10.10 to Schlumberger’s Quarterly Report on Form 10-Q for the quarter ended June 30, 2013) (+)</w:t>
              </w:r>
            </w:hyperlink>
          </w:p>
        </w:tc>
        <w:tc>
          <w:tcPr>
            <w:tcW w:w="72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r>
      <w:tr>
        <w:trPr>
          <w:trHeight w:val="318"/>
        </w:trPr>
        <w:tc>
          <w:tcPr>
            <w:tcW w:w="10480" w:type="dxa"/>
            <w:vAlign w:val="bottom"/>
            <w:gridSpan w:val="21"/>
          </w:tcPr>
          <w:p>
            <w:pPr>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Form of Option Agreement (Employees in France), Non-Qualified Stock Option, under Schlumberger 2010 Omnibus Stock Incentive Plan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196"/>
        </w:trPr>
        <w:tc>
          <w:tcPr>
            <w:tcW w:w="1010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(incorporated by reference to Exhibit 10.11 to Schlumberger’s Quarterly Report on Form 10-Q for the quarter ended June 30, 2013) (+)</w:t>
              </w:r>
            </w:hyperlink>
          </w:p>
        </w:tc>
        <w:tc>
          <w:tcPr>
            <w:tcW w:w="3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10140" w:type="dxa"/>
            <w:vAlign w:val="bottom"/>
            <w:tcBorders>
              <w:bottom w:val="single" w:sz="8" w:color="0000EE"/>
            </w:tcBorders>
            <w:gridSpan w:val="16"/>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2018 Rules of the Schlumberger 2010, 2013 and 2017 Omnibus Incentive Plans for Employees in France (incorporated by reference to</w:t>
              </w:r>
            </w:hyperlink>
          </w:p>
        </w:tc>
        <w:tc>
          <w:tcPr>
            <w:tcW w:w="34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10480" w:type="dxa"/>
            <w:vAlign w:val="bottom"/>
            <w:gridSpan w:val="2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Appendix B to Schlumberger's Definitive Proxy Statement on Schedule 14A filed with the SEC on March 2, 2018) (+)</w:t>
              </w:r>
            </w:hyperlink>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10160" w:type="dxa"/>
            <w:vAlign w:val="bottom"/>
            <w:tcBorders>
              <w:bottom w:val="single" w:sz="8" w:color="0000EE"/>
            </w:tcBorders>
            <w:gridSpan w:val="17"/>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Schlumberger 2013 Omnibus Stock Incentive Plan, as amended and restated as of July 19, 2017 (incorporated by reference to Exhibit 10.15</w:t>
              </w:r>
            </w:hyperlink>
          </w:p>
        </w:tc>
        <w:tc>
          <w:tcPr>
            <w:tcW w:w="32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96"/>
        </w:trPr>
        <w:tc>
          <w:tcPr>
            <w:tcW w:w="10480" w:type="dxa"/>
            <w:vAlign w:val="bottom"/>
            <w:gridSpan w:val="2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to Schlumberger’s Annual Report on Form 10-K for the year ended December 31, 2018) (+)</w:t>
              </w:r>
            </w:hyperlink>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10160" w:type="dxa"/>
            <w:vAlign w:val="bottom"/>
            <w:tcBorders>
              <w:bottom w:val="single" w:sz="8" w:color="0000EE"/>
            </w:tcBorders>
            <w:gridSpan w:val="17"/>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Option Agreement, Incentive Stock Option, under Schlumberger 2013 Omnibus Stock Incentive Plan (incorporated by reference to</w:t>
              </w:r>
            </w:hyperlink>
          </w:p>
        </w:tc>
        <w:tc>
          <w:tcPr>
            <w:tcW w:w="32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196"/>
        </w:trPr>
        <w:tc>
          <w:tcPr>
            <w:tcW w:w="78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Exhibit 10.1 to the Schlumberger’s Quarterly Report on Form 10-Q for the quarter ended June 30, 2015) (+)</w:t>
              </w:r>
            </w:hyperlink>
          </w:p>
        </w:tc>
        <w:tc>
          <w:tcPr>
            <w:tcW w:w="2680" w:type="dxa"/>
            <w:vAlign w:val="bottom"/>
            <w:gridSpan w:val="13"/>
          </w:tcPr>
          <w:p>
            <w:pPr>
              <w:spacing w:after="0"/>
              <w:rPr>
                <w:sz w:val="17"/>
                <w:szCs w:val="17"/>
                <w:color w:val="auto"/>
              </w:rPr>
            </w:pPr>
          </w:p>
        </w:tc>
        <w:tc>
          <w:tcPr>
            <w:tcW w:w="760" w:type="dxa"/>
            <w:vAlign w:val="bottom"/>
          </w:tcPr>
          <w:p>
            <w:pPr>
              <w:spacing w:after="0"/>
              <w:rPr>
                <w:sz w:val="17"/>
                <w:szCs w:val="17"/>
                <w:color w:val="auto"/>
              </w:rPr>
            </w:pPr>
          </w:p>
        </w:tc>
      </w:tr>
      <w:tr>
        <w:trPr>
          <w:trHeight w:val="318"/>
        </w:trPr>
        <w:tc>
          <w:tcPr>
            <w:tcW w:w="10180" w:type="dxa"/>
            <w:vAlign w:val="bottom"/>
            <w:tcBorders>
              <w:bottom w:val="single" w:sz="8" w:color="0000EE"/>
            </w:tcBorders>
            <w:gridSpan w:val="18"/>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Restricted Stock Unit Award Agreement under Schlumberger 2013 Omnibus Stock Incentive Plan (three-year vesting)</w:t>
              </w:r>
            </w:hyperlink>
          </w:p>
        </w:tc>
        <w:tc>
          <w:tcPr>
            <w:tcW w:w="3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196"/>
        </w:trPr>
        <w:tc>
          <w:tcPr>
            <w:tcW w:w="10480" w:type="dxa"/>
            <w:vAlign w:val="bottom"/>
            <w:gridSpan w:val="21"/>
          </w:tcPr>
          <w:p>
            <w:pPr>
              <w:spacing w:after="0" w:line="196" w:lineRule="exact"/>
              <w:rPr>
                <w:rFonts w:ascii="Arial" w:cs="Arial" w:eastAsia="Arial" w:hAnsi="Arial"/>
                <w:sz w:val="18"/>
                <w:szCs w:val="18"/>
                <w:color w:val="0000EE"/>
                <w:w w:val="98"/>
              </w:rPr>
            </w:pPr>
            <w:hyperlink r:id="rId131">
              <w:r>
                <w:rPr>
                  <w:rFonts w:ascii="Arial" w:cs="Arial" w:eastAsia="Arial" w:hAnsi="Arial"/>
                  <w:sz w:val="18"/>
                  <w:szCs w:val="18"/>
                  <w:color w:val="0000EE"/>
                  <w:w w:val="98"/>
                </w:rPr>
                <w:t>(incorporated by reference to Exhibit 10.2 to Schlumberger’s Quarterly Report on Form 10-Q for the quarter ended June 30, 2015) (+)</w:t>
              </w:r>
            </w:hyperlink>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10480" w:type="dxa"/>
            <w:vAlign w:val="bottom"/>
            <w:gridSpan w:val="21"/>
          </w:tcPr>
          <w:p>
            <w:pPr>
              <w:spacing w:after="0"/>
              <w:rPr>
                <w:rFonts w:ascii="Arial" w:cs="Arial" w:eastAsia="Arial" w:hAnsi="Arial"/>
                <w:sz w:val="18"/>
                <w:szCs w:val="18"/>
                <w:color w:val="0000EE"/>
                <w:w w:val="96"/>
              </w:rPr>
            </w:pPr>
            <w:hyperlink r:id="rId132">
              <w:r>
                <w:rPr>
                  <w:rFonts w:ascii="Arial" w:cs="Arial" w:eastAsia="Arial" w:hAnsi="Arial"/>
                  <w:sz w:val="18"/>
                  <w:szCs w:val="18"/>
                  <w:color w:val="0000EE"/>
                  <w:w w:val="96"/>
                </w:rPr>
                <w:t>Form of Restricted Stock Unit Award Agreement under Schlumberger 2013 Omnibus Stock Incentive Plan (ratable vesting) (incorporated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196"/>
        </w:trPr>
        <w:tc>
          <w:tcPr>
            <w:tcW w:w="10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by reference to Exhibit 10.15 to Schlumberger’s Annual Report on Form 10-K filed on January 27, 2021) (+)</w:t>
              </w:r>
            </w:hyperlink>
          </w:p>
        </w:tc>
        <w:tc>
          <w:tcPr>
            <w:tcW w:w="3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10480" w:type="dxa"/>
            <w:vAlign w:val="bottom"/>
            <w:gridSpan w:val="21"/>
          </w:tcPr>
          <w:p>
            <w:pPr>
              <w:spacing w:after="0"/>
              <w:rPr>
                <w:rFonts w:ascii="Arial" w:cs="Arial" w:eastAsia="Arial" w:hAnsi="Arial"/>
                <w:sz w:val="18"/>
                <w:szCs w:val="18"/>
                <w:color w:val="0000EE"/>
                <w:w w:val="96"/>
              </w:rPr>
            </w:pPr>
            <w:hyperlink r:id="rId133">
              <w:r>
                <w:rPr>
                  <w:rFonts w:ascii="Arial" w:cs="Arial" w:eastAsia="Arial" w:hAnsi="Arial"/>
                  <w:sz w:val="18"/>
                  <w:szCs w:val="18"/>
                  <w:color w:val="0000EE"/>
                  <w:w w:val="96"/>
                </w:rPr>
                <w:t>Form of Restricted Stock Unit Award Agreement under Schlumberger 2017 Omnibus Stock Incentive Plan (incorporated by reference to</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196"/>
        </w:trPr>
        <w:tc>
          <w:tcPr>
            <w:tcW w:w="10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Exhibit 10.4 to Schlumberger’s Quarterly Report on Form 10-Q for the quarter ended March 31, 2017) (+)</w:t>
              </w:r>
            </w:hyperlink>
          </w:p>
        </w:tc>
        <w:tc>
          <w:tcPr>
            <w:tcW w:w="3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0160" w:type="dxa"/>
            <w:vAlign w:val="bottom"/>
            <w:tcBorders>
              <w:bottom w:val="single" w:sz="8" w:color="0000EE"/>
            </w:tcBorders>
            <w:gridSpan w:val="17"/>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Addendum to Restricted Stock Unit Award Agreements, Performance Share Unit Agreements, Incentive Stock Option Agreements, and</w:t>
              </w:r>
            </w:hyperlink>
          </w:p>
        </w:tc>
        <w:tc>
          <w:tcPr>
            <w:tcW w:w="32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196"/>
        </w:trPr>
        <w:tc>
          <w:tcPr>
            <w:tcW w:w="101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134">
              <w:r>
                <w:rPr>
                  <w:rFonts w:ascii="Arial" w:cs="Arial" w:eastAsia="Arial" w:hAnsi="Arial"/>
                  <w:sz w:val="18"/>
                  <w:szCs w:val="18"/>
                  <w:color w:val="0000EE"/>
                  <w:w w:val="96"/>
                </w:rPr>
                <w:t>Non-Qualified Stock Option Agreements Issued Prior to July 19, 2017 (incorporated by reference to Exhibit 10.27 to Schlumberger’s</w:t>
              </w:r>
            </w:hyperlink>
          </w:p>
        </w:tc>
        <w:tc>
          <w:tcPr>
            <w:tcW w:w="3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0480" w:type="dxa"/>
            <w:vAlign w:val="bottom"/>
            <w:gridSpan w:val="21"/>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Annual Report on Form 10-K for the year ended December 31, 2018) (+)</w:t>
              </w:r>
            </w:hyperlink>
          </w:p>
        </w:tc>
        <w:tc>
          <w:tcPr>
            <w:tcW w:w="760" w:type="dxa"/>
            <w:vAlign w:val="bottom"/>
          </w:tcPr>
          <w:p>
            <w:pPr>
              <w:spacing w:after="0"/>
              <w:rPr>
                <w:sz w:val="17"/>
                <w:szCs w:val="17"/>
                <w:color w:val="auto"/>
              </w:rPr>
            </w:pP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10180" w:type="dxa"/>
            <w:vAlign w:val="bottom"/>
            <w:tcBorders>
              <w:bottom w:val="single" w:sz="8" w:color="0000EE"/>
            </w:tcBorders>
            <w:gridSpan w:val="18"/>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Form of 2020 Two-Year Performance Share Unit Award Agreement (with relative TSR modifier) under Schlumberger 2017 Omnibus Stock</w:t>
              </w:r>
            </w:hyperlink>
          </w:p>
        </w:tc>
        <w:tc>
          <w:tcPr>
            <w:tcW w:w="3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196"/>
        </w:trPr>
        <w:tc>
          <w:tcPr>
            <w:tcW w:w="10480" w:type="dxa"/>
            <w:vAlign w:val="bottom"/>
            <w:gridSpan w:val="21"/>
          </w:tcPr>
          <w:p>
            <w:pPr>
              <w:spacing w:after="0" w:line="196" w:lineRule="exact"/>
              <w:rPr>
                <w:rFonts w:ascii="Arial" w:cs="Arial" w:eastAsia="Arial" w:hAnsi="Arial"/>
                <w:sz w:val="18"/>
                <w:szCs w:val="18"/>
                <w:color w:val="0000EE"/>
                <w:w w:val="96"/>
              </w:rPr>
            </w:pPr>
            <w:hyperlink r:id="rId135">
              <w:r>
                <w:rPr>
                  <w:rFonts w:ascii="Arial" w:cs="Arial" w:eastAsia="Arial" w:hAnsi="Arial"/>
                  <w:sz w:val="18"/>
                  <w:szCs w:val="18"/>
                  <w:color w:val="0000EE"/>
                  <w:w w:val="96"/>
                </w:rPr>
                <w:t>Incentive Plan (incorporated by reference to Exhibit 10.2 to Schlumberger’s Quarterly Report on Form 10-Q for the quarter ended March</w:t>
              </w:r>
            </w:hyperlink>
          </w:p>
        </w:tc>
        <w:tc>
          <w:tcPr>
            <w:tcW w:w="760" w:type="dxa"/>
            <w:vAlign w:val="bottom"/>
          </w:tcPr>
          <w:p>
            <w:pPr>
              <w:spacing w:after="0"/>
              <w:rPr>
                <w:sz w:val="17"/>
                <w:szCs w:val="17"/>
                <w:color w:val="auto"/>
              </w:rPr>
            </w:pPr>
          </w:p>
        </w:tc>
      </w:tr>
      <w:tr>
        <w:trPr>
          <w:trHeight w:val="196"/>
        </w:trPr>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31, 2020) (+)</w:t>
              </w:r>
            </w:hyperlink>
          </w:p>
        </w:tc>
        <w:tc>
          <w:tcPr>
            <w:tcW w:w="5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18"/>
        </w:trPr>
        <w:tc>
          <w:tcPr>
            <w:tcW w:w="10160" w:type="dxa"/>
            <w:vAlign w:val="bottom"/>
            <w:tcBorders>
              <w:bottom w:val="single" w:sz="8" w:color="0000EE"/>
            </w:tcBorders>
            <w:gridSpan w:val="17"/>
          </w:tcPr>
          <w:p>
            <w:pPr>
              <w:spacing w:after="0"/>
              <w:rPr>
                <w:rFonts w:ascii="Arial" w:cs="Arial" w:eastAsia="Arial" w:hAnsi="Arial"/>
                <w:sz w:val="18"/>
                <w:szCs w:val="18"/>
                <w:color w:val="0000EE"/>
                <w:w w:val="95"/>
              </w:rPr>
            </w:pPr>
            <w:hyperlink r:id="rId136">
              <w:r>
                <w:rPr>
                  <w:rFonts w:ascii="Arial" w:cs="Arial" w:eastAsia="Arial" w:hAnsi="Arial"/>
                  <w:sz w:val="18"/>
                  <w:szCs w:val="18"/>
                  <w:color w:val="0000EE"/>
                  <w:w w:val="95"/>
                </w:rPr>
                <w:t>Form of 2020 Three-Year Performance Share Unit Award Agreement (with relative TSR modifier) under Schlumberger 2017 Omnibus</w:t>
              </w:r>
            </w:hyperlink>
          </w:p>
        </w:tc>
        <w:tc>
          <w:tcPr>
            <w:tcW w:w="32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196"/>
        </w:trPr>
        <w:tc>
          <w:tcPr>
            <w:tcW w:w="101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Stock Incentive Plan (incorporated by reference to Exhibit 10.1 to Schlumberger’s Quarterly Report on Form 10-Q for the quarter ended</w:t>
              </w:r>
            </w:hyperlink>
          </w:p>
        </w:tc>
        <w:tc>
          <w:tcPr>
            <w:tcW w:w="36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March 31, 2020) (+)</w:t>
              </w:r>
            </w:hyperlink>
          </w:p>
        </w:tc>
        <w:tc>
          <w:tcPr>
            <w:tcW w:w="9000" w:type="dxa"/>
            <w:vAlign w:val="bottom"/>
            <w:gridSpan w:val="19"/>
          </w:tcPr>
          <w:p>
            <w:pPr>
              <w:spacing w:after="0"/>
              <w:rPr>
                <w:sz w:val="17"/>
                <w:szCs w:val="17"/>
                <w:color w:val="auto"/>
              </w:rPr>
            </w:pPr>
          </w:p>
        </w:tc>
        <w:tc>
          <w:tcPr>
            <w:tcW w:w="760" w:type="dxa"/>
            <w:vAlign w:val="bottom"/>
          </w:tcPr>
          <w:p>
            <w:pPr>
              <w:spacing w:after="0"/>
              <w:rPr>
                <w:sz w:val="17"/>
                <w:szCs w:val="17"/>
                <w:color w:val="auto"/>
              </w:rPr>
            </w:pPr>
          </w:p>
        </w:tc>
      </w:tr>
      <w:tr>
        <w:trPr>
          <w:trHeight w:val="317"/>
        </w:trPr>
        <w:tc>
          <w:tcPr>
            <w:tcW w:w="10140" w:type="dxa"/>
            <w:vAlign w:val="bottom"/>
            <w:tcBorders>
              <w:bottom w:val="single" w:sz="8" w:color="0000EE"/>
            </w:tcBorders>
            <w:gridSpan w:val="16"/>
          </w:tcPr>
          <w:p>
            <w:pPr>
              <w:spacing w:after="0"/>
              <w:rPr>
                <w:rFonts w:ascii="Arial" w:cs="Arial" w:eastAsia="Arial" w:hAnsi="Arial"/>
                <w:sz w:val="18"/>
                <w:szCs w:val="18"/>
                <w:color w:val="0000EE"/>
                <w:w w:val="93"/>
              </w:rPr>
            </w:pPr>
            <w:hyperlink r:id="rId137">
              <w:r>
                <w:rPr>
                  <w:rFonts w:ascii="Arial" w:cs="Arial" w:eastAsia="Arial" w:hAnsi="Arial"/>
                  <w:sz w:val="18"/>
                  <w:szCs w:val="18"/>
                  <w:color w:val="0000EE"/>
                  <w:w w:val="93"/>
                </w:rPr>
                <w:t>Form of 2021 Performance Share Unit Award Agreement (Based on Return on Capital Employed Performance) under the Schlumberger</w:t>
              </w:r>
            </w:hyperlink>
          </w:p>
        </w:tc>
        <w:tc>
          <w:tcPr>
            <w:tcW w:w="34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196"/>
        </w:trPr>
        <w:tc>
          <w:tcPr>
            <w:tcW w:w="10480" w:type="dxa"/>
            <w:vAlign w:val="bottom"/>
            <w:gridSpan w:val="21"/>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2017 Omnibus Stock Incentive Plan (incorporated by reference to Exhibit 10.1 to Schlumberger’s Quarterly Report on Form 10-Q for the</w:t>
              </w:r>
            </w:hyperlink>
          </w:p>
        </w:tc>
        <w:tc>
          <w:tcPr>
            <w:tcW w:w="760" w:type="dxa"/>
            <w:vAlign w:val="bottom"/>
          </w:tcPr>
          <w:p>
            <w:pPr>
              <w:spacing w:after="0"/>
              <w:rPr>
                <w:sz w:val="17"/>
                <w:szCs w:val="17"/>
                <w:color w:val="auto"/>
              </w:rPr>
            </w:pPr>
          </w:p>
        </w:tc>
      </w:tr>
      <w:tr>
        <w:trPr>
          <w:trHeight w:val="196"/>
        </w:trPr>
        <w:tc>
          <w:tcPr>
            <w:tcW w:w="10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quarter ended March 31, 2021) (+)</w:t>
              </w:r>
            </w:hyperlink>
          </w:p>
        </w:tc>
        <w:tc>
          <w:tcPr>
            <w:tcW w:w="38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r>
      <w:tr>
        <w:trPr>
          <w:trHeight w:val="453"/>
        </w:trPr>
        <w:tc>
          <w:tcPr>
            <w:tcW w:w="2500" w:type="dxa"/>
            <w:vAlign w:val="bottom"/>
            <w:tcBorders>
              <w:top w:val="single" w:sz="8" w:color="0000EE"/>
            </w:tcBorders>
            <w:gridSpan w:val="3"/>
          </w:tcPr>
          <w:p>
            <w:pPr>
              <w:spacing w:after="0"/>
              <w:rPr>
                <w:sz w:val="24"/>
                <w:szCs w:val="24"/>
                <w:color w:val="auto"/>
              </w:rPr>
            </w:pPr>
          </w:p>
        </w:tc>
        <w:tc>
          <w:tcPr>
            <w:tcW w:w="4140" w:type="dxa"/>
            <w:vAlign w:val="bottom"/>
            <w:gridSpan w:val="3"/>
          </w:tcPr>
          <w:p>
            <w:pPr>
              <w:jc w:val="right"/>
              <w:ind w:right="920"/>
              <w:spacing w:after="0"/>
              <w:rPr>
                <w:sz w:val="20"/>
                <w:szCs w:val="20"/>
                <w:color w:val="auto"/>
              </w:rPr>
            </w:pPr>
            <w:r>
              <w:rPr>
                <w:rFonts w:ascii="Arial" w:cs="Arial" w:eastAsia="Arial" w:hAnsi="Arial"/>
                <w:sz w:val="18"/>
                <w:szCs w:val="18"/>
                <w:color w:val="auto"/>
              </w:rPr>
              <w:t>72</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0140" w:type="dxa"/>
            <w:vAlign w:val="bottom"/>
            <w:tcBorders>
              <w:bottom w:val="single" w:sz="8" w:color="0000EE"/>
            </w:tcBorders>
            <w:gridSpan w:val="14"/>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Form of 2021 Performance Share Unit Award Agreement (Based on Free Cash Flow Margin Performance) under the Schlumberger 2017</w:t>
              </w:r>
            </w:hyperlink>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196"/>
        </w:trPr>
        <w:tc>
          <w:tcPr>
            <w:tcW w:w="101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Omnibus Stock Incentive Plan (incorporated by reference to Exhibit 10.3 to Schlumberger’s Quarterly Report on Form 10-Q for the quarter</w:t>
              </w:r>
            </w:hyperlink>
          </w:p>
        </w:tc>
        <w:tc>
          <w:tcPr>
            <w:tcW w:w="2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9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ended March 31, 2021) (+)</w:t>
              </w:r>
            </w:hyperlink>
          </w:p>
        </w:tc>
        <w:tc>
          <w:tcPr>
            <w:tcW w:w="83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r>
      <w:tr>
        <w:trPr>
          <w:trHeight w:val="318"/>
        </w:trPr>
        <w:tc>
          <w:tcPr>
            <w:tcW w:w="10120" w:type="dxa"/>
            <w:vAlign w:val="bottom"/>
            <w:tcBorders>
              <w:bottom w:val="single" w:sz="8" w:color="0000EE"/>
            </w:tcBorders>
            <w:gridSpan w:val="13"/>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Form of 2021 Performance Share Unit Award Agreement (Based on Relative TSR Performance) under the Schlumberger 2017 Omnibus</w:t>
              </w:r>
            </w:hyperlink>
          </w:p>
        </w:tc>
        <w:tc>
          <w:tcPr>
            <w:tcW w:w="2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196"/>
        </w:trPr>
        <w:tc>
          <w:tcPr>
            <w:tcW w:w="101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Stock Incentive Plan (incorporated by reference to Exhibit 10.3 to Schlumberger’s Quarterly Report on Form 10-Q for the quarter ended</w:t>
              </w:r>
            </w:hyperlink>
          </w:p>
        </w:tc>
        <w:tc>
          <w:tcPr>
            <w:tcW w:w="2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4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March 31, 2021) (+)</w:t>
              </w:r>
            </w:hyperlink>
          </w:p>
        </w:tc>
        <w:tc>
          <w:tcPr>
            <w:tcW w:w="886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r>
      <w:tr>
        <w:trPr>
          <w:trHeight w:val="317"/>
        </w:trPr>
        <w:tc>
          <w:tcPr>
            <w:tcW w:w="10140" w:type="dxa"/>
            <w:vAlign w:val="bottom"/>
            <w:tcBorders>
              <w:bottom w:val="single" w:sz="8" w:color="0000EE"/>
            </w:tcBorders>
            <w:gridSpan w:val="14"/>
          </w:tcPr>
          <w:p>
            <w:pPr>
              <w:spacing w:after="0"/>
              <w:rPr>
                <w:rFonts w:ascii="Arial" w:cs="Arial" w:eastAsia="Arial" w:hAnsi="Arial"/>
                <w:sz w:val="18"/>
                <w:szCs w:val="18"/>
                <w:color w:val="0000EE"/>
                <w:w w:val="94"/>
              </w:rPr>
            </w:pPr>
            <w:hyperlink r:id="rId142">
              <w:r>
                <w:rPr>
                  <w:rFonts w:ascii="Arial" w:cs="Arial" w:eastAsia="Arial" w:hAnsi="Arial"/>
                  <w:sz w:val="18"/>
                  <w:szCs w:val="18"/>
                  <w:color w:val="0000EE"/>
                  <w:w w:val="94"/>
                </w:rPr>
                <w:t>Schlumberger 2017 Omnibus Stock Incentive Plan, as amended and restated effective January 21, 2021 (incorporated by reference to</w:t>
              </w:r>
            </w:hyperlink>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196"/>
        </w:trPr>
        <w:tc>
          <w:tcPr>
            <w:tcW w:w="10340" w:type="dxa"/>
            <w:vAlign w:val="bottom"/>
            <w:gridSpan w:val="15"/>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Exhibit 10.1 to Schlumberger’s Current Report on Form 8-K filed on April 7, 2021) (+)</w:t>
              </w:r>
            </w:hyperlink>
          </w:p>
        </w:tc>
        <w:tc>
          <w:tcPr>
            <w:tcW w:w="9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340" w:type="dxa"/>
            <w:vAlign w:val="bottom"/>
            <w:gridSpan w:val="15"/>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Schlumberger Discounted Stock Purchase Plan, as amended and restated effective January 1, 2021 (incorporated by reference to Exhibit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196"/>
        </w:trPr>
        <w:tc>
          <w:tcPr>
            <w:tcW w:w="5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Schlumberger’s Current Report on Form 8-K filed on April 7, 2021) (+)</w:t>
              </w:r>
            </w:hyperlink>
          </w:p>
        </w:tc>
        <w:tc>
          <w:tcPr>
            <w:tcW w:w="4360" w:type="dxa"/>
            <w:vAlign w:val="bottom"/>
            <w:tcBorders>
              <w:top w:val="single" w:sz="8" w:color="0000EE"/>
            </w:tcBorders>
            <w:gridSpan w:val="3"/>
          </w:tcPr>
          <w:p>
            <w:pPr>
              <w:spacing w:after="0"/>
              <w:rPr>
                <w:sz w:val="17"/>
                <w:szCs w:val="17"/>
                <w:color w:val="auto"/>
              </w:rPr>
            </w:pPr>
          </w:p>
        </w:tc>
        <w:tc>
          <w:tcPr>
            <w:tcW w:w="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r>
      <w:tr>
        <w:trPr>
          <w:trHeight w:val="318"/>
        </w:trPr>
        <w:tc>
          <w:tcPr>
            <w:tcW w:w="10140" w:type="dxa"/>
            <w:vAlign w:val="bottom"/>
            <w:tcBorders>
              <w:bottom w:val="single" w:sz="8" w:color="0000EE"/>
            </w:tcBorders>
            <w:gridSpan w:val="14"/>
          </w:tcPr>
          <w:p>
            <w:pPr>
              <w:spacing w:after="0"/>
              <w:rPr>
                <w:rFonts w:ascii="Arial" w:cs="Arial" w:eastAsia="Arial" w:hAnsi="Arial"/>
                <w:sz w:val="18"/>
                <w:szCs w:val="18"/>
                <w:color w:val="0000EE"/>
                <w:w w:val="94"/>
              </w:rPr>
            </w:pPr>
            <w:hyperlink r:id="rId144">
              <w:r>
                <w:rPr>
                  <w:rFonts w:ascii="Arial" w:cs="Arial" w:eastAsia="Arial" w:hAnsi="Arial"/>
                  <w:sz w:val="18"/>
                  <w:szCs w:val="18"/>
                  <w:color w:val="0000EE"/>
                  <w:w w:val="94"/>
                </w:rPr>
                <w:t>Schlumberger Limited 2004 Stock and Deferral Plan for Non-Employee Directors, as amended and restated effective January 21, 2021</w:t>
              </w:r>
            </w:hyperlink>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196"/>
        </w:trPr>
        <w:tc>
          <w:tcPr>
            <w:tcW w:w="10340" w:type="dxa"/>
            <w:vAlign w:val="bottom"/>
            <w:gridSpan w:val="15"/>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(incorporated by reference to Exhibit 10.3 to Schlumberger’s Current Report on Form 8-K filed on April 7, 2021) (+)</w:t>
              </w:r>
            </w:hyperlink>
          </w:p>
        </w:tc>
        <w:tc>
          <w:tcPr>
            <w:tcW w:w="9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140" w:type="dxa"/>
            <w:vAlign w:val="bottom"/>
            <w:tcBorders>
              <w:bottom w:val="single" w:sz="8" w:color="0000EE"/>
            </w:tcBorders>
            <w:gridSpan w:val="14"/>
          </w:tcPr>
          <w:p>
            <w:pPr>
              <w:spacing w:after="0"/>
              <w:rPr>
                <w:rFonts w:ascii="Arial" w:cs="Arial" w:eastAsia="Arial" w:hAnsi="Arial"/>
                <w:sz w:val="18"/>
                <w:szCs w:val="18"/>
                <w:color w:val="0000EE"/>
                <w:w w:val="96"/>
              </w:rPr>
            </w:pPr>
            <w:hyperlink r:id="rId145">
              <w:r>
                <w:rPr>
                  <w:rFonts w:ascii="Arial" w:cs="Arial" w:eastAsia="Arial" w:hAnsi="Arial"/>
                  <w:sz w:val="18"/>
                  <w:szCs w:val="18"/>
                  <w:color w:val="0000EE"/>
                  <w:w w:val="96"/>
                </w:rPr>
                <w:t>Form of Indemnification Agreement (incorporated by reference to Exhibit 10 to Schlumberger’s Current Report on Form 8-K filed on</w:t>
              </w:r>
            </w:hyperlink>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196"/>
        </w:trPr>
        <w:tc>
          <w:tcPr>
            <w:tcW w:w="10340" w:type="dxa"/>
            <w:vAlign w:val="bottom"/>
            <w:gridSpan w:val="15"/>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October 21, 2013) (+)</w:t>
              </w:r>
            </w:hyperlink>
          </w:p>
        </w:tc>
        <w:tc>
          <w:tcPr>
            <w:tcW w:w="9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340" w:type="dxa"/>
            <w:vAlign w:val="bottom"/>
            <w:gridSpan w:val="1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 xml:space="preserve">Significant Subsidiaries </w:t>
              </w:r>
            </w:hyperlink>
            <w:r>
              <w:rPr>
                <w:rFonts w:ascii="Arial" w:cs="Arial" w:eastAsia="Arial" w:hAnsi="Arial"/>
                <w:sz w:val="18"/>
                <w:szCs w:val="18"/>
                <w:color w:val="000000"/>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40" w:type="dxa"/>
            <w:vAlign w:val="bottom"/>
            <w:tcBorders>
              <w:left w:val="single" w:sz="8" w:color="0000EE"/>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340" w:type="dxa"/>
            <w:vAlign w:val="bottom"/>
            <w:gridSpan w:val="15"/>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 xml:space="preserve">Issuers of Registered Guaranteed Debt Securities </w:t>
              </w:r>
            </w:hyperlink>
            <w:r>
              <w:rPr>
                <w:rFonts w:ascii="Arial" w:cs="Arial" w:eastAsia="Arial" w:hAnsi="Arial"/>
                <w:sz w:val="18"/>
                <w:szCs w:val="18"/>
                <w:color w:val="000000"/>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340" w:type="dxa"/>
            <w:vAlign w:val="bottom"/>
            <w:gridSpan w:val="1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 xml:space="preserve">Consent of Independent Registered Public Accounting Firm </w:t>
              </w:r>
            </w:hyperlink>
            <w:r>
              <w:rPr>
                <w:rFonts w:ascii="Arial" w:cs="Arial" w:eastAsia="Arial" w:hAnsi="Arial"/>
                <w:sz w:val="18"/>
                <w:szCs w:val="18"/>
                <w:color w:val="000000"/>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 xml:space="preserve">Powers of Attorney </w:t>
              </w:r>
            </w:hyperlink>
            <w:r>
              <w:rPr>
                <w:rFonts w:ascii="Arial" w:cs="Arial" w:eastAsia="Arial" w:hAnsi="Arial"/>
                <w:sz w:val="18"/>
                <w:szCs w:val="18"/>
                <w:color w:val="000000"/>
              </w:rPr>
              <w:t>(*)</w:t>
            </w:r>
          </w:p>
        </w:tc>
        <w:tc>
          <w:tcPr>
            <w:tcW w:w="60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340" w:type="dxa"/>
            <w:vAlign w:val="bottom"/>
            <w:gridSpan w:val="15"/>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Certification of Chief Executive Officer pursuant to Rule 13a-14(a) as adopted pursuant to Section 302 of the Sarbanes-Oxley Act of 2002</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58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142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140" w:type="dxa"/>
            <w:vAlign w:val="bottom"/>
            <w:tcBorders>
              <w:top w:val="single" w:sz="8" w:color="0000EE"/>
            </w:tcBorders>
          </w:tcPr>
          <w:p>
            <w:pPr>
              <w:spacing w:after="0"/>
              <w:rPr>
                <w:sz w:val="20"/>
                <w:szCs w:val="20"/>
                <w:color w:val="auto"/>
              </w:rPr>
            </w:pPr>
          </w:p>
        </w:tc>
        <w:tc>
          <w:tcPr>
            <w:tcW w:w="16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0340" w:type="dxa"/>
            <w:vAlign w:val="bottom"/>
            <w:gridSpan w:val="15"/>
          </w:tcPr>
          <w:p>
            <w:pPr>
              <w:spacing w:after="0"/>
              <w:rPr>
                <w:rFonts w:ascii="Arial" w:cs="Arial" w:eastAsia="Arial" w:hAnsi="Arial"/>
                <w:sz w:val="18"/>
                <w:szCs w:val="18"/>
                <w:color w:val="0000EE"/>
                <w:w w:val="94"/>
              </w:rPr>
            </w:pPr>
            <w:hyperlink w:anchor="page81">
              <w:r>
                <w:rPr>
                  <w:rFonts w:ascii="Arial" w:cs="Arial" w:eastAsia="Arial" w:hAnsi="Arial"/>
                  <w:sz w:val="18"/>
                  <w:szCs w:val="18"/>
                  <w:color w:val="0000EE"/>
                  <w:w w:val="94"/>
                </w:rPr>
                <w:t>Certification of Chief Financial Officer pursuant to Rule 13a-14(a) as adopted pursuant to Section 302 of the Sarbanes-Oxley Act of 2002</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58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142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140" w:type="dxa"/>
            <w:vAlign w:val="bottom"/>
            <w:tcBorders>
              <w:top w:val="single" w:sz="8" w:color="0000EE"/>
            </w:tcBorders>
          </w:tcPr>
          <w:p>
            <w:pPr>
              <w:spacing w:after="0"/>
              <w:rPr>
                <w:sz w:val="20"/>
                <w:szCs w:val="20"/>
                <w:color w:val="auto"/>
              </w:rPr>
            </w:pPr>
          </w:p>
        </w:tc>
        <w:tc>
          <w:tcPr>
            <w:tcW w:w="16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101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196"/>
        </w:trPr>
        <w:tc>
          <w:tcPr>
            <w:tcW w:w="10340" w:type="dxa"/>
            <w:vAlign w:val="bottom"/>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 xml:space="preserve">of 2002 </w:t>
              </w:r>
              <w:r>
                <w:rPr>
                  <w:rFonts w:ascii="Arial" w:cs="Arial" w:eastAsia="Arial" w:hAnsi="Arial"/>
                  <w:sz w:val="18"/>
                  <w:szCs w:val="18"/>
                  <w:color w:val="000000"/>
                </w:rPr>
                <w:t>(**)</w:t>
              </w:r>
            </w:hyperlink>
          </w:p>
        </w:tc>
        <w:tc>
          <w:tcPr>
            <w:tcW w:w="9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12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Chief Financial Officer pursuant to 18 U.S.C. Section 1350, as adopted pursuant to Section 906 of the Sarbanes-Oxley Act</w:t>
              </w:r>
            </w:hyperlink>
          </w:p>
        </w:tc>
        <w:tc>
          <w:tcPr>
            <w:tcW w:w="2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196"/>
        </w:trPr>
        <w:tc>
          <w:tcPr>
            <w:tcW w:w="10340" w:type="dxa"/>
            <w:vAlign w:val="bottom"/>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 xml:space="preserve">of 2002 </w:t>
              </w:r>
              <w:r>
                <w:rPr>
                  <w:rFonts w:ascii="Arial" w:cs="Arial" w:eastAsia="Arial" w:hAnsi="Arial"/>
                  <w:sz w:val="18"/>
                  <w:szCs w:val="18"/>
                  <w:color w:val="000000"/>
                </w:rPr>
                <w:t>(**)</w:t>
              </w:r>
            </w:hyperlink>
          </w:p>
        </w:tc>
        <w:tc>
          <w:tcPr>
            <w:tcW w:w="900" w:type="dxa"/>
            <w:vAlign w:val="bottom"/>
          </w:tcPr>
          <w:p>
            <w:pPr>
              <w:spacing w:after="0"/>
              <w:rPr>
                <w:sz w:val="17"/>
                <w:szCs w:val="17"/>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64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340" w:type="dxa"/>
            <w:vAlign w:val="bottom"/>
            <w:gridSpan w:val="1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 xml:space="preserve">Mine Safety Disclosure </w:t>
              </w:r>
            </w:hyperlink>
            <w:r>
              <w:rPr>
                <w:rFonts w:ascii="Arial" w:cs="Arial" w:eastAsia="Arial" w:hAnsi="Arial"/>
                <w:sz w:val="18"/>
                <w:szCs w:val="18"/>
                <w:color w:val="000000"/>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1700" w:type="dxa"/>
            <w:vAlign w:val="bottom"/>
            <w:gridSpan w:val="5"/>
            <w:shd w:val="clear" w:color="auto" w:fill="0000EE"/>
          </w:tcPr>
          <w:p>
            <w:pPr>
              <w:spacing w:after="0" w:line="20" w:lineRule="exact"/>
              <w:rPr>
                <w:sz w:val="1"/>
                <w:szCs w:val="1"/>
                <w:color w:val="auto"/>
              </w:rPr>
            </w:pPr>
          </w:p>
        </w:tc>
        <w:tc>
          <w:tcPr>
            <w:tcW w:w="864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58"/>
        </w:trPr>
        <w:tc>
          <w:tcPr>
            <w:tcW w:w="10340" w:type="dxa"/>
            <w:vAlign w:val="bottom"/>
            <w:gridSpan w:val="15"/>
          </w:tcPr>
          <w:p>
            <w:pPr>
              <w:spacing w:after="0"/>
              <w:rPr>
                <w:sz w:val="20"/>
                <w:szCs w:val="20"/>
                <w:color w:val="auto"/>
              </w:rPr>
            </w:pPr>
            <w:r>
              <w:rPr>
                <w:rFonts w:ascii="Arial" w:cs="Arial" w:eastAsia="Arial" w:hAnsi="Arial"/>
                <w:sz w:val="18"/>
                <w:szCs w:val="18"/>
                <w:color w:val="auto"/>
              </w:rPr>
              <w:t>Inline XBRL Instance Document (*)</w:t>
            </w:r>
          </w:p>
        </w:tc>
        <w:tc>
          <w:tcPr>
            <w:tcW w:w="900" w:type="dxa"/>
            <w:vAlign w:val="bottom"/>
          </w:tcPr>
          <w:p>
            <w:pPr>
              <w:jc w:val="right"/>
              <w:spacing w:after="0"/>
              <w:rPr>
                <w:sz w:val="20"/>
                <w:szCs w:val="20"/>
                <w:color w:val="auto"/>
              </w:rPr>
            </w:pPr>
            <w:r>
              <w:rPr>
                <w:rFonts w:ascii="Arial" w:cs="Arial" w:eastAsia="Arial" w:hAnsi="Arial"/>
                <w:sz w:val="18"/>
                <w:szCs w:val="18"/>
                <w:color w:val="auto"/>
              </w:rPr>
              <w:t>101.INS</w:t>
            </w:r>
          </w:p>
        </w:tc>
      </w:tr>
      <w:tr>
        <w:trPr>
          <w:trHeight w:val="338"/>
        </w:trPr>
        <w:tc>
          <w:tcPr>
            <w:tcW w:w="103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 (*)</w:t>
            </w:r>
          </w:p>
        </w:tc>
        <w:tc>
          <w:tcPr>
            <w:tcW w:w="900" w:type="dxa"/>
            <w:vAlign w:val="bottom"/>
          </w:tcPr>
          <w:p>
            <w:pPr>
              <w:jc w:val="right"/>
              <w:spacing w:after="0"/>
              <w:rPr>
                <w:sz w:val="20"/>
                <w:szCs w:val="20"/>
                <w:color w:val="auto"/>
              </w:rPr>
            </w:pPr>
            <w:r>
              <w:rPr>
                <w:rFonts w:ascii="Arial" w:cs="Arial" w:eastAsia="Arial" w:hAnsi="Arial"/>
                <w:sz w:val="18"/>
                <w:szCs w:val="18"/>
                <w:color w:val="auto"/>
              </w:rPr>
              <w:t>101.SCH</w:t>
            </w:r>
          </w:p>
        </w:tc>
      </w:tr>
      <w:tr>
        <w:trPr>
          <w:trHeight w:val="337"/>
        </w:trPr>
        <w:tc>
          <w:tcPr>
            <w:tcW w:w="103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 (*)</w:t>
            </w:r>
          </w:p>
        </w:tc>
        <w:tc>
          <w:tcPr>
            <w:tcW w:w="900" w:type="dxa"/>
            <w:vAlign w:val="bottom"/>
          </w:tcPr>
          <w:p>
            <w:pPr>
              <w:jc w:val="right"/>
              <w:spacing w:after="0"/>
              <w:rPr>
                <w:sz w:val="20"/>
                <w:szCs w:val="20"/>
                <w:color w:val="auto"/>
              </w:rPr>
            </w:pPr>
            <w:r>
              <w:rPr>
                <w:rFonts w:ascii="Arial" w:cs="Arial" w:eastAsia="Arial" w:hAnsi="Arial"/>
                <w:sz w:val="18"/>
                <w:szCs w:val="18"/>
                <w:color w:val="auto"/>
              </w:rPr>
              <w:t>101.CAL</w:t>
            </w:r>
          </w:p>
        </w:tc>
      </w:tr>
      <w:tr>
        <w:trPr>
          <w:trHeight w:val="338"/>
        </w:trPr>
        <w:tc>
          <w:tcPr>
            <w:tcW w:w="103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 (*)</w:t>
            </w:r>
          </w:p>
        </w:tc>
        <w:tc>
          <w:tcPr>
            <w:tcW w:w="900" w:type="dxa"/>
            <w:vAlign w:val="bottom"/>
          </w:tcPr>
          <w:p>
            <w:pPr>
              <w:jc w:val="right"/>
              <w:spacing w:after="0"/>
              <w:rPr>
                <w:sz w:val="20"/>
                <w:szCs w:val="20"/>
                <w:color w:val="auto"/>
              </w:rPr>
            </w:pPr>
            <w:r>
              <w:rPr>
                <w:rFonts w:ascii="Arial" w:cs="Arial" w:eastAsia="Arial" w:hAnsi="Arial"/>
                <w:sz w:val="18"/>
                <w:szCs w:val="18"/>
                <w:color w:val="auto"/>
              </w:rPr>
              <w:t>101.DEF</w:t>
            </w:r>
          </w:p>
        </w:tc>
      </w:tr>
      <w:tr>
        <w:trPr>
          <w:trHeight w:val="338"/>
        </w:trPr>
        <w:tc>
          <w:tcPr>
            <w:tcW w:w="103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 (*)</w:t>
            </w:r>
          </w:p>
        </w:tc>
        <w:tc>
          <w:tcPr>
            <w:tcW w:w="900" w:type="dxa"/>
            <w:vAlign w:val="bottom"/>
          </w:tcPr>
          <w:p>
            <w:pPr>
              <w:jc w:val="right"/>
              <w:spacing w:after="0"/>
              <w:rPr>
                <w:sz w:val="20"/>
                <w:szCs w:val="20"/>
                <w:color w:val="auto"/>
              </w:rPr>
            </w:pPr>
            <w:r>
              <w:rPr>
                <w:rFonts w:ascii="Arial" w:cs="Arial" w:eastAsia="Arial" w:hAnsi="Arial"/>
                <w:sz w:val="18"/>
                <w:szCs w:val="18"/>
                <w:color w:val="auto"/>
              </w:rPr>
              <w:t>101.LAB</w:t>
            </w:r>
          </w:p>
        </w:tc>
      </w:tr>
      <w:tr>
        <w:trPr>
          <w:trHeight w:val="338"/>
        </w:trPr>
        <w:tc>
          <w:tcPr>
            <w:tcW w:w="103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 (*)</w:t>
            </w:r>
          </w:p>
        </w:tc>
        <w:tc>
          <w:tcPr>
            <w:tcW w:w="900" w:type="dxa"/>
            <w:vAlign w:val="bottom"/>
          </w:tcPr>
          <w:p>
            <w:pPr>
              <w:jc w:val="right"/>
              <w:spacing w:after="0"/>
              <w:rPr>
                <w:sz w:val="20"/>
                <w:szCs w:val="20"/>
                <w:color w:val="auto"/>
              </w:rPr>
            </w:pPr>
            <w:r>
              <w:rPr>
                <w:rFonts w:ascii="Arial" w:cs="Arial" w:eastAsia="Arial" w:hAnsi="Arial"/>
                <w:sz w:val="18"/>
                <w:szCs w:val="18"/>
                <w:color w:val="auto"/>
              </w:rPr>
              <w:t>101.PRE</w:t>
            </w:r>
          </w:p>
        </w:tc>
      </w:tr>
      <w:tr>
        <w:trPr>
          <w:trHeight w:val="338"/>
        </w:trPr>
        <w:tc>
          <w:tcPr>
            <w:tcW w:w="10340" w:type="dxa"/>
            <w:vAlign w:val="bottom"/>
            <w:gridSpan w:val="1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 Filed with this Form 10-K</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Furnished with this Form 10-K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Schlumberger agrees, pursuant to Item 601(b)(4)(iii) of Regulation S-K, that it will furnish a copy of any such instrument to the SEC upon request.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20" w:val="left"/>
          <w:tab w:leader="none" w:pos="7120" w:val="left"/>
        </w:tabs>
        <w:rPr>
          <w:sz w:val="20"/>
          <w:szCs w:val="20"/>
          <w:color w:val="auto"/>
        </w:rPr>
      </w:pPr>
      <w:r>
        <w:rPr>
          <w:rFonts w:ascii="Arial" w:cs="Arial" w:eastAsia="Arial" w:hAnsi="Arial"/>
          <w:sz w:val="18"/>
          <w:szCs w:val="18"/>
          <w:color w:val="auto"/>
        </w:rPr>
        <w:t>Date:</w:t>
        <w:tab/>
        <w:t>January 26, 2022</w:t>
      </w:r>
      <w:r>
        <w:rPr>
          <w:sz w:val="20"/>
          <w:szCs w:val="20"/>
          <w:color w:val="auto"/>
        </w:rPr>
        <w:tab/>
      </w:r>
      <w:r>
        <w:rPr>
          <w:rFonts w:ascii="Arial" w:cs="Arial" w:eastAsia="Arial" w:hAnsi="Arial"/>
          <w:sz w:val="18"/>
          <w:szCs w:val="18"/>
          <w:color w:val="auto"/>
        </w:rPr>
        <w:t>S</w:t>
      </w:r>
      <w:r>
        <w:rPr>
          <w:rFonts w:ascii="Arial" w:cs="Arial" w:eastAsia="Arial" w:hAnsi="Arial"/>
          <w:sz w:val="13"/>
          <w:szCs w:val="13"/>
          <w:color w:val="auto"/>
        </w:rPr>
        <w:t>CHLUMBERGER</w:t>
      </w:r>
      <w:r>
        <w:rPr>
          <w:rFonts w:ascii="Arial" w:cs="Arial" w:eastAsia="Arial" w:hAnsi="Arial"/>
          <w:sz w:val="18"/>
          <w:szCs w:val="18"/>
          <w:color w:val="auto"/>
        </w:rPr>
        <w:t xml:space="preserve"> L</w:t>
      </w:r>
      <w:r>
        <w:rPr>
          <w:rFonts w:ascii="Arial" w:cs="Arial" w:eastAsia="Arial" w:hAnsi="Arial"/>
          <w:sz w:val="13"/>
          <w:szCs w:val="13"/>
          <w:color w:val="auto"/>
        </w:rPr>
        <w:t>IMITED</w:t>
      </w:r>
    </w:p>
    <w:p>
      <w:pPr>
        <w:spacing w:after="0" w:line="225" w:lineRule="exact"/>
        <w:rPr>
          <w:sz w:val="20"/>
          <w:szCs w:val="20"/>
          <w:color w:val="auto"/>
        </w:rPr>
      </w:pPr>
    </w:p>
    <w:p>
      <w:pPr>
        <w:jc w:val="center"/>
        <w:ind w:left="6640"/>
        <w:spacing w:after="0"/>
        <w:tabs>
          <w:tab w:leader="none" w:pos="20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H</w:t>
      </w:r>
      <w:r>
        <w:rPr>
          <w:rFonts w:ascii="Arial" w:cs="Arial" w:eastAsia="Arial" w:hAnsi="Arial"/>
          <w:sz w:val="13"/>
          <w:szCs w:val="13"/>
          <w:color w:val="auto"/>
        </w:rPr>
        <w:t>OWARD</w:t>
      </w:r>
      <w:r>
        <w:rPr>
          <w:rFonts w:ascii="Arial" w:cs="Arial" w:eastAsia="Arial" w:hAnsi="Arial"/>
          <w:sz w:val="18"/>
          <w:szCs w:val="18"/>
          <w:color w:val="auto"/>
        </w:rPr>
        <w:t xml:space="preserve"> G</w:t>
      </w:r>
      <w:r>
        <w:rPr>
          <w:rFonts w:ascii="Arial" w:cs="Arial" w:eastAsia="Arial" w:hAnsi="Arial"/>
          <w:sz w:val="13"/>
          <w:szCs w:val="13"/>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6060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4"/>
          <w:szCs w:val="14"/>
          <w:b w:val="1"/>
          <w:bCs w:val="1"/>
          <w:color w:val="auto"/>
        </w:rPr>
        <w:t>Howard Guild</w:t>
      </w:r>
    </w:p>
    <w:p>
      <w:pPr>
        <w:ind w:left="7140"/>
        <w:spacing w:after="0"/>
        <w:rPr>
          <w:sz w:val="20"/>
          <w:szCs w:val="20"/>
          <w:color w:val="auto"/>
        </w:rPr>
      </w:pPr>
      <w:r>
        <w:rPr>
          <w:rFonts w:ascii="Arial" w:cs="Arial" w:eastAsia="Arial" w:hAnsi="Arial"/>
          <w:sz w:val="14"/>
          <w:szCs w:val="14"/>
          <w:b w:val="1"/>
          <w:bCs w:val="1"/>
          <w:color w:val="auto"/>
        </w:rPr>
        <w:t>Chief Accounting Officer</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tcPr>
          <w:p>
            <w:pPr>
              <w:ind w:left="2840"/>
              <w:spacing w:after="0"/>
              <w:rPr>
                <w:sz w:val="20"/>
                <w:szCs w:val="20"/>
                <w:color w:val="auto"/>
              </w:rPr>
            </w:pPr>
            <w:r>
              <w:rPr>
                <w:rFonts w:ascii="Arial" w:cs="Arial" w:eastAsia="Arial" w:hAnsi="Arial"/>
                <w:sz w:val="14"/>
                <w:szCs w:val="14"/>
                <w:b w:val="1"/>
                <w:bCs w:val="1"/>
                <w:color w:val="auto"/>
              </w:rPr>
              <w:t>Title</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Olivier Le Peuch</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3"/>
                <w:szCs w:val="13"/>
                <w:color w:val="auto"/>
                <w:w w:val="95"/>
              </w:rPr>
              <w:t>S</w:t>
            </w:r>
            <w:r>
              <w:rPr>
                <w:rFonts w:ascii="Arial" w:cs="Arial" w:eastAsia="Arial" w:hAnsi="Arial"/>
                <w:sz w:val="18"/>
                <w:szCs w:val="18"/>
                <w:color w:val="auto"/>
                <w:w w:val="95"/>
              </w:rPr>
              <w:t>/ S</w:t>
            </w:r>
            <w:r>
              <w:rPr>
                <w:rFonts w:ascii="Arial" w:cs="Arial" w:eastAsia="Arial" w:hAnsi="Arial"/>
                <w:sz w:val="12"/>
                <w:szCs w:val="12"/>
                <w:color w:val="auto"/>
                <w:w w:val="95"/>
              </w:rPr>
              <w:t>TEPHANE</w:t>
            </w:r>
            <w:r>
              <w:rPr>
                <w:rFonts w:ascii="Arial" w:cs="Arial" w:eastAsia="Arial" w:hAnsi="Arial"/>
                <w:sz w:val="18"/>
                <w:szCs w:val="18"/>
                <w:color w:val="auto"/>
                <w:w w:val="95"/>
              </w:rPr>
              <w:t xml:space="preserve"> B</w:t>
            </w:r>
            <w:r>
              <w:rPr>
                <w:rFonts w:ascii="Arial" w:cs="Arial" w:eastAsia="Arial" w:hAnsi="Arial"/>
                <w:sz w:val="12"/>
                <w:szCs w:val="12"/>
                <w:color w:val="auto"/>
                <w:w w:val="95"/>
              </w:rPr>
              <w:t>IGUET</w:t>
            </w:r>
          </w:p>
        </w:tc>
        <w:tc>
          <w:tcPr>
            <w:tcW w:w="4060" w:type="dxa"/>
            <w:vAlign w:val="bottom"/>
          </w:tcPr>
          <w:p>
            <w:pPr>
              <w:ind w:left="22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0"/>
              </w:rPr>
              <w:t>Stephane Biguet</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H</w:t>
            </w:r>
            <w:r>
              <w:rPr>
                <w:rFonts w:ascii="Arial" w:cs="Arial" w:eastAsia="Arial" w:hAnsi="Arial"/>
                <w:sz w:val="13"/>
                <w:szCs w:val="13"/>
                <w:color w:val="auto"/>
                <w:w w:val="99"/>
              </w:rPr>
              <w:t>OWARD</w:t>
            </w:r>
            <w:r>
              <w:rPr>
                <w:rFonts w:ascii="Arial" w:cs="Arial" w:eastAsia="Arial" w:hAnsi="Arial"/>
                <w:sz w:val="18"/>
                <w:szCs w:val="18"/>
                <w:color w:val="auto"/>
                <w:w w:val="99"/>
              </w:rPr>
              <w:t xml:space="preserve"> G</w:t>
            </w:r>
            <w:r>
              <w:rPr>
                <w:rFonts w:ascii="Arial" w:cs="Arial" w:eastAsia="Arial" w:hAnsi="Arial"/>
                <w:sz w:val="13"/>
                <w:szCs w:val="13"/>
                <w:color w:val="auto"/>
                <w:w w:val="99"/>
              </w:rPr>
              <w:t>UILD</w:t>
            </w:r>
          </w:p>
        </w:tc>
        <w:tc>
          <w:tcPr>
            <w:tcW w:w="4060" w:type="dxa"/>
            <w:vAlign w:val="bottom"/>
          </w:tcPr>
          <w:p>
            <w:pPr>
              <w:ind w:left="220"/>
              <w:spacing w:after="0"/>
              <w:rPr>
                <w:sz w:val="20"/>
                <w:szCs w:val="20"/>
                <w:color w:val="auto"/>
              </w:rPr>
            </w:pPr>
            <w:r>
              <w:rPr>
                <w:rFonts w:ascii="Arial" w:cs="Arial" w:eastAsia="Arial" w:hAnsi="Arial"/>
                <w:sz w:val="18"/>
                <w:szCs w:val="18"/>
                <w:color w:val="auto"/>
              </w:rPr>
              <w:t>Chief Accounting Officer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5"/>
              </w:rPr>
              <w:t>Howard Guild</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9"/>
              </w:rPr>
              <w:t>Peter Coleman</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0"/>
              </w:rPr>
              <w:t>Patrick de La Chevardière</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6"/>
              </w:rPr>
              <w:t>Miguel M. Galuccio</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2"/>
              </w:rPr>
              <w:t>Samuel Leupold</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Tatiana A. Mitrova</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9"/>
              </w:rPr>
              <w:t>Maria Moræus Hanssen</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8"/>
              </w:rPr>
              <w:t>Vanitha Narayanan</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Chairman of the Board</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0"/>
              </w:rPr>
              <w:t>Mark G. Papa</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1"/>
              </w:rPr>
              <w:t>Henri Seydoux</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8"/>
              </w:rPr>
              <w:t>Jeff W. Sheets</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1"/>
              </w:rPr>
              <w:t>Ulrich Spiesshofer</w:t>
            </w:r>
          </w:p>
        </w:tc>
        <w:tc>
          <w:tcPr>
            <w:tcW w:w="4060" w:type="dxa"/>
            <w:vAlign w:val="bottom"/>
          </w:tcPr>
          <w:p>
            <w:pPr>
              <w:spacing w:after="0"/>
              <w:rPr>
                <w:sz w:val="19"/>
                <w:szCs w:val="19"/>
                <w:color w:val="auto"/>
              </w:rPr>
            </w:pPr>
          </w:p>
        </w:tc>
      </w:tr>
      <w:tr>
        <w:trPr>
          <w:trHeight w:val="44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w:t>
            </w:r>
            <w:r>
              <w:rPr>
                <w:rFonts w:ascii="Arial" w:cs="Arial" w:eastAsia="Arial" w:hAnsi="Arial"/>
                <w:sz w:val="12"/>
                <w:szCs w:val="12"/>
                <w:color w:val="auto"/>
                <w:w w:val="96"/>
              </w:rPr>
              <w:t>IANNE</w:t>
            </w:r>
            <w:r>
              <w:rPr>
                <w:rFonts w:ascii="Arial" w:cs="Arial" w:eastAsia="Arial" w:hAnsi="Arial"/>
                <w:sz w:val="18"/>
                <w:szCs w:val="18"/>
                <w:color w:val="auto"/>
                <w:w w:val="96"/>
              </w:rPr>
              <w:t xml:space="preserve"> B. R</w:t>
            </w:r>
            <w:r>
              <w:rPr>
                <w:rFonts w:ascii="Arial" w:cs="Arial" w:eastAsia="Arial" w:hAnsi="Arial"/>
                <w:sz w:val="12"/>
                <w:szCs w:val="12"/>
                <w:color w:val="auto"/>
                <w:w w:val="96"/>
              </w:rPr>
              <w:t>ALSTON</w:t>
            </w:r>
          </w:p>
        </w:tc>
        <w:tc>
          <w:tcPr>
            <w:tcW w:w="4060" w:type="dxa"/>
            <w:vAlign w:val="bottom"/>
          </w:tcPr>
          <w:p>
            <w:pPr>
              <w:ind w:left="220"/>
              <w:spacing w:after="0"/>
              <w:rPr>
                <w:sz w:val="20"/>
                <w:szCs w:val="20"/>
                <w:color w:val="auto"/>
              </w:rPr>
            </w:pPr>
            <w:r>
              <w:rPr>
                <w:rFonts w:ascii="Arial" w:cs="Arial" w:eastAsia="Arial" w:hAnsi="Arial"/>
                <w:sz w:val="18"/>
                <w:szCs w:val="18"/>
                <w:color w:val="auto"/>
              </w:rPr>
              <w:t>January 26, 2022</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*By Dianne B. Ralston, Attorney-in-Fact</w:t>
            </w:r>
          </w:p>
        </w:tc>
        <w:tc>
          <w:tcPr>
            <w:tcW w:w="4060" w:type="dxa"/>
            <w:vAlign w:val="bottom"/>
          </w:tcPr>
          <w:p>
            <w:pPr>
              <w:spacing w:after="0"/>
              <w:rPr>
                <w:sz w:val="19"/>
                <w:szCs w:val="19"/>
                <w:color w:val="auto"/>
              </w:rPr>
            </w:pPr>
          </w:p>
        </w:tc>
      </w:tr>
      <w:tr>
        <w:trPr>
          <w:trHeight w:val="661"/>
        </w:trPr>
        <w:tc>
          <w:tcPr>
            <w:tcW w:w="55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240"/>
          </w:cols>
          <w:pgMar w:left="320" w:top="55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Subsidiaries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Listed below are the significant subsidiaries of the Registrant as of December 31, 2021,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Schlumberger B.V., Netherlands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Canada Limited, Canada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Corporation, Delaware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Cameron International Corporation, Delaware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Cameron Lux Global Finance S.à r.l., Luxembourg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Technology Corporation, Texas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Smith International Inc., Delaware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Norge AS, Norway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SA, France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Services Petroliers Schlumberger, France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UK Limited, UK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Plc, UK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Schlumberger Oilfield UK Limited, UK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Schlumberger Oilfield Holdings Limited, BVI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II Limited,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Dowell Schlumberger Corporation,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Logelco, Inc., Panama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Middle East SA., Panama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Offshore Services Limited,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Oilfield Eastern Ltd.,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Overseas, SA, Panama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Seaco, Inc., Panama</w:t>
      </w:r>
    </w:p>
    <w:p>
      <w:pPr>
        <w:sectPr>
          <w:pgSz w:w="11900" w:h="16838" w:orient="portrait"/>
          <w:cols w:equalWidth="0" w:num="1">
            <w:col w:w="11240"/>
          </w:cols>
          <w:pgMar w:left="320" w:top="33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Issuers of Registered Guaranteed Debt Securities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Schlumberger Investment SA,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1240"/>
          </w:cols>
          <w:pgMar w:left="320" w:top="33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333-124534; 333-151920; 333-173055, as amended by post-effective amendment on Form S-8; 333-188590; 333-218181; 333-218182; 333-231025; and 333-261482); on Form S-3 (Nos. 333-231029; 333-248675; and 333-249669); on Form S-4 (No. 333-97899); and on Form S-4 as amended by post-effective amendment on Form S-8 (No. 333-207260) of Schlumberger Limited of our report dated January 26, 2022 relating to the consolidated financial statements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0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26, 2022</w:t>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a Curaçao company, hereby appoints Howard Guild and Dianne B. Ralston,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2021,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Peter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Peter Coleman</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Patrick de La Chevardière</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Miguel M. Galuccio</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Chief Executive Officer and Director</w:t>
      </w:r>
    </w:p>
    <w:p>
      <w:pPr>
        <w:spacing w:after="0" w:line="200" w:lineRule="exact"/>
        <w:rPr>
          <w:sz w:val="20"/>
          <w:szCs w:val="20"/>
          <w:color w:val="auto"/>
        </w:rPr>
      </w:pPr>
    </w:p>
    <w:p>
      <w:pPr>
        <w:spacing w:after="0" w:line="31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Samuel Leupold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Samuel Leupold</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Tatiana 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Tatiana A. Mitrova</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29210</wp:posOffset>
            </wp:positionV>
            <wp:extent cx="31629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Maria Moræus Hanssen</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 Vanitha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22225</wp:posOffset>
            </wp:positionV>
            <wp:extent cx="31629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Vanitha Narayanan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31629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G. Papa</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Chairman of the Board</w:t>
      </w: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31629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31629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 W. Sheets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Ulrich Spiesshofer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14605</wp:posOffset>
            </wp:positionV>
            <wp:extent cx="31629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Ulrich Spiesshofer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7060" w:space="720"/>
            <w:col w:w="3460"/>
          </w:cols>
          <w:pgMar w:left="320" w:top="337"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Date: January 20, 2022</w:t>
      </w:r>
    </w:p>
    <w:p>
      <w:pPr>
        <w:sectPr>
          <w:pgSz w:w="11900" w:h="16838" w:orient="portrait"/>
          <w:cols w:equalWidth="0" w:num="1">
            <w:col w:w="11240"/>
          </w:cols>
          <w:pgMar w:left="320" w:top="337" w:right="3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January 26,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January 26, 2022</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33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2021 as filed with the Securities and Exchange Commission on the date hereof (the “Report”), I, Olivier Le Peuch, Chief Executive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Date: January 26, 2022</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6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6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337"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2021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Date: January 26, 2022</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6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6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3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full year ended December 31, 2021. Due to timing and other factors, the data may not agree with the mine data retrieval system maintained by the MSHA at www.MSHA.gov.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 Year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(whole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jc w:val="center"/>
              <w:ind w:left="37"/>
              <w:spacing w:after="0"/>
              <w:rPr>
                <w:sz w:val="20"/>
                <w:szCs w:val="20"/>
                <w:color w:val="auto"/>
              </w:rPr>
            </w:pPr>
            <w:r>
              <w:rPr>
                <w:rFonts w:ascii="Arial" w:cs="Arial" w:eastAsia="Arial" w:hAnsi="Arial"/>
                <w:sz w:val="13"/>
                <w:szCs w:val="13"/>
                <w:color w:val="auto"/>
                <w:w w:val="88"/>
              </w:rPr>
              <w:t>Received</w:t>
            </w:r>
          </w:p>
        </w:tc>
        <w:tc>
          <w:tcPr>
            <w:tcW w:w="840" w:type="dxa"/>
            <w:vAlign w:val="bottom"/>
          </w:tcPr>
          <w:p>
            <w:pPr>
              <w:jc w:val="center"/>
              <w:ind w:left="37"/>
              <w:spacing w:after="0"/>
              <w:rPr>
                <w:sz w:val="20"/>
                <w:szCs w:val="20"/>
                <w:color w:val="auto"/>
              </w:rPr>
            </w:pPr>
            <w:r>
              <w:rPr>
                <w:rFonts w:ascii="Arial" w:cs="Arial" w:eastAsia="Arial" w:hAnsi="Arial"/>
                <w:sz w:val="13"/>
                <w:szCs w:val="13"/>
                <w:color w:val="auto"/>
                <w:w w:val="84"/>
              </w:rPr>
              <w:t>Received</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3"/>
              </w:rPr>
              <w:t>Notice of</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Notice of</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5"/>
              </w:rPr>
              <w:t>Pattern of</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Potential to</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0"/>
              </w:rPr>
              <w:t>Total Dollar</w:t>
            </w:r>
          </w:p>
        </w:tc>
        <w:tc>
          <w:tcPr>
            <w:tcW w:w="70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9"/>
              </w:rPr>
              <w:t>Total</w:t>
            </w: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2"/>
              </w:rPr>
              <w:t>Violations</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Have Pattern</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7"/>
              </w:rPr>
              <w:t>Legal</w:t>
            </w:r>
          </w:p>
        </w:tc>
        <w:tc>
          <w:tcPr>
            <w:tcW w:w="72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4"/>
              </w:rPr>
              <w:t>Legal</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4"/>
              </w:rPr>
              <w:t>Legal</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7"/>
              </w:rPr>
              <w:t>Section</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2"/>
              </w:rPr>
              <w:t>Value of</w:t>
            </w:r>
          </w:p>
        </w:tc>
        <w:tc>
          <w:tcPr>
            <w:tcW w:w="7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2"/>
              </w:rPr>
              <w:t>Number of</w:t>
            </w: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0"/>
              </w:rPr>
              <w:t>Under</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4"/>
              </w:rPr>
              <w:t>Under</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3"/>
              </w:rPr>
              <w:t>Actions</w:t>
            </w:r>
          </w:p>
        </w:tc>
        <w:tc>
          <w:tcPr>
            <w:tcW w:w="72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Actions</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Actions</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700" w:type="dxa"/>
            <w:vAlign w:val="bottom"/>
          </w:tcPr>
          <w:p>
            <w:pPr>
              <w:ind w:left="220"/>
              <w:spacing w:after="0" w:line="135" w:lineRule="exact"/>
              <w:rPr>
                <w:sz w:val="20"/>
                <w:szCs w:val="20"/>
                <w:color w:val="auto"/>
              </w:rPr>
            </w:pPr>
            <w:r>
              <w:rPr>
                <w:rFonts w:ascii="Arial" w:cs="Arial" w:eastAsia="Arial" w:hAnsi="Arial"/>
                <w:sz w:val="13"/>
                <w:szCs w:val="13"/>
                <w:color w:val="auto"/>
              </w:rPr>
              <w:t>Section</w:t>
            </w:r>
          </w:p>
        </w:tc>
        <w:tc>
          <w:tcPr>
            <w:tcW w:w="740" w:type="dxa"/>
            <w:vAlign w:val="bottom"/>
          </w:tcPr>
          <w:p>
            <w:pPr>
              <w:ind w:left="260"/>
              <w:spacing w:after="0" w:line="135" w:lineRule="exact"/>
              <w:rPr>
                <w:sz w:val="20"/>
                <w:szCs w:val="20"/>
                <w:color w:val="auto"/>
              </w:rPr>
            </w:pPr>
            <w:r>
              <w:rPr>
                <w:rFonts w:ascii="Arial" w:cs="Arial" w:eastAsia="Arial" w:hAnsi="Arial"/>
                <w:sz w:val="13"/>
                <w:szCs w:val="13"/>
                <w:color w:val="auto"/>
              </w:rPr>
              <w:t>Section</w:t>
            </w:r>
          </w:p>
        </w:tc>
        <w:tc>
          <w:tcPr>
            <w:tcW w:w="8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0"/>
              </w:rPr>
              <w:t>104(d)</w:t>
            </w:r>
          </w:p>
        </w:tc>
        <w:tc>
          <w:tcPr>
            <w:tcW w:w="78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7"/>
              </w:rPr>
              <w:t>Section</w:t>
            </w:r>
          </w:p>
        </w:tc>
        <w:tc>
          <w:tcPr>
            <w:tcW w:w="76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7"/>
              </w:rPr>
              <w:t>Section</w:t>
            </w: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5"/>
              </w:rPr>
              <w:t>MSHA</w:t>
            </w:r>
          </w:p>
        </w:tc>
        <w:tc>
          <w:tcPr>
            <w:tcW w:w="7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3"/>
              </w:rPr>
              <w:t>Mining</w:t>
            </w:r>
          </w:p>
        </w:tc>
        <w:tc>
          <w:tcPr>
            <w:tcW w:w="7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7"/>
              </w:rPr>
              <w:t>Section</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7"/>
              </w:rPr>
              <w:t>Section</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6"/>
              </w:rPr>
              <w:t>Pending as</w:t>
            </w:r>
          </w:p>
        </w:tc>
        <w:tc>
          <w:tcPr>
            <w:tcW w:w="72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2"/>
              </w:rPr>
              <w:t>Initiated</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35"/>
        </w:trPr>
        <w:tc>
          <w:tcPr>
            <w:tcW w:w="194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700" w:type="dxa"/>
            <w:vAlign w:val="bottom"/>
          </w:tcPr>
          <w:p>
            <w:pPr>
              <w:ind w:left="180"/>
              <w:spacing w:after="0" w:line="135" w:lineRule="exact"/>
              <w:rPr>
                <w:sz w:val="20"/>
                <w:szCs w:val="20"/>
                <w:color w:val="auto"/>
              </w:rPr>
            </w:pPr>
            <w:r>
              <w:rPr>
                <w:rFonts w:ascii="Arial" w:cs="Arial" w:eastAsia="Arial" w:hAnsi="Arial"/>
                <w:sz w:val="13"/>
                <w:szCs w:val="13"/>
                <w:color w:val="auto"/>
                <w:w w:val="97"/>
              </w:rPr>
              <w:t>104 S&amp;S</w:t>
            </w:r>
          </w:p>
        </w:tc>
        <w:tc>
          <w:tcPr>
            <w:tcW w:w="740" w:type="dxa"/>
            <w:vAlign w:val="bottom"/>
          </w:tcPr>
          <w:p>
            <w:pPr>
              <w:ind w:left="280"/>
              <w:spacing w:after="0" w:line="135" w:lineRule="exact"/>
              <w:rPr>
                <w:sz w:val="20"/>
                <w:szCs w:val="20"/>
                <w:color w:val="auto"/>
              </w:rPr>
            </w:pPr>
            <w:r>
              <w:rPr>
                <w:rFonts w:ascii="Arial" w:cs="Arial" w:eastAsia="Arial" w:hAnsi="Arial"/>
                <w:sz w:val="13"/>
                <w:szCs w:val="13"/>
                <w:color w:val="auto"/>
              </w:rPr>
              <w:t>104(b)</w:t>
            </w:r>
          </w:p>
        </w:tc>
        <w:tc>
          <w:tcPr>
            <w:tcW w:w="8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6"/>
              </w:rPr>
              <w:t>Citations and</w:t>
            </w:r>
          </w:p>
        </w:tc>
        <w:tc>
          <w:tcPr>
            <w:tcW w:w="7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110(b)(2)</w:t>
            </w:r>
          </w:p>
        </w:tc>
        <w:tc>
          <w:tcPr>
            <w:tcW w:w="76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0"/>
              </w:rPr>
              <w:t>107(a)</w:t>
            </w: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Assessments</w:t>
            </w:r>
          </w:p>
        </w:tc>
        <w:tc>
          <w:tcPr>
            <w:tcW w:w="70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4"/>
              </w:rPr>
              <w:t>Related</w:t>
            </w: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5"/>
              </w:rPr>
              <w:t>104(e)</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0"/>
              </w:rPr>
              <w:t>104(e)</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of Last Day</w:t>
            </w:r>
          </w:p>
        </w:tc>
        <w:tc>
          <w:tcPr>
            <w:tcW w:w="72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3"/>
              </w:rPr>
              <w:t>During</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8"/>
              </w:rPr>
              <w:t>During</w:t>
            </w:r>
          </w:p>
        </w:tc>
        <w:tc>
          <w:tcPr>
            <w:tcW w:w="0" w:type="dxa"/>
            <w:vAlign w:val="bottom"/>
          </w:tcPr>
          <w:p>
            <w:pPr>
              <w:spacing w:after="0"/>
              <w:rPr>
                <w:sz w:val="1"/>
                <w:szCs w:val="1"/>
                <w:color w:val="auto"/>
              </w:rPr>
            </w:pPr>
          </w:p>
        </w:tc>
      </w:tr>
      <w:tr>
        <w:trPr>
          <w:trHeight w:val="149"/>
        </w:trPr>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w w:val="98"/>
              </w:rPr>
              <w:t>Citations</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Orders</w:t>
            </w:r>
          </w:p>
        </w:tc>
        <w:tc>
          <w:tcPr>
            <w:tcW w:w="88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85"/>
              </w:rPr>
              <w:t>Orders</w:t>
            </w:r>
          </w:p>
        </w:tc>
        <w:tc>
          <w:tcPr>
            <w:tcW w:w="78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92"/>
              </w:rPr>
              <w:t>Violations</w:t>
            </w:r>
          </w:p>
        </w:tc>
        <w:tc>
          <w:tcPr>
            <w:tcW w:w="76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w w:val="85"/>
              </w:rPr>
              <w:t>Orders</w:t>
            </w:r>
          </w:p>
        </w:tc>
        <w:tc>
          <w:tcPr>
            <w:tcW w:w="92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86"/>
              </w:rPr>
              <w:t xml:space="preserve">Proposed </w:t>
            </w:r>
            <w:r>
              <w:rPr>
                <w:rFonts w:ascii="Arial" w:cs="Arial" w:eastAsia="Arial" w:hAnsi="Arial"/>
                <w:sz w:val="10"/>
                <w:szCs w:val="10"/>
                <w:color w:val="auto"/>
                <w:w w:val="86"/>
              </w:rPr>
              <w:t>(1)</w:t>
            </w:r>
          </w:p>
        </w:tc>
        <w:tc>
          <w:tcPr>
            <w:tcW w:w="70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w w:val="88"/>
              </w:rPr>
              <w:t>Fatalities</w:t>
            </w:r>
          </w:p>
        </w:tc>
        <w:tc>
          <w:tcPr>
            <w:tcW w:w="7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85"/>
              </w:rPr>
              <w:t>(yes/no)</w:t>
            </w:r>
          </w:p>
        </w:tc>
        <w:tc>
          <w:tcPr>
            <w:tcW w:w="8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89"/>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of Period</w:t>
            </w:r>
          </w:p>
        </w:tc>
        <w:tc>
          <w:tcPr>
            <w:tcW w:w="72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90"/>
              </w:rPr>
              <w:t>Period</w:t>
            </w:r>
          </w:p>
        </w:tc>
        <w:tc>
          <w:tcPr>
            <w:tcW w:w="80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90"/>
              </w:rPr>
              <w:t>Period</w:t>
            </w:r>
          </w:p>
        </w:tc>
        <w:tc>
          <w:tcPr>
            <w:tcW w:w="0" w:type="dxa"/>
            <w:vAlign w:val="bottom"/>
          </w:tcPr>
          <w:p>
            <w:pPr>
              <w:spacing w:after="0"/>
              <w:rPr>
                <w:sz w:val="1"/>
                <w:szCs w:val="1"/>
                <w:color w:val="auto"/>
              </w:rPr>
            </w:pPr>
          </w:p>
        </w:tc>
      </w:tr>
      <w:tr>
        <w:trPr>
          <w:trHeight w:val="275"/>
        </w:trPr>
        <w:tc>
          <w:tcPr>
            <w:tcW w:w="194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7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w:t>
            </w:r>
          </w:p>
        </w:tc>
        <w:tc>
          <w:tcPr>
            <w:tcW w:w="70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tcPr>
          <w:p>
            <w:pPr>
              <w:ind w:left="4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194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$125</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1940" w:type="dxa"/>
            <w:vAlign w:val="bottom"/>
          </w:tcPr>
          <w:p>
            <w:pPr>
              <w:spacing w:after="0"/>
              <w:rPr>
                <w:sz w:val="20"/>
                <w:szCs w:val="20"/>
                <w:color w:val="auto"/>
              </w:rPr>
            </w:pPr>
            <w:r>
              <w:rPr>
                <w:rFonts w:ascii="Arial" w:cs="Arial" w:eastAsia="Arial" w:hAnsi="Arial"/>
                <w:sz w:val="13"/>
                <w:szCs w:val="13"/>
                <w:color w:val="auto"/>
              </w:rPr>
              <w:t>Freedom Proppants</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$552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Monahans Mine/4105336</w:t>
            </w: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1940" w:type="dxa"/>
            <w:vAlign w:val="bottom"/>
          </w:tcPr>
          <w:p>
            <w:pPr>
              <w:spacing w:after="0"/>
              <w:rPr>
                <w:sz w:val="20"/>
                <w:szCs w:val="20"/>
                <w:color w:val="auto"/>
              </w:rPr>
            </w:pPr>
            <w:r>
              <w:rPr>
                <w:rFonts w:ascii="Arial" w:cs="Arial" w:eastAsia="Arial" w:hAnsi="Arial"/>
                <w:sz w:val="13"/>
                <w:szCs w:val="13"/>
                <w:color w:val="auto"/>
              </w:rPr>
              <w:t>Freedom Proppants</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$1,314</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Kermit Mine/4105321</w:t>
            </w: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940" w:type="dxa"/>
            <w:vAlign w:val="bottom"/>
          </w:tcPr>
          <w:p>
            <w:pPr>
              <w:spacing w:after="0"/>
              <w:rPr>
                <w:sz w:val="20"/>
                <w:szCs w:val="20"/>
                <w:color w:val="auto"/>
              </w:rPr>
            </w:pPr>
            <w:r>
              <w:rPr>
                <w:rFonts w:ascii="Arial" w:cs="Arial" w:eastAsia="Arial" w:hAnsi="Arial"/>
                <w:sz w:val="13"/>
                <w:szCs w:val="13"/>
                <w:color w:val="auto"/>
                <w:w w:val="94"/>
              </w:rPr>
              <w:t>Greybull Milling Operation/4800602</w:t>
            </w:r>
          </w:p>
        </w:tc>
        <w:tc>
          <w:tcPr>
            <w:tcW w:w="7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$632</w:t>
            </w:r>
          </w:p>
        </w:tc>
        <w:tc>
          <w:tcPr>
            <w:tcW w:w="70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tcPr>
          <w:p>
            <w:pPr>
              <w:ind w:left="4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1940" w:type="dxa"/>
            <w:vAlign w:val="bottom"/>
          </w:tcPr>
          <w:p>
            <w:pPr>
              <w:spacing w:after="0"/>
              <w:rPr>
                <w:sz w:val="20"/>
                <w:szCs w:val="20"/>
                <w:color w:val="auto"/>
              </w:rPr>
            </w:pPr>
            <w:r>
              <w:rPr>
                <w:rFonts w:ascii="Arial" w:cs="Arial" w:eastAsia="Arial" w:hAnsi="Arial"/>
                <w:sz w:val="13"/>
                <w:szCs w:val="13"/>
                <w:color w:val="auto"/>
                <w:w w:val="93"/>
              </w:rPr>
              <w:t>Greybull Mining Operation/4800603</w:t>
            </w:r>
          </w:p>
        </w:tc>
        <w:tc>
          <w:tcPr>
            <w:tcW w:w="7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w:t>
            </w:r>
          </w:p>
        </w:tc>
        <w:tc>
          <w:tcPr>
            <w:tcW w:w="70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tcPr>
          <w:p>
            <w:pPr>
              <w:ind w:left="4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1940" w:type="dxa"/>
            <w:vAlign w:val="bottom"/>
          </w:tcPr>
          <w:p>
            <w:pPr>
              <w:spacing w:after="0"/>
              <w:rPr>
                <w:sz w:val="20"/>
                <w:szCs w:val="20"/>
                <w:color w:val="auto"/>
              </w:rPr>
            </w:pPr>
            <w:r>
              <w:rPr>
                <w:rFonts w:ascii="Arial" w:cs="Arial" w:eastAsia="Arial" w:hAnsi="Arial"/>
                <w:sz w:val="13"/>
                <w:szCs w:val="13"/>
                <w:color w:val="auto"/>
              </w:rPr>
              <w:t>Greystone Mine/2600411</w:t>
            </w:r>
          </w:p>
        </w:tc>
        <w:tc>
          <w:tcPr>
            <w:tcW w:w="7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$125</w:t>
            </w:r>
          </w:p>
        </w:tc>
        <w:tc>
          <w:tcPr>
            <w:tcW w:w="700" w:type="dxa"/>
            <w:vAlign w:val="bottom"/>
          </w:tcPr>
          <w:p>
            <w:pPr>
              <w:ind w:left="60"/>
              <w:spacing w:after="0"/>
              <w:rPr>
                <w:sz w:val="20"/>
                <w:szCs w:val="20"/>
                <w:color w:val="auto"/>
              </w:rPr>
            </w:pPr>
            <w:r>
              <w:rPr>
                <w:rFonts w:ascii="Arial" w:cs="Arial" w:eastAsia="Arial" w:hAnsi="Arial"/>
                <w:sz w:val="13"/>
                <w:szCs w:val="13"/>
                <w:color w:val="auto"/>
              </w:rPr>
              <w:t>─</w:t>
            </w:r>
          </w:p>
        </w:tc>
        <w:tc>
          <w:tcPr>
            <w:tcW w:w="740" w:type="dxa"/>
            <w:vAlign w:val="bottom"/>
          </w:tcPr>
          <w:p>
            <w:pPr>
              <w:ind w:left="4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194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$125</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0"/>
                <w:szCs w:val="20"/>
                <w:color w:val="auto"/>
              </w:rPr>
            </w:pPr>
            <w:r>
              <w:rPr>
                <w:rFonts w:ascii="Arial" w:cs="Arial" w:eastAsia="Arial" w:hAnsi="Arial"/>
                <w:sz w:val="13"/>
                <w:szCs w:val="13"/>
                <w:color w:val="auto"/>
              </w:rPr>
              <w:t>Wisconsin Proppants Hixton</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$625</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Mine/4703742</w:t>
            </w: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80" w:right="100" w:hanging="372"/>
        <w:spacing w:after="0" w:line="273" w:lineRule="auto"/>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December 31, 2021, regardless of whether the assessment has been challenged or appealed, for citations and orders occurring during the full year 2021.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upperLetter"/>
      <w:start w:val="1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2"/>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lvl w:ilvl="1">
      <w:lvlJc w:val="left"/>
      <w:lvlText w:val="-"/>
      <w:numFmt w:val="bullet"/>
      <w:start w:val="1"/>
    </w:lvl>
  </w:abstractNum>
  <w:abstractNum w:abstractNumId="26">
    <w:nsid w:val="6A2342EC"/>
    <w:multiLevelType w:val="hybridMultilevel"/>
    <w:lvl w:ilvl="0">
      <w:lvlJc w:val="left"/>
      <w:lvlText w:val="•"/>
      <w:numFmt w:val="bullet"/>
      <w:start w:val="1"/>
    </w:lvl>
    <w:lvl w:ilvl="1">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lvl w:ilvl="1">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lvl w:ilvl="1">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lvl w:ilvl="1">
      <w:lvlJc w:val="left"/>
      <w:lvlText w:val="-"/>
      <w:numFmt w:val="bullet"/>
      <w:start w:val="1"/>
    </w:lvl>
  </w:abstractNum>
  <w:abstractNum w:abstractNumId="33">
    <w:nsid w:val="4B588F54"/>
    <w:multiLevelType w:val="hybridMultilevel"/>
    <w:lvl w:ilvl="0">
      <w:lvlJc w:val="left"/>
      <w:lvlText w:val="%1."/>
      <w:numFmt w:val="decimal"/>
      <w:start w:val="4"/>
    </w:lvl>
  </w:abstractNum>
  <w:abstractNum w:abstractNumId="34">
    <w:nsid w:val="542289EC"/>
    <w:multiLevelType w:val="hybridMultilevel"/>
    <w:lvl w:ilvl="0">
      <w:lvlJc w:val="left"/>
      <w:lvlText w:val="%1."/>
      <w:numFmt w:val="decimal"/>
      <w:start w:val="5"/>
    </w:lvl>
  </w:abstractNum>
  <w:abstractNum w:abstractNumId="35">
    <w:nsid w:val="6DE91B18"/>
    <w:multiLevelType w:val="hybridMultilevel"/>
    <w:lvl w:ilvl="0">
      <w:lvlJc w:val="left"/>
      <w:lvlText w:val="%1."/>
      <w:numFmt w:val="decimal"/>
      <w:start w:val="6"/>
    </w:lvl>
  </w:abstractNum>
  <w:abstractNum w:abstractNumId="36">
    <w:nsid w:val="38437FDB"/>
    <w:multiLevelType w:val="hybridMultilevel"/>
    <w:lvl w:ilvl="0">
      <w:lvlJc w:val="left"/>
      <w:lvlText w:val="%1."/>
      <w:numFmt w:val="decimal"/>
      <w:start w:val="7"/>
    </w:lvl>
  </w:abstractNum>
  <w:abstractNum w:abstractNumId="37">
    <w:nsid w:val="7644A45C"/>
    <w:multiLevelType w:val="hybridMultilevel"/>
    <w:lvl w:ilvl="0">
      <w:lvlJc w:val="left"/>
      <w:lvlText w:val="%1."/>
      <w:numFmt w:val="decimal"/>
      <w:start w:val="8"/>
    </w:lvl>
  </w:abstractNum>
  <w:abstractNum w:abstractNumId="38">
    <w:nsid w:val="32FFF902"/>
    <w:multiLevelType w:val="hybridMultilevel"/>
    <w:lvl w:ilvl="0">
      <w:lvlJc w:val="left"/>
      <w:lvlText w:val="%1."/>
      <w:numFmt w:val="decimal"/>
      <w:start w:val="9"/>
    </w:lvl>
  </w:abstractNum>
  <w:abstractNum w:abstractNumId="39">
    <w:nsid w:val="684A481A"/>
    <w:multiLevelType w:val="hybridMultilevel"/>
    <w:lvl w:ilvl="0">
      <w:lvlJc w:val="left"/>
      <w:lvlText w:val="%1."/>
      <w:numFmt w:val="decimal"/>
      <w:start w:val="10"/>
    </w:lvl>
  </w:abstractNum>
  <w:abstractNum w:abstractNumId="40">
    <w:nsid w:val="579478FE"/>
    <w:multiLevelType w:val="hybridMultilevel"/>
    <w:lvl w:ilvl="0">
      <w:lvlJc w:val="left"/>
      <w:lvlText w:val="%1."/>
      <w:numFmt w:val="decimal"/>
      <w:start w:val="11"/>
    </w:lvl>
  </w:abstractNum>
  <w:abstractNum w:abstractNumId="41">
    <w:nsid w:val="749ABB43"/>
    <w:multiLevelType w:val="hybridMultilevel"/>
    <w:lvl w:ilvl="0">
      <w:lvlJc w:val="left"/>
      <w:lvlText w:val="%1."/>
      <w:numFmt w:val="decimal"/>
      <w:start w:val="12"/>
    </w:lvl>
  </w:abstractNum>
  <w:abstractNum w:abstractNumId="42">
    <w:nsid w:val="3DC240FB"/>
    <w:multiLevelType w:val="hybridMultilevel"/>
    <w:lvl w:ilvl="0">
      <w:lvlJc w:val="left"/>
      <w:lvlText w:val="%1."/>
      <w:numFmt w:val="decimal"/>
      <w:start w:val="13"/>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decimal"/>
      <w:start w:val="14"/>
    </w:lvl>
  </w:abstractNum>
  <w:abstractNum w:abstractNumId="46">
    <w:nsid w:val="12E685FB"/>
    <w:multiLevelType w:val="hybridMultilevel"/>
    <w:lvl w:ilvl="0">
      <w:lvlJc w:val="left"/>
      <w:lvlText w:val="%1."/>
      <w:numFmt w:val="decimal"/>
      <w:start w:val="15"/>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6"/>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7"/>
    </w:lvl>
  </w:abstractNum>
  <w:abstractNum w:abstractNumId="52">
    <w:nsid w:val="649BB77C"/>
    <w:multiLevelType w:val="hybridMultilevel"/>
    <w:lvl w:ilvl="0">
      <w:lvlJc w:val="left"/>
      <w:lvlText w:val="(%1)"/>
      <w:numFmt w:val="decimal"/>
      <w:start w:val="2"/>
    </w:lvl>
  </w:abstractNum>
  <w:abstractNum w:abstractNumId="53">
    <w:nsid w:val="275AC794"/>
    <w:multiLevelType w:val="hybridMultilevel"/>
    <w:lvl w:ilvl="0">
      <w:lvlJc w:val="left"/>
      <w:lvlText w:val="%1."/>
      <w:numFmt w:val="decimal"/>
      <w:start w:val="1"/>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1"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08" Type="http://schemas.openxmlformats.org/officeDocument/2006/relationships/hyperlink" Target="http://www.sec.gov/Archives/edgar/data/87347/000119312516532046/d176097dex31.htm" TargetMode="External"/><Relationship Id="rId109" Type="http://schemas.openxmlformats.org/officeDocument/2006/relationships/hyperlink" Target="http://www.sec.gov/Archives/edgar/data/87347/000119312519198989/d763655dex3.htm" TargetMode="External"/><Relationship Id="rId110" Type="http://schemas.openxmlformats.org/officeDocument/2006/relationships/hyperlink" Target="http://www.sec.gov/Archives/edgar/data/87347/000156459021002477/slb-ex41_56.htm" TargetMode="External"/><Relationship Id="rId111" Type="http://schemas.openxmlformats.org/officeDocument/2006/relationships/hyperlink" Target="http://www.sec.gov/Archives/edgar/data/87347/000119312513460494/d637672dex41.htm" TargetMode="External"/><Relationship Id="rId112" Type="http://schemas.openxmlformats.org/officeDocument/2006/relationships/hyperlink" Target="http://www.sec.gov/Archives/edgar/data/87347/000119312513460494/d637672dex42.htm" TargetMode="External"/><Relationship Id="rId113" Type="http://schemas.openxmlformats.org/officeDocument/2006/relationships/hyperlink" Target="http://www.sec.gov/Archives/edgar/data/87347/000119312520180957/d925505dex41.htm" TargetMode="External"/><Relationship Id="rId114" Type="http://schemas.openxmlformats.org/officeDocument/2006/relationships/hyperlink" Target="http://www.sec.gov/Archives/edgar/data/87347/000119312520216304/d926535dex41.htm" TargetMode="External"/><Relationship Id="rId115" Type="http://schemas.openxmlformats.org/officeDocument/2006/relationships/hyperlink" Target="http://www.sec.gov/Archives/edgar/data/87347/000119312520248823/d75000dex41.htm" TargetMode="External"/><Relationship Id="rId116" Type="http://schemas.openxmlformats.org/officeDocument/2006/relationships/hyperlink" Target="http://www.sec.gov/Archives/edgar/data/87347/000119312520248823/d75000dex42.htm" TargetMode="External"/><Relationship Id="rId117" Type="http://schemas.openxmlformats.org/officeDocument/2006/relationships/hyperlink" Target="http://www.sec.gov/Archives/edgar/data/87347/000156459021002477/slb-ex48_1034.htm" TargetMode="External"/><Relationship Id="rId118" Type="http://schemas.openxmlformats.org/officeDocument/2006/relationships/hyperlink" Target="http://www.sec.gov/Archives/edgar/data/87347/000156459021002477/slb-ex49_1035.htm" TargetMode="External"/><Relationship Id="rId119" Type="http://schemas.openxmlformats.org/officeDocument/2006/relationships/hyperlink" Target="http://www.sec.gov/Archives/edgar/data/87347/000156459021002477/slb-ex410_981.htm" TargetMode="External"/><Relationship Id="rId120" Type="http://schemas.openxmlformats.org/officeDocument/2006/relationships/hyperlink" Target="http://www.sec.gov/Archives/edgar/data/87347/000156459021002477/slb-ex411_982.htm" TargetMode="External"/><Relationship Id="rId122" Type="http://schemas.openxmlformats.org/officeDocument/2006/relationships/hyperlink" Target="http://www.sec.gov/Archives/edgar/data/87347/000156459019000928/slb-ex101_817.htm" TargetMode="External"/><Relationship Id="rId123" Type="http://schemas.openxmlformats.org/officeDocument/2006/relationships/hyperlink" Target="http://www.sec.gov/Archives/edgar/data/87347/000156459019000928/slb-ex102_998.htm" TargetMode="External"/><Relationship Id="rId124" Type="http://schemas.openxmlformats.org/officeDocument/2006/relationships/hyperlink" Target="http://www.sec.gov/Archives/edgar/data/87347/000156459019000928/slb-ex103_999.htm" TargetMode="External"/><Relationship Id="rId125" Type="http://schemas.openxmlformats.org/officeDocument/2006/relationships/hyperlink" Target="http://www.sec.gov/Archives/edgar/data/87347/000156459019000928/slb-ex108_547.htm" TargetMode="External"/><Relationship Id="rId126" Type="http://schemas.openxmlformats.org/officeDocument/2006/relationships/hyperlink" Target="http://www.sec.gov/Archives/edgar/data/87347/000119312513299983/d550034dex1010.htm" TargetMode="External"/><Relationship Id="rId127" Type="http://schemas.openxmlformats.org/officeDocument/2006/relationships/hyperlink" Target="http://www.sec.gov/Archives/edgar/data/87347/000119312513299983/d550034dex1011.htm" TargetMode="External"/><Relationship Id="rId128" Type="http://schemas.openxmlformats.org/officeDocument/2006/relationships/hyperlink" Target="http://www.sec.gov/Archives/edgar/data/87347/000130817918000016/lslb2018_def14a.htm" TargetMode="External"/><Relationship Id="rId129" Type="http://schemas.openxmlformats.org/officeDocument/2006/relationships/hyperlink" Target="http://www.sec.gov/Archives/edgar/data/87347/000156459019000928/slb-ex1015_548.htm" TargetMode="External"/><Relationship Id="rId130" Type="http://schemas.openxmlformats.org/officeDocument/2006/relationships/hyperlink" Target="http://www.sec.gov/Archives/edgar/data/87347/000156459015005555/slb-ex101_758.htm" TargetMode="External"/><Relationship Id="rId131" Type="http://schemas.openxmlformats.org/officeDocument/2006/relationships/hyperlink" Target="http://www.sec.gov/Archives/edgar/data/87347/000156459015005555/slb-ex102_624.htm" TargetMode="External"/><Relationship Id="rId132" Type="http://schemas.openxmlformats.org/officeDocument/2006/relationships/hyperlink" Target="http://www.sec.gov/Archives/edgar/data/87347/000156459021002477/slb-ex1015_106.htm" TargetMode="External"/><Relationship Id="rId133" Type="http://schemas.openxmlformats.org/officeDocument/2006/relationships/hyperlink" Target="http://www.sec.gov/Archives/edgar/data/87347/000156459017007214/slb-ex104_112.htm" TargetMode="External"/><Relationship Id="rId134" Type="http://schemas.openxmlformats.org/officeDocument/2006/relationships/hyperlink" Target="http://www.sec.gov/Archives/edgar/data/87347/000156459019000928/slb-ex1027_1834.htm" TargetMode="External"/><Relationship Id="rId135" Type="http://schemas.openxmlformats.org/officeDocument/2006/relationships/hyperlink" Target="http://www.sec.gov/Archives/edgar/data/87347/000156459020017823/slb-ex102_231.htm" TargetMode="External"/><Relationship Id="rId136" Type="http://schemas.openxmlformats.org/officeDocument/2006/relationships/hyperlink" Target="http://www.sec.gov/Archives/edgar/data/87347/000156459020017823/slb-ex101_230.htm" TargetMode="External"/><Relationship Id="rId137" Type="http://schemas.openxmlformats.org/officeDocument/2006/relationships/hyperlink" Target="http://www.sec.gov/Archives/edgar/data/87347/000156459021021157/slb-ex101_161.htm" TargetMode="External"/><Relationship Id="rId140" Type="http://schemas.openxmlformats.org/officeDocument/2006/relationships/hyperlink" Target="http://www.sec.gov/Archives/edgar/data/87347/000156459021021157/slb-ex102_162.htm" TargetMode="External"/><Relationship Id="rId141" Type="http://schemas.openxmlformats.org/officeDocument/2006/relationships/hyperlink" Target="http://www.sec.gov/Archives/edgar/data/87347/000156459021021157/slb-ex103_163.htm" TargetMode="External"/><Relationship Id="rId142" Type="http://schemas.openxmlformats.org/officeDocument/2006/relationships/hyperlink" Target="http://www.sec.gov/Archives/edgar/data/87347/000119312521109039/d128317dex101.htm" TargetMode="External"/><Relationship Id="rId143" Type="http://schemas.openxmlformats.org/officeDocument/2006/relationships/hyperlink" Target="http://www.sec.gov/Archives/edgar/data/87347/000119312521109039/d128317dex102.htm" TargetMode="External"/><Relationship Id="rId144" Type="http://schemas.openxmlformats.org/officeDocument/2006/relationships/hyperlink" Target="http://www.sec.gov/Archives/edgar/data/87347/000119312521109039/d128317dex103.htm" TargetMode="External"/><Relationship Id="rId145" Type="http://schemas.openxmlformats.org/officeDocument/2006/relationships/hyperlink" Target="http://www.sec.gov/Archives/edgar/data/87347/000119312513405191/d612968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2022-01-26T11:17:41Z</dcterms:created>
  <dcterms:modified xsi:type="dcterms:W3CDTF">2022-01-26T11:17:41Z</dcterms:modified>
</cp:coreProperties>
</file>