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 June 12,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040"/>
          </w:cols>
          <w:pgMar w:left="240" w:top="368" w:right="4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160"/>
          </w:cols>
          <w:pgMar w:left="240" w:top="368" w:right="459" w:bottom="1440" w:gutter="0" w:footer="0" w:header="0"/>
          <w:type w:val="continuous"/>
        </w:sectPr>
      </w:pP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200"/>
          </w:cols>
          <w:pgMar w:left="240" w:top="368" w:right="459" w:bottom="1440" w:gutter="0" w:footer="0" w:header="0"/>
          <w:type w:val="continuous"/>
        </w:sectPr>
      </w:pP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u w:val="single" w:color="auto"/>
          <w:color w:val="auto"/>
        </w:rPr>
        <w:t>Regulation FD Disclosure.</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June 12, 2018, Patrick Schorn, Schlumberger Executive Vice President, Wells, presented at the Wells Fargo West Coast Energy Conference in San Francisco, California, to discuss, among other things, Schlumberger’s business outlook. The presentation and slides are available on the Schlumberger Investor Relations website at http://investorcenter.slb.com/phoenix.zhtml?c=97513&amp;p=irol-presentations and at http://www.slb.com/news/presentations.aspx.</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presentation referred to above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address matters that are, to varying degrees, uncertain, such as statements about our financial and performance targets and other forecasts or expectations regarding business outlook; growth for Schlumberger as a whole and for each of our product lines (and for specified products or geographic areas within each product line); oil and natural gas demand and production growth; oil and natural gas prices; rig activity, pricing; adequate access to sand; improvements in operating procedures and technology, including our transformation program; capital expenditures by Schlumberger and the oil and gas industry; the business strategies of Schlumberger’s customers; the success of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the inability to procure or produce sand;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most recent Forms 10-K, 10-Q, and 8-K filed with or furnished to the U.S.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presentation referred to above, and Schlumberger disclaims any intention or obligation to update publicly or revise such statements, whether as a result of new information, future events or otherwise.</w:t>
      </w:r>
    </w:p>
    <w:p>
      <w:pPr>
        <w:sectPr>
          <w:pgSz w:w="11900" w:h="16838" w:orient="portrait"/>
          <w:cols w:equalWidth="0" w:num="1">
            <w:col w:w="11420"/>
          </w:cols>
          <w:pgMar w:left="240" w:top="270" w:right="23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2018</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2019-12-05T08:49:07Z</dcterms:created>
  <dcterms:modified xsi:type="dcterms:W3CDTF">2019-12-05T08:49:07Z</dcterms:modified>
</cp:coreProperties>
</file>