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192405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9"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20" w:space="720"/>
            <w:col w:w="224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35"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2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174625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4"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4"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09"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1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On September 6, 2023, Olivier Le Peuch, CEO of SLB, presented at the Barclays CEO Energy-Power Conference in New York, New York, where he discussed, among other things, SLB’s performance strategy and outlook. Slides in connection with the conference are available on the SLB Investor Relations website at https://investorcenter.slb.com/news-events/events-presentations.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SLB and the oil and gas industry; SLB’s business strategies, including digital and “fit for basin,” as well as the strategies of SLB’s customers; SLB’s capital allocation plans, including dividend plans and share repurchase program; SLB’s Asset Performance Solutions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the inability to achieve SLB’s financial and performance targets and other forecasts and expectations; the inability to achieve SLB’s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the inability to recognize efficiencies and other intended benefits from SLB’s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Securities and Exchange Commission (SEC). If one or more of these or other risks or uncertainties materialize (or the consequences of any such development changes), or should SLB’s underlying assumptions prove incorrect, actual results or outcomes may vary materially from those reflected in the forward-looking statements. Forward -looking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92"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2023</w:t>
      </w:r>
    </w:p>
    <w:sectPr>
      <w:pgSz w:w="11900" w:h="16838" w:orient="portrait"/>
      <w:cols w:equalWidth="0" w:num="1">
        <w:col w:w="10840"/>
      </w:cols>
      <w:pgMar w:left="440" w:top="29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2023-09-06T07:21:37Z</dcterms:created>
  <dcterms:modified xsi:type="dcterms:W3CDTF">2023-09-06T07:21:37Z</dcterms:modified>
</cp:coreProperties>
</file>