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April 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right="398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right="242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April 5, 2010, Schlumberger Limited issued a press release announcing its receipt of a second request for information from the Antitrust Division of the U.S. Department of Justice in connection with its proposed merger with Smith International, Inc.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attached press release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(http://www.sec.gov). Actual results may differ materially from those expected, estimated or projected.</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Forward-looking statements speak only as of the date they are made, and we undertake no obligation to publicly update or revise any of them in light of new information, future events or otherwise.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5,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111760</wp:posOffset>
            </wp:positionV>
            <wp:extent cx="491363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136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Receives U.S. Antitrust Second Request</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April 5, 2010 — Schlumberger Limited (NYSE: SLB) announced today that it has received a request for additional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known as a “second request”, from the Antitrust Division of the United States Department of Justice in connection with the proposed merger with Smith International, Inc. While a definitive date cannot yet be determined related to the eventual closing of the transaction, Schlumberger maintains the expectation of this occurring during the second half of this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77,000 people representing over 140 nationalities and working in approximately 80 countries, Schlumberger provides the industry’s widest range of products and services from exploration through production.</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Schlumberger Limited has principal offices in Paris, Houston and The Hague and reported revenues of $22.70 billion in 2009. For more information, visit www.slb.com.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(http://www.sec.gov). Actual results may differ materially from those expected, estimated or projected.</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Forward-looking statements speak only as of the date they are made, and we undertake no obligation to publicly update or revise any of them in light of new information, future events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Receives U.S. Antitrust Second Request, page 2</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234" w:lineRule="auto"/>
        <w:rPr>
          <w:sz w:val="20"/>
          <w:szCs w:val="20"/>
          <w:color w:val="auto"/>
        </w:rPr>
      </w:pPr>
      <w:r>
        <w:rPr>
          <w:rFonts w:ascii="Arial" w:cs="Arial" w:eastAsia="Arial" w:hAnsi="Arial"/>
          <w:sz w:val="18"/>
          <w:szCs w:val="18"/>
          <w:color w:val="auto"/>
        </w:rPr>
        <w:t>Office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Stephen Whittaker – Schlumberger Limited, Director of Corporate Communications</w:t>
      </w:r>
    </w:p>
    <w:p>
      <w:pPr>
        <w:spacing w:after="0" w:line="234" w:lineRule="auto"/>
        <w:rPr>
          <w:sz w:val="20"/>
          <w:szCs w:val="20"/>
          <w:color w:val="auto"/>
        </w:rPr>
      </w:pPr>
      <w:r>
        <w:rPr>
          <w:rFonts w:ascii="Arial" w:cs="Arial" w:eastAsia="Arial" w:hAnsi="Arial"/>
          <w:sz w:val="18"/>
          <w:szCs w:val="18"/>
          <w:color w:val="auto"/>
        </w:rPr>
        <w:t>Office + 33 1 4062 1330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2019-12-20T19:14:51Z</dcterms:created>
  <dcterms:modified xsi:type="dcterms:W3CDTF">2019-12-20T19:14:51Z</dcterms:modified>
</cp:coreProperties>
</file>