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104775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92075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91440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1"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Arial" w:cs="Arial" w:eastAsia="Arial" w:hAnsi="Arial"/>
                <w:sz w:val="14"/>
                <w:szCs w:val="14"/>
                <w:b w:val="1"/>
                <w:bCs w:val="1"/>
                <w:color w:val="auto"/>
                <w:w w:val="91"/>
              </w:rPr>
              <w:t>(State or other jurisdiction of</w:t>
            </w:r>
          </w:p>
        </w:tc>
        <w:tc>
          <w:tcPr>
            <w:tcW w:w="3100" w:type="dxa"/>
            <w:vAlign w:val="bottom"/>
          </w:tcPr>
          <w:p>
            <w:pPr>
              <w:jc w:val="center"/>
              <w:ind w:left="1918"/>
              <w:spacing w:after="0" w:line="146"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4560" w:type="dxa"/>
            <w:vAlign w:val="bottom"/>
          </w:tcPr>
          <w:p>
            <w:pPr>
              <w:jc w:val="center"/>
              <w:ind w:right="1916"/>
              <w:spacing w:after="0"/>
              <w:rPr>
                <w:sz w:val="20"/>
                <w:szCs w:val="20"/>
                <w:color w:val="auto"/>
              </w:rPr>
            </w:pPr>
            <w:r>
              <w:rPr>
                <w:rFonts w:ascii="Arial" w:cs="Arial" w:eastAsia="Arial" w:hAnsi="Arial"/>
                <w:sz w:val="14"/>
                <w:szCs w:val="14"/>
                <w:b w:val="1"/>
                <w:bCs w:val="1"/>
                <w:color w:val="auto"/>
                <w:w w:val="92"/>
              </w:rPr>
              <w:t>incorporation or organization)</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2"/>
              </w:rPr>
              <w:t>Identification No.)</w:t>
            </w:r>
          </w:p>
        </w:tc>
      </w:tr>
      <w:tr>
        <w:trPr>
          <w:trHeight w:val="29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9"/>
              </w:rPr>
              <w:t>42 RUE SAINT-DOMINIQUE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PARIS, FRANCE</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75007</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5"/>
              </w:rPr>
              <w:t>5599 SAN FELIPE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HOUSTON, TEXAS, U.S.A.</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77056</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62 BUCKINGHAM GATE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2"/>
              </w:rPr>
              <w:t>SW1E 6AJ</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THE NETHERLANDS</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2514 JG</w:t>
            </w:r>
          </w:p>
        </w:tc>
      </w:tr>
      <w:tr>
        <w:trPr>
          <w:trHeight w:val="184"/>
        </w:trPr>
        <w:tc>
          <w:tcPr>
            <w:tcW w:w="4560" w:type="dxa"/>
            <w:vAlign w:val="bottom"/>
          </w:tcPr>
          <w:p>
            <w:pPr>
              <w:jc w:val="center"/>
              <w:ind w:right="1896"/>
              <w:spacing w:after="0"/>
              <w:rPr>
                <w:sz w:val="20"/>
                <w:szCs w:val="20"/>
                <w:color w:val="auto"/>
              </w:rPr>
            </w:pPr>
            <w:r>
              <w:rPr>
                <w:rFonts w:ascii="Arial" w:cs="Arial" w:eastAsia="Arial" w:hAnsi="Arial"/>
                <w:sz w:val="14"/>
                <w:szCs w:val="14"/>
                <w:b w:val="1"/>
                <w:bCs w:val="1"/>
                <w:color w:val="auto"/>
                <w:w w:val="88"/>
              </w:rPr>
              <w:t>(Addresses of principal executive offices)</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0"/>
              </w:rPr>
              <w:t>(Zip Codes)</w:t>
            </w:r>
          </w:p>
        </w:tc>
      </w:tr>
    </w:tbl>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120" w:lineRule="exact"/>
        <w:rPr>
          <w:sz w:val="24"/>
          <w:szCs w:val="24"/>
          <w:color w:val="auto"/>
        </w:rPr>
      </w:pPr>
    </w:p>
    <w:p>
      <w:pPr>
        <w:ind w:right="60"/>
        <w:spacing w:after="0" w:line="21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4" w:lineRule="exact"/>
        <w:rPr>
          <w:sz w:val="24"/>
          <w:szCs w:val="24"/>
          <w:color w:val="auto"/>
        </w:rPr>
      </w:pPr>
    </w:p>
    <w:p>
      <w:pPr>
        <w:ind w:right="40"/>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97" w:lineRule="exact"/>
        <w:rPr>
          <w:sz w:val="24"/>
          <w:szCs w:val="24"/>
          <w:color w:val="auto"/>
        </w:rPr>
      </w:pPr>
    </w:p>
    <w:p>
      <w:pPr>
        <w:ind w:right="3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7940" w:type="dxa"/>
            <w:vAlign w:val="bottom"/>
            <w:gridSpan w:val="3"/>
          </w:tcPr>
          <w:p>
            <w:pPr>
              <w:spacing w:after="0" w:line="184" w:lineRule="exact"/>
              <w:rPr>
                <w:sz w:val="20"/>
                <w:szCs w:val="20"/>
                <w:color w:val="auto"/>
              </w:rPr>
            </w:pPr>
            <w:r>
              <w:rPr>
                <w:rFonts w:ascii="Arial" w:cs="Arial" w:eastAsia="Arial" w:hAnsi="Arial"/>
                <w:sz w:val="16"/>
                <w:szCs w:val="16"/>
                <w:color w:val="auto"/>
                <w:w w:val="92"/>
              </w:rPr>
              <w:t xml:space="preserve">Indicate by check mark whether the registrant is a shell company (as defined in Rule 12b-2 of the Exchange Act).  Yes </w:t>
            </w:r>
            <w:r>
              <w:rPr>
                <w:rFonts w:ascii="MS PGothic" w:cs="MS PGothic" w:eastAsia="MS PGothic" w:hAnsi="MS PGothic"/>
                <w:sz w:val="16"/>
                <w:szCs w:val="16"/>
                <w:color w:val="auto"/>
                <w:w w:val="92"/>
              </w:rPr>
              <w:t>☐</w:t>
            </w:r>
          </w:p>
        </w:tc>
        <w:tc>
          <w:tcPr>
            <w:tcW w:w="3500" w:type="dxa"/>
            <w:vAlign w:val="bottom"/>
            <w:gridSpan w:val="3"/>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8"/>
        </w:trPr>
        <w:tc>
          <w:tcPr>
            <w:tcW w:w="7940" w:type="dxa"/>
            <w:vAlign w:val="bottom"/>
            <w:gridSpan w:val="3"/>
          </w:tcPr>
          <w:p>
            <w:pPr>
              <w:spacing w:after="0"/>
              <w:rPr>
                <w:sz w:val="20"/>
                <w:szCs w:val="20"/>
                <w:color w:val="auto"/>
              </w:rPr>
            </w:pPr>
            <w:r>
              <w:rPr>
                <w:rFonts w:ascii="Arial" w:cs="Arial" w:eastAsia="Arial" w:hAnsi="Arial"/>
                <w:sz w:val="16"/>
                <w:szCs w:val="16"/>
                <w:color w:val="auto"/>
                <w:w w:val="90"/>
              </w:rPr>
              <w:t>Indicate the number of shares outstanding of each of the issuer’s classes of common stock, as of the latest practicable date.</w:t>
            </w:r>
          </w:p>
        </w:tc>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91"/>
        </w:trPr>
        <w:tc>
          <w:tcPr>
            <w:tcW w:w="7940" w:type="dxa"/>
            <w:vAlign w:val="bottom"/>
            <w:gridSpan w:val="3"/>
          </w:tcPr>
          <w:p>
            <w:pPr>
              <w:ind w:left="3820"/>
              <w:spacing w:after="0"/>
              <w:rPr>
                <w:sz w:val="20"/>
                <w:szCs w:val="20"/>
                <w:color w:val="auto"/>
              </w:rPr>
            </w:pPr>
            <w:r>
              <w:rPr>
                <w:rFonts w:ascii="Arial" w:cs="Arial" w:eastAsia="Arial" w:hAnsi="Arial"/>
                <w:sz w:val="16"/>
                <w:szCs w:val="16"/>
                <w:b w:val="1"/>
                <w:bCs w:val="1"/>
                <w:color w:val="auto"/>
              </w:rPr>
              <w:t>Class</w:t>
            </w:r>
          </w:p>
        </w:tc>
        <w:tc>
          <w:tcPr>
            <w:tcW w:w="580" w:type="dxa"/>
            <w:vAlign w:val="bottom"/>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Outstanding at September 30, 2018</w:t>
            </w:r>
          </w:p>
        </w:tc>
        <w:tc>
          <w:tcPr>
            <w:tcW w:w="520" w:type="dxa"/>
            <w:vAlign w:val="bottom"/>
          </w:tcPr>
          <w:p>
            <w:pPr>
              <w:spacing w:after="0"/>
              <w:rPr>
                <w:sz w:val="24"/>
                <w:szCs w:val="24"/>
                <w:color w:val="auto"/>
              </w:rPr>
            </w:pPr>
          </w:p>
        </w:tc>
      </w:tr>
      <w:tr>
        <w:trPr>
          <w:trHeight w:val="221"/>
        </w:trPr>
        <w:tc>
          <w:tcPr>
            <w:tcW w:w="794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2980" w:type="dxa"/>
            <w:vAlign w:val="bottom"/>
            <w:gridSpan w:val="2"/>
          </w:tcPr>
          <w:p>
            <w:pPr>
              <w:jc w:val="right"/>
              <w:ind w:right="660"/>
              <w:spacing w:after="0"/>
              <w:rPr>
                <w:sz w:val="20"/>
                <w:szCs w:val="20"/>
                <w:color w:val="auto"/>
              </w:rPr>
            </w:pPr>
            <w:r>
              <w:rPr>
                <w:rFonts w:ascii="Arial" w:cs="Arial" w:eastAsia="Arial" w:hAnsi="Arial"/>
                <w:sz w:val="16"/>
                <w:szCs w:val="16"/>
                <w:color w:val="auto"/>
              </w:rPr>
              <w:t>1,384,801,810</w:t>
            </w:r>
          </w:p>
        </w:tc>
        <w:tc>
          <w:tcPr>
            <w:tcW w:w="520" w:type="dxa"/>
            <w:vAlign w:val="bottom"/>
          </w:tcPr>
          <w:p>
            <w:pPr>
              <w:spacing w:after="0"/>
              <w:rPr>
                <w:sz w:val="19"/>
                <w:szCs w:val="19"/>
                <w:color w:val="auto"/>
              </w:rPr>
            </w:pPr>
          </w:p>
        </w:tc>
      </w:tr>
      <w:tr>
        <w:trPr>
          <w:trHeight w:val="1168"/>
        </w:trPr>
        <w:tc>
          <w:tcPr>
            <w:tcW w:w="3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4" w:right="2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SCHLUMBERGER LIMITED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Third Quarter 2018 Form 10-Q</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Table of Contents</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360" w:type="dxa"/>
            <w:vAlign w:val="bottom"/>
            <w:tcBorders>
              <w:top w:val="single" w:sz="8" w:color="0000EE"/>
            </w:tcBorders>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1"/>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6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134620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gridSpan w:val="7"/>
          </w:tcPr>
          <w:p>
            <w:pPr>
              <w:ind w:left="220"/>
              <w:spacing w:after="0"/>
              <w:rPr>
                <w:sz w:val="20"/>
                <w:szCs w:val="20"/>
                <w:color w:val="auto"/>
              </w:rPr>
            </w:pPr>
            <w:r>
              <w:rPr>
                <w:rFonts w:ascii="Arial" w:cs="Arial" w:eastAsia="Arial" w:hAnsi="Arial"/>
                <w:sz w:val="14"/>
                <w:szCs w:val="14"/>
                <w:i w:val="1"/>
                <w:iCs w:val="1"/>
                <w:color w:val="auto"/>
                <w:w w:val="94"/>
              </w:rPr>
              <w:t>(Stated in millions, except per share amounts</w:t>
            </w:r>
            <w:r>
              <w:rPr>
                <w:rFonts w:ascii="Arial" w:cs="Arial" w:eastAsia="Arial" w:hAnsi="Arial"/>
                <w:sz w:val="14"/>
                <w:szCs w:val="14"/>
                <w:color w:val="auto"/>
                <w:w w:val="94"/>
              </w:rPr>
              <w:t>)</w:t>
            </w:r>
          </w:p>
        </w:tc>
      </w:tr>
      <w:tr>
        <w:trPr>
          <w:trHeight w:val="436"/>
        </w:trPr>
        <w:tc>
          <w:tcPr>
            <w:tcW w:w="4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b w:val="1"/>
                <w:bCs w:val="1"/>
                <w:color w:val="auto"/>
              </w:rPr>
              <w:t>Third Quarter</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FF0FC"/>
            </w:tcBorders>
          </w:tcPr>
          <w:p>
            <w:pPr>
              <w:spacing w:after="0"/>
              <w:rPr>
                <w:sz w:val="19"/>
                <w:szCs w:val="19"/>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0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840" w:type="dxa"/>
            <w:vAlign w:val="bottom"/>
          </w:tcPr>
          <w:p>
            <w:pPr>
              <w:ind w:left="240"/>
              <w:spacing w:after="0"/>
              <w:rPr>
                <w:sz w:val="20"/>
                <w:szCs w:val="20"/>
                <w:color w:val="auto"/>
              </w:rPr>
            </w:pPr>
            <w:r>
              <w:rPr>
                <w:rFonts w:ascii="Arial" w:cs="Arial" w:eastAsia="Arial" w:hAnsi="Arial"/>
                <w:sz w:val="18"/>
                <w:szCs w:val="18"/>
                <w:color w:val="auto"/>
              </w:rPr>
              <w:t>Services</w:t>
            </w:r>
          </w:p>
        </w:tc>
        <w:tc>
          <w:tcPr>
            <w:tcW w:w="1800" w:type="dxa"/>
            <w:vAlign w:val="bottom"/>
            <w:gridSpan w:val="2"/>
          </w:tcPr>
          <w:p>
            <w:pPr>
              <w:jc w:val="right"/>
              <w:ind w:right="59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6,345</w:t>
            </w:r>
          </w:p>
        </w:tc>
        <w:tc>
          <w:tcPr>
            <w:tcW w:w="240" w:type="dxa"/>
            <w:vAlign w:val="bottom"/>
          </w:tcPr>
          <w:p>
            <w:pPr>
              <w:spacing w:after="0"/>
              <w:rPr>
                <w:sz w:val="19"/>
                <w:szCs w:val="19"/>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5,763</w:t>
            </w:r>
          </w:p>
        </w:tc>
        <w:tc>
          <w:tcPr>
            <w:tcW w:w="48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18,222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10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2,159</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2,142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6,414</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FF0FC"/>
          </w:tcPr>
          <w:p>
            <w:pPr>
              <w:spacing w:after="0"/>
              <w:rPr>
                <w:sz w:val="19"/>
                <w:szCs w:val="19"/>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8,504</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7,905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24,636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22,261</w:t>
            </w: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10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r>
      <w:tr>
        <w:trPr>
          <w:trHeight w:val="225"/>
        </w:trPr>
        <w:tc>
          <w:tcPr>
            <w:tcW w:w="484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services</w:t>
            </w:r>
          </w:p>
        </w:tc>
        <w:tc>
          <w:tcPr>
            <w:tcW w:w="10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5,336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4,816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15,414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13,507</w:t>
            </w:r>
          </w:p>
        </w:tc>
        <w:tc>
          <w:tcPr>
            <w:tcW w:w="100" w:type="dxa"/>
            <w:vAlign w:val="bottom"/>
            <w:shd w:val="clear" w:color="auto" w:fill="CFF0FC"/>
          </w:tcPr>
          <w:p>
            <w:pPr>
              <w:spacing w:after="0"/>
              <w:rPr>
                <w:sz w:val="19"/>
                <w:szCs w:val="19"/>
                <w:color w:val="auto"/>
              </w:rPr>
            </w:pPr>
          </w:p>
        </w:tc>
      </w:tr>
      <w:tr>
        <w:trPr>
          <w:trHeight w:val="226"/>
        </w:trPr>
        <w:tc>
          <w:tcPr>
            <w:tcW w:w="484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1,988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10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177</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FF0FC"/>
          </w:tcPr>
          <w:p>
            <w:pPr>
              <w:spacing w:after="0"/>
              <w:rPr>
                <w:sz w:val="19"/>
                <w:szCs w:val="19"/>
                <w:color w:val="auto"/>
              </w:rPr>
            </w:pPr>
          </w:p>
        </w:tc>
      </w:tr>
      <w:tr>
        <w:trPr>
          <w:trHeight w:val="226"/>
        </w:trPr>
        <w:tc>
          <w:tcPr>
            <w:tcW w:w="484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Impairments &amp; other</w:t>
            </w:r>
          </w:p>
        </w:tc>
        <w:tc>
          <w:tcPr>
            <w:tcW w:w="10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r>
      <w:tr>
        <w:trPr>
          <w:trHeight w:val="226"/>
        </w:trPr>
        <w:tc>
          <w:tcPr>
            <w:tcW w:w="4840" w:type="dxa"/>
            <w:vAlign w:val="bottom"/>
          </w:tcPr>
          <w:p>
            <w:pPr>
              <w:ind w:left="240"/>
              <w:spacing w:after="0"/>
              <w:rPr>
                <w:sz w:val="20"/>
                <w:szCs w:val="20"/>
                <w:color w:val="auto"/>
              </w:rPr>
            </w:pPr>
            <w:r>
              <w:rPr>
                <w:rFonts w:ascii="Arial" w:cs="Arial" w:eastAsia="Arial" w:hAnsi="Arial"/>
                <w:sz w:val="18"/>
                <w:szCs w:val="18"/>
                <w:color w:val="auto"/>
              </w:rPr>
              <w:t>Merger &amp; integration</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10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147</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434</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8"/>
                <w:szCs w:val="18"/>
                <w:i w:val="1"/>
                <w:iCs w:val="1"/>
                <w:color w:val="auto"/>
              </w:rPr>
              <w:t>Income before taxes</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787</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1,976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expense</w:t>
            </w:r>
          </w:p>
        </w:tc>
        <w:tc>
          <w:tcPr>
            <w:tcW w:w="10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8"/>
                <w:szCs w:val="18"/>
                <w:i w:val="1"/>
                <w:iCs w:val="1"/>
                <w:color w:val="auto"/>
              </w:rPr>
              <w:t>Net income</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658</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1,628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59"/>
        </w:trPr>
        <w:tc>
          <w:tcPr>
            <w:tcW w:w="4840" w:type="dxa"/>
            <w:vAlign w:val="bottom"/>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20" w:type="dxa"/>
            <w:vAlign w:val="bottom"/>
          </w:tcPr>
          <w:p>
            <w:pPr>
              <w:spacing w:after="0"/>
              <w:rPr>
                <w:sz w:val="22"/>
                <w:szCs w:val="22"/>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240" w:type="dxa"/>
            <w:vAlign w:val="bottom"/>
          </w:tcPr>
          <w:p>
            <w:pPr>
              <w:spacing w:after="0"/>
              <w:rPr>
                <w:sz w:val="22"/>
                <w:szCs w:val="22"/>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22"/>
                <w:szCs w:val="22"/>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2"/>
                <w:szCs w:val="22"/>
                <w:color w:val="auto"/>
              </w:rPr>
            </w:pPr>
          </w:p>
        </w:tc>
      </w:tr>
      <w:tr>
        <w:trPr>
          <w:trHeight w:val="206"/>
        </w:trPr>
        <w:tc>
          <w:tcPr>
            <w:tcW w:w="48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66"/>
        </w:trPr>
        <w:tc>
          <w:tcPr>
            <w:tcW w:w="4840" w:type="dxa"/>
            <w:vAlign w:val="bottom"/>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800" w:type="dxa"/>
            <w:vAlign w:val="bottom"/>
            <w:gridSpan w:val="2"/>
          </w:tcPr>
          <w:p>
            <w:pPr>
              <w:jc w:val="right"/>
              <w:ind w:right="59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240" w:type="dxa"/>
            <w:vAlign w:val="bottom"/>
          </w:tcPr>
          <w:p>
            <w:pPr>
              <w:spacing w:after="0"/>
              <w:rPr>
                <w:sz w:val="23"/>
                <w:szCs w:val="23"/>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48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r>
      <w:tr>
        <w:trPr>
          <w:trHeight w:val="206"/>
        </w:trPr>
        <w:tc>
          <w:tcPr>
            <w:tcW w:w="48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6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800" w:type="dxa"/>
            <w:vAlign w:val="bottom"/>
            <w:gridSpan w:val="2"/>
          </w:tcPr>
          <w:p>
            <w:pPr>
              <w:jc w:val="right"/>
              <w:ind w:right="59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240" w:type="dxa"/>
            <w:vAlign w:val="bottom"/>
          </w:tcPr>
          <w:p>
            <w:pPr>
              <w:spacing w:after="0"/>
              <w:rPr>
                <w:sz w:val="23"/>
                <w:szCs w:val="23"/>
                <w:color w:val="auto"/>
              </w:rPr>
            </w:pP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48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r>
      <w:tr>
        <w:trPr>
          <w:trHeight w:val="206"/>
        </w:trPr>
        <w:tc>
          <w:tcPr>
            <w:tcW w:w="48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484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1,385</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1,385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FF0FC"/>
          </w:tcPr>
          <w:p>
            <w:pPr>
              <w:spacing w:after="0"/>
              <w:rPr>
                <w:sz w:val="19"/>
                <w:szCs w:val="19"/>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Assuming dilution</w:t>
            </w: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1,392</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08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3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8"/>
                <w:szCs w:val="18"/>
                <w:b w:val="1"/>
                <w:bCs w:val="1"/>
                <w:color w:val="auto"/>
              </w:rPr>
              <w:t>Third Quarter</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64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FF0FC"/>
            </w:tcBorders>
          </w:tcPr>
          <w:p>
            <w:pPr>
              <w:spacing w:after="0"/>
              <w:rPr>
                <w:sz w:val="19"/>
                <w:szCs w:val="19"/>
                <w:color w:val="auto"/>
              </w:rPr>
            </w:pPr>
          </w:p>
        </w:tc>
      </w:tr>
      <w:tr>
        <w:trPr>
          <w:trHeight w:val="21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1"/>
              <w:spacing w:after="0"/>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1,628</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r>
      <w:tr>
        <w:trPr>
          <w:trHeight w:val="225"/>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Unrealized net change arising during the period</w:t>
            </w: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(47)</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r>
      <w:tr>
        <w:trPr>
          <w:trHeight w:val="225"/>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Marketable securities</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Unrealized loss arising during the period</w:t>
            </w: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w:t>
            </w: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w:t>
            </w:r>
          </w:p>
        </w:tc>
        <w:tc>
          <w:tcPr>
            <w:tcW w:w="7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w:t>
            </w:r>
          </w:p>
        </w:tc>
      </w:tr>
      <w:tr>
        <w:trPr>
          <w:trHeight w:val="225"/>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Cash flow hedges</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gain (loss) on cash flow hedges</w:t>
            </w: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6"/>
        </w:trPr>
        <w:tc>
          <w:tcPr>
            <w:tcW w:w="5300" w:type="dxa"/>
            <w:vAlign w:val="bottom"/>
            <w:gridSpan w:val="2"/>
          </w:tcPr>
          <w:p>
            <w:pPr>
              <w:ind w:left="240"/>
              <w:spacing w:after="0"/>
              <w:rPr>
                <w:sz w:val="20"/>
                <w:szCs w:val="20"/>
                <w:color w:val="auto"/>
              </w:rPr>
            </w:pPr>
            <w:r>
              <w:rPr>
                <w:rFonts w:ascii="Arial" w:cs="Arial" w:eastAsia="Arial" w:hAnsi="Arial"/>
                <w:sz w:val="18"/>
                <w:szCs w:val="18"/>
                <w:color w:val="auto"/>
              </w:rPr>
              <w:t>Reclassification to net income of net realized (gain) loss</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6"/>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300" w:type="dxa"/>
            <w:vAlign w:val="bottom"/>
            <w:gridSpan w:val="2"/>
          </w:tcPr>
          <w:p>
            <w:pPr>
              <w:ind w:left="260"/>
              <w:spacing w:after="0"/>
              <w:rPr>
                <w:sz w:val="20"/>
                <w:szCs w:val="20"/>
                <w:color w:val="auto"/>
              </w:rPr>
            </w:pPr>
            <w:r>
              <w:rPr>
                <w:rFonts w:ascii="Arial" w:cs="Arial" w:eastAsia="Arial" w:hAnsi="Arial"/>
                <w:sz w:val="18"/>
                <w:szCs w:val="18"/>
                <w:color w:val="auto"/>
              </w:rPr>
              <w:t>Amortization to net income of net actuarial loss</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r>
      <w:tr>
        <w:trPr>
          <w:trHeight w:val="226"/>
        </w:trPr>
        <w:tc>
          <w:tcPr>
            <w:tcW w:w="3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Amortization to net income of net prior service</w:t>
            </w:r>
          </w:p>
        </w:tc>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shd w:val="clear" w:color="auto" w:fill="CFF0FC"/>
              </w:rPr>
              <w:t>(credit) cost</w:t>
            </w: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26"/>
        </w:trPr>
        <w:tc>
          <w:tcPr>
            <w:tcW w:w="5300" w:type="dxa"/>
            <w:vAlign w:val="bottom"/>
            <w:gridSpan w:val="2"/>
          </w:tcPr>
          <w:p>
            <w:pPr>
              <w:ind w:left="240"/>
              <w:spacing w:after="0"/>
              <w:rPr>
                <w:sz w:val="20"/>
                <w:szCs w:val="20"/>
                <w:color w:val="auto"/>
              </w:rPr>
            </w:pPr>
            <w:r>
              <w:rPr>
                <w:rFonts w:ascii="Arial" w:cs="Arial" w:eastAsia="Arial" w:hAnsi="Arial"/>
                <w:sz w:val="18"/>
                <w:szCs w:val="18"/>
                <w:color w:val="auto"/>
                <w:w w:val="99"/>
              </w:rPr>
              <w:t>Income taxes on pension and other postretirement benefit plans</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9"/>
        </w:trPr>
        <w:tc>
          <w:tcPr>
            <w:tcW w:w="5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i w:val="1"/>
                <w:iCs w:val="1"/>
                <w:color w:val="auto"/>
              </w:rPr>
              <w:t>Comprehensive income</w:t>
            </w:r>
          </w:p>
        </w:tc>
        <w:tc>
          <w:tcPr>
            <w:tcW w:w="5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649</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1,589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3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Comprehensive income attributable to noncontrolling interests</w:t>
            </w:r>
          </w:p>
        </w:tc>
        <w:tc>
          <w:tcPr>
            <w:tcW w:w="5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r>
      <w:tr>
        <w:trPr>
          <w:trHeight w:val="21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1"/>
              <w:spacing w:after="0"/>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635</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1,560</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FF0FC"/>
          </w:tcPr>
          <w:p>
            <w:pPr>
              <w:spacing w:after="0"/>
              <w:rPr>
                <w:sz w:val="19"/>
                <w:szCs w:val="19"/>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Sept. 30,</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Receivables less allowance for doubtful accounts (2018 - $245; 2017 - $241)</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8,409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4,108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16,483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11,739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25,134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8,930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70,046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9,419</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3,215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14,600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14,159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957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1,529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33,098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13,058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(3,924)</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31,712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(4,313)</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36,533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36,948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70,046</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ind w:left="37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4"/>
        </w:trPr>
        <w:tc>
          <w:tcPr>
            <w:tcW w:w="6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701"/>
              <w:spacing w:after="0"/>
              <w:rPr>
                <w:sz w:val="20"/>
                <w:szCs w:val="20"/>
                <w:color w:val="auto"/>
              </w:rPr>
            </w:pPr>
            <w:r>
              <w:rPr>
                <w:rFonts w:ascii="Arial" w:cs="Arial" w:eastAsia="Arial" w:hAnsi="Arial"/>
                <w:sz w:val="13"/>
                <w:szCs w:val="13"/>
                <w:b w:val="1"/>
                <w:bCs w:val="1"/>
                <w:color w:val="auto"/>
              </w:rPr>
              <w:t>Nine Months Ended 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520" w:type="dxa"/>
            <w:vAlign w:val="bottom"/>
          </w:tcPr>
          <w:p>
            <w:pPr>
              <w:spacing w:after="0"/>
              <w:rPr>
                <w:sz w:val="13"/>
                <w:szCs w:val="13"/>
                <w:color w:val="auto"/>
              </w:rPr>
            </w:pPr>
          </w:p>
        </w:tc>
        <w:tc>
          <w:tcPr>
            <w:tcW w:w="240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rPr>
              <w:t>2018</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621"/>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36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400" w:type="dxa"/>
            <w:vAlign w:val="bottom"/>
            <w:gridSpan w:val="2"/>
          </w:tcPr>
          <w:p>
            <w:pPr>
              <w:jc w:val="right"/>
              <w:ind w:right="89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1,628</w:t>
            </w:r>
          </w:p>
        </w:tc>
        <w:tc>
          <w:tcPr>
            <w:tcW w:w="30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Impairments and other charges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line="214"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(1)</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2,637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Pension and other postretirement benefits funding</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(69)</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Earnings of equity method investments, less dividends received</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(41)</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40"/>
              <w:spacing w:after="0" w:line="214"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Increase in receivables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(114)</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inventories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(68)</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Decrease (increase) in other current assets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other assets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(167)</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Decrease in accounts payable and accrued liabilities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(1,011)</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increase in estimated liability for taxes on income</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(32)</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600"/>
              <w:spacing w:after="0"/>
              <w:rPr>
                <w:sz w:val="20"/>
                <w:szCs w:val="20"/>
                <w:color w:val="auto"/>
              </w:rPr>
            </w:pPr>
            <w:r>
              <w:rPr>
                <w:rFonts w:ascii="Arial" w:cs="Arial" w:eastAsia="Arial" w:hAnsi="Arial"/>
                <w:sz w:val="16"/>
                <w:szCs w:val="16"/>
                <w:color w:val="auto"/>
              </w:rPr>
              <w:t>Decrease in other liabilities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Other</w:t>
            </w:r>
          </w:p>
        </w:tc>
        <w:tc>
          <w:tcPr>
            <w:tcW w:w="136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3,382</w:t>
            </w:r>
          </w:p>
        </w:tc>
        <w:tc>
          <w:tcPr>
            <w:tcW w:w="3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(1,539)</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SPM investments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(719)</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Multiclient seismic data costs capitalized</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(63)</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Business acquisitions and investments, net of cash acquired</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(290)</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Sale of investments, net</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1,922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(36)</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4"/>
        </w:trPr>
        <w:tc>
          <w:tcPr>
            <w:tcW w:w="6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(USED IN) PROVIDED BY INVESTING ACTIVITIES</w:t>
            </w:r>
          </w:p>
        </w:tc>
        <w:tc>
          <w:tcPr>
            <w:tcW w:w="136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w:t>
            </w:r>
          </w:p>
        </w:tc>
        <w:tc>
          <w:tcPr>
            <w:tcW w:w="3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(2,077)</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Stock repurchase program</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(300)</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Repayment of long-term debt</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(900)</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10"/>
        </w:trPr>
        <w:tc>
          <w:tcPr>
            <w:tcW w:w="6520" w:type="dxa"/>
            <w:vAlign w:val="bottom"/>
          </w:tcPr>
          <w:p>
            <w:pPr>
              <w:ind w:left="360"/>
              <w:spacing w:after="0"/>
              <w:rPr>
                <w:sz w:val="20"/>
                <w:szCs w:val="20"/>
                <w:color w:val="auto"/>
              </w:rPr>
            </w:pPr>
            <w:r>
              <w:rPr>
                <w:rFonts w:ascii="Arial" w:cs="Arial" w:eastAsia="Arial" w:hAnsi="Arial"/>
                <w:sz w:val="16"/>
                <w:szCs w:val="16"/>
                <w:color w:val="auto"/>
              </w:rPr>
              <w:t>Net decrease in short-term borrowings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(103)</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(47)</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1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(2,951)</w:t>
            </w:r>
          </w:p>
        </w:tc>
        <w:tc>
          <w:tcPr>
            <w:tcW w:w="3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(5,311)</w:t>
            </w:r>
          </w:p>
        </w:tc>
        <w:tc>
          <w:tcPr>
            <w:tcW w:w="0" w:type="dxa"/>
            <w:vAlign w:val="bottom"/>
          </w:tcPr>
          <w:p>
            <w:pPr>
              <w:spacing w:after="0"/>
              <w:rPr>
                <w:sz w:val="1"/>
                <w:szCs w:val="1"/>
                <w:color w:val="auto"/>
              </w:rPr>
            </w:pPr>
          </w:p>
        </w:tc>
      </w:tr>
      <w:tr>
        <w:trPr>
          <w:trHeight w:val="20"/>
        </w:trPr>
        <w:tc>
          <w:tcPr>
            <w:tcW w:w="65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before translation effect</w:t>
            </w:r>
          </w:p>
        </w:tc>
        <w:tc>
          <w:tcPr>
            <w:tcW w:w="1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(294)</w:t>
            </w:r>
          </w:p>
        </w:tc>
        <w:tc>
          <w:tcPr>
            <w:tcW w:w="3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(12)</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36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1,799</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20" w:type="dxa"/>
            <w:vAlign w:val="bottom"/>
          </w:tcPr>
          <w:p>
            <w:pPr>
              <w:spacing w:after="0"/>
              <w:rPr>
                <w:sz w:val="20"/>
                <w:szCs w:val="20"/>
                <w:color w:val="auto"/>
              </w:rPr>
            </w:pPr>
            <w:r>
              <w:rPr>
                <w:rFonts w:ascii="Arial" w:cs="Arial" w:eastAsia="Arial" w:hAnsi="Arial"/>
                <w:sz w:val="16"/>
                <w:szCs w:val="16"/>
                <w:color w:val="auto"/>
              </w:rPr>
              <w:t>Cash, end of period</w:t>
            </w:r>
          </w:p>
        </w:tc>
        <w:tc>
          <w:tcPr>
            <w:tcW w:w="1360" w:type="dxa"/>
            <w:vAlign w:val="bottom"/>
          </w:tcPr>
          <w:p>
            <w:pPr>
              <w:spacing w:after="0"/>
              <w:rPr>
                <w:sz w:val="17"/>
                <w:szCs w:val="17"/>
                <w:color w:val="auto"/>
              </w:rPr>
            </w:pPr>
          </w:p>
        </w:tc>
        <w:tc>
          <w:tcPr>
            <w:tcW w:w="1040" w:type="dxa"/>
            <w:vAlign w:val="bottom"/>
            <w:tcBorders>
              <w:bottom w:val="single" w:sz="8" w:color="auto"/>
            </w:tcBorders>
          </w:tcPr>
          <w:p>
            <w:pPr>
              <w:jc w:val="right"/>
              <w:ind w:right="89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280" w:hanging="194"/>
        <w:spacing w:after="0"/>
        <w:tabs>
          <w:tab w:leader="none" w:pos="280" w:val="left"/>
        </w:tabs>
        <w:numPr>
          <w:ilvl w:val="0"/>
          <w:numId w:val="1"/>
        </w:numPr>
        <w:rPr>
          <w:rFonts w:ascii="Arial" w:cs="Arial" w:eastAsia="Arial" w:hAnsi="Arial"/>
          <w:sz w:val="23"/>
          <w:szCs w:val="23"/>
          <w:color w:val="auto"/>
          <w:vertAlign w:val="superscript"/>
        </w:rPr>
      </w:pPr>
      <w:r>
        <w:rPr>
          <w:rFonts w:ascii="Arial" w:cs="Arial" w:eastAsia="Arial" w:hAnsi="Arial"/>
          <w:sz w:val="15"/>
          <w:szCs w:val="15"/>
          <w:color w:val="auto"/>
        </w:rPr>
        <w:t>Includes depreciation of property, plant and equipment and amortization of intangible assets, multiclient seismic data costs and SPM investments.</w:t>
      </w:r>
    </w:p>
    <w:p>
      <w:pPr>
        <w:spacing w:after="0" w:line="22" w:lineRule="exact"/>
        <w:rPr>
          <w:rFonts w:ascii="Arial" w:cs="Arial" w:eastAsia="Arial" w:hAnsi="Arial"/>
          <w:sz w:val="23"/>
          <w:szCs w:val="23"/>
          <w:color w:val="auto"/>
          <w:vertAlign w:val="superscript"/>
        </w:rPr>
      </w:pPr>
    </w:p>
    <w:p>
      <w:pPr>
        <w:ind w:left="280" w:hanging="194"/>
        <w:spacing w:after="0" w:line="180" w:lineRule="auto"/>
        <w:tabs>
          <w:tab w:leader="none" w:pos="2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66040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00"/>
          </w:cols>
          <w:pgMar w:left="160" w:top="360" w:right="239" w:bottom="1440" w:gutter="0" w:footer="0" w:header="0"/>
        </w:sectPr>
      </w:pPr>
    </w:p>
    <w:bookmarkStart w:id="6" w:name="page7"/>
    <w:bookmarkEnd w:id="6"/>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120"/>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6"/>
          </w:tcPr>
          <w:p>
            <w:pPr>
              <w:ind w:left="40"/>
              <w:spacing w:after="0"/>
              <w:rPr>
                <w:sz w:val="20"/>
                <w:szCs w:val="20"/>
                <w:color w:val="auto"/>
              </w:rPr>
            </w:pPr>
            <w:r>
              <w:rPr>
                <w:rFonts w:ascii="Arial" w:cs="Arial" w:eastAsia="Arial" w:hAnsi="Arial"/>
                <w:sz w:val="14"/>
                <w:szCs w:val="14"/>
                <w:i w:val="1"/>
                <w:iCs w:val="1"/>
                <w:color w:val="auto"/>
                <w:w w:val="95"/>
              </w:rPr>
              <w:t>(Stated in millions)</w:t>
            </w:r>
          </w:p>
        </w:tc>
      </w:tr>
      <w:tr>
        <w:trPr>
          <w:trHeight w:val="29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260" w:type="dxa"/>
            <w:vAlign w:val="bottom"/>
            <w:gridSpan w:val="5"/>
          </w:tcPr>
          <w:p>
            <w:pPr>
              <w:ind w:left="60"/>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2018 – September 30, 2018</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8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w w:val="95"/>
              </w:rPr>
              <w:t>In Treasury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60"/>
              <w:spacing w:after="0" w:line="153" w:lineRule="exact"/>
              <w:rPr>
                <w:sz w:val="20"/>
                <w:szCs w:val="20"/>
                <w:color w:val="auto"/>
              </w:rPr>
            </w:pPr>
            <w:r>
              <w:rPr>
                <w:rFonts w:ascii="Arial" w:cs="Arial" w:eastAsia="Arial" w:hAnsi="Arial"/>
                <w:sz w:val="14"/>
                <w:szCs w:val="14"/>
                <w:b w:val="1"/>
                <w:bCs w:val="1"/>
                <w:color w:val="auto"/>
                <w:w w:val="96"/>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80"/>
              <w:spacing w:after="0" w:line="153" w:lineRule="exact"/>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2018</w:t>
            </w:r>
          </w:p>
        </w:tc>
        <w:tc>
          <w:tcPr>
            <w:tcW w:w="22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12,975</w:t>
            </w: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(4,049)</w:t>
            </w: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32,190</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(4,274)</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419</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37,261</w:t>
            </w:r>
          </w:p>
        </w:tc>
        <w:tc>
          <w:tcPr>
            <w:tcW w:w="20" w:type="dxa"/>
            <w:vAlign w:val="bottom"/>
            <w:tcBorders>
              <w:top w:val="single" w:sz="8" w:color="CFF0FC"/>
            </w:tcBorders>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1,599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1,628</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(128)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(132</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(8</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(37)</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66</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29</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(63)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(67)</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294</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227</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259</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259</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Dividends declared ($1.50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(2,077)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(2,077</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(36</w:t>
            </w:r>
          </w:p>
        </w:tc>
        <w:tc>
          <w:tcPr>
            <w:tcW w:w="20" w:type="dxa"/>
            <w:vAlign w:val="bottom"/>
            <w:shd w:val="clear" w:color="auto" w:fill="CFF0FC"/>
          </w:tcPr>
          <w:p>
            <w:pPr>
              <w:spacing w:after="0"/>
              <w:rPr>
                <w:sz w:val="13"/>
                <w:szCs w:val="13"/>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color w:val="auto"/>
              </w:rPr>
              <w:t>Balance, September 30, 2018</w:t>
            </w:r>
          </w:p>
        </w:tc>
        <w:tc>
          <w:tcPr>
            <w:tcW w:w="22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13,058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(3,924)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31,712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(4,313)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36,948</w:t>
            </w:r>
          </w:p>
        </w:tc>
        <w:tc>
          <w:tcPr>
            <w:tcW w:w="20" w:type="dxa"/>
            <w:vAlign w:val="bottom"/>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i w:val="1"/>
                <w:iCs w:val="1"/>
                <w:color w:val="auto"/>
                <w:w w:val="92"/>
              </w:rPr>
              <w:t>(Stated in million</w:t>
            </w:r>
          </w:p>
        </w:tc>
      </w:tr>
      <w:tr>
        <w:trPr>
          <w:trHeight w:val="29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2017 – September 30, 2017</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6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380"/>
              <w:spacing w:after="0" w:line="153" w:lineRule="exact"/>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2017</w:t>
            </w:r>
          </w:p>
        </w:tc>
        <w:tc>
          <w:tcPr>
            <w:tcW w:w="220" w:type="dxa"/>
            <w:vAlign w:val="bottom"/>
            <w:tcBorders>
              <w:top w:val="single" w:sz="8" w:color="auto"/>
            </w:tcBorders>
            <w:gridSpan w:val="2"/>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12,801</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(3,550)</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36,470</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(4,643)</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451</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gridSpan w:val="3"/>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41,52</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749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75</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49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4</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(39)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88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4</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(98)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(52)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264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21</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(868)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(86</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261</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26</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Dividends declared ($1.50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(2,083)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(2,08</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(10)</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(23)</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color w:val="auto"/>
              </w:rPr>
              <w:t>Balance, September 30, 2017</w:t>
            </w:r>
          </w:p>
        </w:tc>
        <w:tc>
          <w:tcPr>
            <w:tcW w:w="20" w:type="dxa"/>
            <w:vAlign w:val="bottom"/>
          </w:tcPr>
          <w:p>
            <w:pPr>
              <w:spacing w:after="0"/>
              <w:rPr>
                <w:sz w:val="13"/>
                <w:szCs w:val="13"/>
                <w:color w:val="auto"/>
              </w:rPr>
            </w:pPr>
          </w:p>
        </w:tc>
        <w:tc>
          <w:tcPr>
            <w:tcW w:w="200" w:type="dxa"/>
            <w:vAlign w:val="bottom"/>
            <w:tcBorders>
              <w:top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12,863</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(3,966)</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color w:val="auto"/>
              </w:rPr>
              <w:t>35,136</w:t>
            </w: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(4,460)</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40,01</w:t>
            </w: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65"/>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0"/>
        </w:trPr>
        <w:tc>
          <w:tcPr>
            <w:tcW w:w="67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Issued</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 Treasury</w:t>
            </w: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FF0FC"/>
            </w:tcBorders>
          </w:tcPr>
          <w:p>
            <w:pPr>
              <w:spacing w:after="0"/>
              <w:rPr>
                <w:sz w:val="20"/>
                <w:szCs w:val="20"/>
                <w:color w:val="auto"/>
              </w:rPr>
            </w:pPr>
          </w:p>
        </w:tc>
      </w:tr>
      <w:tr>
        <w:trPr>
          <w:trHeight w:val="22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67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Balance, September 30, 2018</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360" w:right="139" w:bottom="1440" w:gutter="0" w:footer="0" w:header="0"/>
        </w:sectPr>
      </w:pPr>
    </w:p>
    <w:bookmarkStart w:id="7" w:name="page8"/>
    <w:bookmarkEnd w:id="7"/>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2018 are not necessarily indicative of the results that may be expected for the full year ending December 31, 2018. The December 31, 2017 balance sheet information has been derived from the Schlumberger 2017 audited financial statements. For further information, refer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and notes thereto included in the Schlumberger Annual Report on Form 10-K for the year ended December 31, 2017,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Securities and Exchange Commission on January 24, 2018.</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This ASU amended the existing accounting standards for revenue recognition and requires companies to recognize revenue when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promised goods or services is transferred to a customer at an amount that reflects the consideration a company expects to receive in exchange for those goods or services. Schlumberger adopted this ASU on January 1, 2018 using the modified retrospective transition method applied to those contracts which were not completed as of January 1, 2018. Prior period amounts have not been adjusted and continue to be reflected in accordance with Schlumberger’s historical accounting. The adoption of this ASU did not have a material impact on Schlumberger’s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recognizes revenue upon the transfer of control of promised products or services to customers at an amount that reflects the consideration it expects to receive in exchange for these products or services. The vast majority of Schlumberger’s services and product offerings are short-term in nature. The time between invoicing and when payment is due under these arrangements is generally 30 to 60 days.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occasionally generated from contractual arrangements that include multiple performance obligations. Revenue from these arrangements is allocated to each performance obligation based on its relative standalone selling price. Standalone selling prices are generally determined based on the prices charged to customers or using expected costs plus margin.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 xml:space="preserve">Revenue in excess of billings related to contracts where revenue is recognized over time was $0.2 billion at September 30, 2018 and $0.3 billion at December 31, 2017. Such amounts are included within </w:t>
      </w:r>
      <w:r>
        <w:rPr>
          <w:rFonts w:ascii="Arial" w:cs="Arial" w:eastAsia="Arial" w:hAnsi="Arial"/>
          <w:sz w:val="17"/>
          <w:szCs w:val="17"/>
          <w:i w:val="1"/>
          <w:iCs w:val="1"/>
          <w:color w:val="auto"/>
        </w:rPr>
        <w:t>Receivables less allowance for doubtful accounts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$2.5 billion at September 30, 2018, of which approximately 59% is expected to be recognized as revenue over the next 12 months.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Billings and cash collections in excess of revenue was $0.8 billion at both September 30, 2018 and December 31, 2017. Such amounts are included within </w:t>
      </w: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lessees to recognize a right of use asset and lease liability on the balance sheet for all leases, with the exception of short-term leases. This ASU is effective for Schlumberger 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spacing w:after="0" w:line="266" w:lineRule="auto"/>
        <w:rPr>
          <w:sz w:val="20"/>
          <w:szCs w:val="20"/>
          <w:color w:val="auto"/>
        </w:rPr>
      </w:pPr>
      <w:r>
        <w:rPr>
          <w:rFonts w:ascii="Arial" w:cs="Arial" w:eastAsia="Arial" w:hAnsi="Arial"/>
          <w:sz w:val="18"/>
          <w:szCs w:val="18"/>
          <w:color w:val="auto"/>
        </w:rPr>
        <w:t xml:space="preserve">January 1, 2019, with early adoption permitted. Based on its current lease portfolio, Schlumberger estimates that the adoption of this ASU will result in approximately $1.2 billion of additional assets and liabilities being reflected on its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79" w:lineRule="exact"/>
        <w:rPr>
          <w:sz w:val="20"/>
          <w:szCs w:val="20"/>
          <w:color w:val="auto"/>
        </w:rPr>
      </w:pPr>
    </w:p>
    <w:p>
      <w:pPr>
        <w:ind w:right="9580" w:firstLine="6"/>
        <w:spacing w:after="0" w:line="373" w:lineRule="auto"/>
        <w:tabs>
          <w:tab w:leader="none" w:pos="2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Charges and Credits </w:t>
      </w:r>
      <w:r>
        <w:rPr>
          <w:rFonts w:ascii="Arial" w:cs="Arial" w:eastAsia="Arial" w:hAnsi="Arial"/>
          <w:sz w:val="18"/>
          <w:szCs w:val="18"/>
          <w:b w:val="1"/>
          <w:bCs w:val="1"/>
          <w:color w:val="auto"/>
        </w:rPr>
        <w:t>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and third quarters of 2018.</w:t>
      </w:r>
    </w:p>
    <w:p>
      <w:pPr>
        <w:spacing w:after="0" w:line="112"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 xml:space="preserve">During the second quarter of 2018, Schlumberger recorded a $184 million pretax charge ($164 million after-tax) associated with headcount reductions, primarily to further streamline its support cost structure. This charge is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nine months of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2017:</w:t>
      </w:r>
    </w:p>
    <w:p>
      <w:pPr>
        <w:spacing w:after="0" w:line="152" w:lineRule="exact"/>
        <w:rPr>
          <w:sz w:val="20"/>
          <w:szCs w:val="20"/>
          <w:color w:val="auto"/>
        </w:rPr>
      </w:pPr>
    </w:p>
    <w:p>
      <w:pPr>
        <w:jc w:val="both"/>
        <w:ind w:left="760" w:hanging="382"/>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connection with Schlumberger’s 2016 acquisition of Cameron International Corporation (“Cameron”), Schlumberger recorded $49 million of charges consisting of employee benefits, facility consolidation and other merger and integration-related costs. These charges are classified in </w:t>
      </w:r>
      <w:r>
        <w:rPr>
          <w:rFonts w:ascii="Arial" w:cs="Arial" w:eastAsia="Arial" w:hAnsi="Arial"/>
          <w:sz w:val="18"/>
          <w:szCs w:val="18"/>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&amp; integration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2017:</w:t>
      </w:r>
    </w:p>
    <w:p>
      <w:pPr>
        <w:spacing w:after="0" w:line="112" w:lineRule="exact"/>
        <w:rPr>
          <w:sz w:val="20"/>
          <w:szCs w:val="20"/>
          <w:color w:val="auto"/>
        </w:rPr>
      </w:pPr>
    </w:p>
    <w:p>
      <w:pPr>
        <w:jc w:val="both"/>
        <w:ind w:left="760" w:hanging="382"/>
        <w:spacing w:after="0" w:line="26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During the second quarter of 2017, Schlumberger entered into a financing agreement with its primary customer in Venezuela. This agreement resulted in the exchange of $700 million of outstanding accounts receivable for a promissory note with a three-year term that bears interest at the rate of 6.50% per annum. Schlumberger recorded this note at its estimated fair value on the date of the exchange, which resulted in a charge of $460 million. Schlumberger is accounting for the promissory note as an available-for-sale security reported at fair value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with unrealized gains and losses included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The fair value of the promissory notes was based on management’s estimate of pricing assumptions that market participants would use.</w:t>
      </w:r>
    </w:p>
    <w:p>
      <w:pPr>
        <w:spacing w:after="0" w:line="178" w:lineRule="exact"/>
        <w:rPr>
          <w:rFonts w:ascii="Arial" w:cs="Arial" w:eastAsia="Arial" w:hAnsi="Arial"/>
          <w:sz w:val="17"/>
          <w:szCs w:val="17"/>
          <w:color w:val="auto"/>
        </w:rPr>
      </w:pPr>
    </w:p>
    <w:p>
      <w:pPr>
        <w:jc w:val="both"/>
        <w:ind w:left="760"/>
        <w:spacing w:after="0" w:line="256" w:lineRule="auto"/>
        <w:rPr>
          <w:rFonts w:ascii="Arial" w:cs="Arial" w:eastAsia="Arial" w:hAnsi="Arial"/>
          <w:sz w:val="17"/>
          <w:szCs w:val="17"/>
          <w:color w:val="auto"/>
        </w:rPr>
      </w:pPr>
      <w:r>
        <w:rPr>
          <w:rFonts w:ascii="Arial" w:cs="Arial" w:eastAsia="Arial" w:hAnsi="Arial"/>
          <w:sz w:val="18"/>
          <w:szCs w:val="18"/>
          <w:color w:val="auto"/>
        </w:rPr>
        <w:t>During the second quarter of 2017, Schlumberger also entered into discussions with another customer relating to certain of its outstanding accounts receivable. As a result of those discussions, Schlumberger recorded a charge of $50 million to adjust these receivables to their estimated net realizable value.</w:t>
      </w:r>
    </w:p>
    <w:p>
      <w:pPr>
        <w:spacing w:after="0" w:line="188"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 xml:space="preserve">These charges are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111" w:lineRule="exact"/>
        <w:rPr>
          <w:rFonts w:ascii="Arial" w:cs="Arial" w:eastAsia="Arial" w:hAnsi="Arial"/>
          <w:sz w:val="17"/>
          <w:szCs w:val="17"/>
          <w:color w:val="auto"/>
        </w:rPr>
      </w:pPr>
    </w:p>
    <w:p>
      <w:pPr>
        <w:jc w:val="both"/>
        <w:ind w:left="760" w:hanging="382"/>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connection with Schlumberger’s 2016 acquisition of Cameron, Schlumberger recorded $81 million of charges consisting of employee benefits, facility consolidation and other merger and integration-related costs. These charges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2017:</w:t>
      </w:r>
    </w:p>
    <w:p>
      <w:pPr>
        <w:spacing w:after="0" w:line="112" w:lineRule="exact"/>
        <w:rPr>
          <w:sz w:val="20"/>
          <w:szCs w:val="20"/>
          <w:color w:val="auto"/>
        </w:rPr>
      </w:pPr>
    </w:p>
    <w:p>
      <w:pPr>
        <w:jc w:val="both"/>
        <w:ind w:left="760" w:hanging="382"/>
        <w:spacing w:after="0" w:line="25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connection with Schlumberger’s acquisition of Cameron, Schlumberger recorded $82 million of charges during the first quarter of 2017 relating to employee benefits, facility closures and other merger and integration-related costs. These charges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first nine months of 2017:</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5"/>
        </w:trPr>
        <w:tc>
          <w:tcPr>
            <w:tcW w:w="4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Noncontrolling</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464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Tax</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8"/>
              </w:rPr>
              <w:t>Interests</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FF0FC"/>
            </w:tcBorders>
          </w:tcPr>
          <w:p>
            <w:pPr>
              <w:spacing w:after="0"/>
              <w:rPr>
                <w:sz w:val="19"/>
                <w:szCs w:val="19"/>
                <w:color w:val="auto"/>
              </w:rPr>
            </w:pPr>
          </w:p>
        </w:tc>
      </w:tr>
      <w:tr>
        <w:trPr>
          <w:trHeight w:val="22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Promissory note fair value adjustment and other</w:t>
            </w:r>
          </w:p>
        </w:tc>
        <w:tc>
          <w:tcPr>
            <w:tcW w:w="208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510</w:t>
            </w:r>
          </w:p>
        </w:tc>
        <w:tc>
          <w:tcPr>
            <w:tcW w:w="108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FF0FC"/>
          </w:tcPr>
          <w:p>
            <w:pPr>
              <w:spacing w:after="0"/>
              <w:rPr>
                <w:sz w:val="19"/>
                <w:szCs w:val="19"/>
                <w:color w:val="auto"/>
              </w:rPr>
            </w:pPr>
          </w:p>
        </w:tc>
      </w:tr>
      <w:tr>
        <w:trPr>
          <w:trHeight w:val="225"/>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Merger &amp; integration</w:t>
            </w:r>
          </w:p>
        </w:tc>
        <w:tc>
          <w:tcPr>
            <w:tcW w:w="1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w:t>
            </w:r>
          </w:p>
        </w:tc>
        <w:tc>
          <w:tcPr>
            <w:tcW w:w="2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FF0FC"/>
            </w:tcBorders>
          </w:tcPr>
          <w:p>
            <w:pPr>
              <w:spacing w:after="0"/>
              <w:rPr>
                <w:sz w:val="19"/>
                <w:szCs w:val="19"/>
                <w:color w:val="auto"/>
              </w:rPr>
            </w:pPr>
          </w:p>
        </w:tc>
      </w:tr>
      <w:tr>
        <w:trPr>
          <w:trHeight w:val="219"/>
        </w:trPr>
        <w:tc>
          <w:tcPr>
            <w:tcW w:w="464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723</w:t>
            </w:r>
          </w:p>
        </w:tc>
        <w:tc>
          <w:tcPr>
            <w:tcW w:w="108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4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FF0FC"/>
          </w:tcPr>
          <w:p>
            <w:pPr>
              <w:spacing w:after="0"/>
              <w:rPr>
                <w:sz w:val="19"/>
                <w:szCs w:val="19"/>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left="760" w:hanging="382"/>
        <w:spacing w:after="0" w:line="256"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22, 2017, the US enacted the Tax Cuts and Jobs Act (the “Act”). The Act, which is also commonly referred to as “US tax reform,” significantly changed US corporate income tax laws by, among other things, reducing the US corporate income tax rate to 21% starting in 2018 and creating a territorial tax system with a one-time mandatory tax on previously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9" w:name="page10"/>
    <w:bookmarkEnd w:id="9"/>
    <w:p>
      <w:pPr>
        <w:jc w:val="both"/>
        <w:ind w:left="760" w:right="20"/>
        <w:spacing w:after="0" w:line="272" w:lineRule="auto"/>
        <w:rPr>
          <w:sz w:val="20"/>
          <w:szCs w:val="20"/>
          <w:color w:val="auto"/>
        </w:rPr>
      </w:pPr>
      <w:r>
        <w:rPr>
          <w:rFonts w:ascii="Arial" w:cs="Arial" w:eastAsia="Arial" w:hAnsi="Arial"/>
          <w:sz w:val="17"/>
          <w:szCs w:val="17"/>
          <w:color w:val="auto"/>
        </w:rPr>
        <w:t>deferred foreign earnings of US subsidiaries. As a result, Schlumberger recorded a net charge of $76 million during the fourth quarter of 2017. This amount consisted of two components: (i) a $410 million charge relating to the one-time mandatory tax on previously deferred earnings of certain non-US subsidiaries that are owned either wholly or partially by a US subsidiary of Schlumberger, and (ii) a $334 million credit resulting from the remeasurement of Schlumberger’s net deferred tax liabilities in the US based on the new lower corporate income tax rate.</w:t>
      </w:r>
    </w:p>
    <w:p>
      <w:pPr>
        <w:spacing w:after="0" w:line="177" w:lineRule="exact"/>
        <w:rPr>
          <w:sz w:val="20"/>
          <w:szCs w:val="20"/>
          <w:color w:val="auto"/>
        </w:rPr>
      </w:pPr>
    </w:p>
    <w:p>
      <w:pPr>
        <w:jc w:val="both"/>
        <w:ind w:left="760" w:right="20"/>
        <w:spacing w:after="0" w:line="251" w:lineRule="auto"/>
        <w:rPr>
          <w:sz w:val="20"/>
          <w:szCs w:val="20"/>
          <w:color w:val="auto"/>
        </w:rPr>
      </w:pPr>
      <w:r>
        <w:rPr>
          <w:rFonts w:ascii="Arial" w:cs="Arial" w:eastAsia="Arial" w:hAnsi="Arial"/>
          <w:sz w:val="18"/>
          <w:szCs w:val="18"/>
          <w:color w:val="auto"/>
        </w:rPr>
        <w:t xml:space="preserve">Although the $76 million net charge represents a reasonable estimate of the impact of the income tax effects of the Act on Schlumberger’s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as of December 31, 2017, it should be considered provisional. Once Schlumberger finalizes certain tax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it will be able to conclude whether any further adjustments are required. Any adjustments to these provisional amounts will be reported as a component of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in the reporting period in which any such adjustments are determined, which will be no later than the fourth quarter of 2018.</w:t>
      </w:r>
    </w:p>
    <w:p>
      <w:pPr>
        <w:spacing w:after="0" w:line="294" w:lineRule="exact"/>
        <w:rPr>
          <w:sz w:val="20"/>
          <w:szCs w:val="20"/>
          <w:color w:val="auto"/>
        </w:rPr>
      </w:pPr>
    </w:p>
    <w:p>
      <w:pPr>
        <w:ind w:left="280" w:hanging="274"/>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6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5"/>
              </w:rPr>
              <w:t>(Stated in millions, except per share amounts)</w:t>
            </w:r>
          </w:p>
        </w:tc>
      </w:tr>
      <w:tr>
        <w:trPr>
          <w:trHeight w:val="421"/>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color w:val="auto"/>
                <w:w w:val="89"/>
              </w:rPr>
              <w:t>2017</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5"/>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Schlumberger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Earnings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color w:val="auto"/>
                <w:w w:val="82"/>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Earnings per</w:t>
            </w:r>
          </w:p>
        </w:tc>
      </w:tr>
      <w:tr>
        <w:trPr>
          <w:trHeight w:val="211"/>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Net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4"/>
              <w:spacing w:after="0"/>
              <w:rPr>
                <w:sz w:val="20"/>
                <w:szCs w:val="20"/>
                <w:color w:val="auto"/>
              </w:rPr>
            </w:pPr>
            <w:r>
              <w:rPr>
                <w:rFonts w:ascii="Arial" w:cs="Arial" w:eastAsia="Arial" w:hAnsi="Arial"/>
                <w:sz w:val="16"/>
                <w:szCs w:val="16"/>
                <w:color w:val="auto"/>
                <w:w w:val="90"/>
              </w:rPr>
              <w:t>Net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color w:val="auto"/>
                <w:w w:val="90"/>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Share</w:t>
            </w:r>
          </w:p>
        </w:tc>
      </w:tr>
      <w:tr>
        <w:trPr>
          <w:trHeight w:val="202"/>
        </w:trPr>
        <w:tc>
          <w:tcPr>
            <w:tcW w:w="110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3"/>
              </w:rPr>
              <w:t>Third Quarter</w:t>
            </w:r>
          </w:p>
        </w:tc>
        <w:tc>
          <w:tcPr>
            <w:tcW w:w="1740" w:type="dxa"/>
            <w:vAlign w:val="bottom"/>
            <w:tcBorders>
              <w:top w:val="single" w:sz="8" w:color="CFF0FC"/>
              <w:bottom w:val="single" w:sz="8" w:color="CFF0FC"/>
            </w:tcBorders>
            <w:shd w:val="clear" w:color="auto" w:fill="CFF0FC"/>
          </w:tcPr>
          <w:p>
            <w:pPr>
              <w:spacing w:after="0"/>
              <w:rPr>
                <w:sz w:val="17"/>
                <w:szCs w:val="17"/>
                <w:color w:val="auto"/>
              </w:rPr>
            </w:pP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6"/>
        </w:trPr>
        <w:tc>
          <w:tcPr>
            <w:tcW w:w="2840" w:type="dxa"/>
            <w:vAlign w:val="bottom"/>
            <w:gridSpan w:val="3"/>
          </w:tcPr>
          <w:p>
            <w:pPr>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r>
      <w:tr>
        <w:trPr>
          <w:trHeight w:val="206"/>
        </w:trPr>
        <w:tc>
          <w:tcPr>
            <w:tcW w:w="284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2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0.46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r>
      <w:tr>
        <w:trPr>
          <w:trHeight w:val="20"/>
        </w:trPr>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42"/>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color w:val="auto"/>
                <w:w w:val="89"/>
              </w:rPr>
              <w:t>2017</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5"/>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6"/>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Schlumberger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Earnings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right="1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color w:val="auto"/>
                <w:w w:val="82"/>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Earnings per</w:t>
            </w:r>
          </w:p>
        </w:tc>
      </w:tr>
      <w:tr>
        <w:trPr>
          <w:trHeight w:val="211"/>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Net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4"/>
              <w:spacing w:after="0"/>
              <w:rPr>
                <w:sz w:val="20"/>
                <w:szCs w:val="20"/>
                <w:color w:val="auto"/>
              </w:rPr>
            </w:pPr>
            <w:r>
              <w:rPr>
                <w:rFonts w:ascii="Arial" w:cs="Arial" w:eastAsia="Arial" w:hAnsi="Arial"/>
                <w:sz w:val="16"/>
                <w:szCs w:val="16"/>
                <w:color w:val="auto"/>
                <w:w w:val="90"/>
              </w:rPr>
              <w:t>Net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Arial" w:cs="Arial" w:eastAsia="Arial" w:hAnsi="Arial"/>
                <w:sz w:val="16"/>
                <w:szCs w:val="16"/>
                <w:color w:val="auto"/>
                <w:w w:val="90"/>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Share</w:t>
            </w:r>
          </w:p>
        </w:tc>
      </w:tr>
      <w:tr>
        <w:trPr>
          <w:trHeight w:val="202"/>
        </w:trPr>
        <w:tc>
          <w:tcPr>
            <w:tcW w:w="9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Nine Months</w:t>
            </w:r>
          </w:p>
        </w:tc>
        <w:tc>
          <w:tcPr>
            <w:tcW w:w="18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4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6"/>
        </w:trPr>
        <w:tc>
          <w:tcPr>
            <w:tcW w:w="2840" w:type="dxa"/>
            <w:vAlign w:val="bottom"/>
            <w:gridSpan w:val="3"/>
          </w:tcPr>
          <w:p>
            <w:pPr>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r>
      <w:tr>
        <w:trPr>
          <w:trHeight w:val="206"/>
        </w:trPr>
        <w:tc>
          <w:tcPr>
            <w:tcW w:w="284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1</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2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FF0FC"/>
          </w:tcPr>
          <w:p>
            <w:pPr>
              <w:spacing w:after="0"/>
              <w:rPr>
                <w:sz w:val="19"/>
                <w:szCs w:val="19"/>
                <w:color w:val="auto"/>
              </w:rPr>
            </w:pPr>
          </w:p>
        </w:tc>
      </w:tr>
      <w:tr>
        <w:trPr>
          <w:trHeight w:val="20"/>
        </w:trPr>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36"/>
        </w:trPr>
        <w:tc>
          <w:tcPr>
            <w:tcW w:w="7820" w:type="dxa"/>
            <w:vAlign w:val="bottom"/>
            <w:tcBorders>
              <w:bottom w:val="single" w:sz="8" w:color="CFF0FC"/>
            </w:tcBorders>
          </w:tcPr>
          <w:p>
            <w:pPr>
              <w:spacing w:after="0"/>
              <w:rPr>
                <w:sz w:val="24"/>
                <w:szCs w:val="24"/>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62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9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0"/>
        </w:trPr>
        <w:tc>
          <w:tcPr>
            <w:tcW w:w="7820" w:type="dxa"/>
            <w:vAlign w:val="bottom"/>
          </w:tcPr>
          <w:p>
            <w:pPr>
              <w:jc w:val="right"/>
              <w:ind w:right="1931"/>
              <w:spacing w:after="0"/>
              <w:rPr>
                <w:sz w:val="20"/>
                <w:szCs w:val="20"/>
                <w:color w:val="auto"/>
              </w:rPr>
            </w:pPr>
            <w:r>
              <w:rPr>
                <w:rFonts w:ascii="Arial" w:cs="Arial" w:eastAsia="Arial" w:hAnsi="Arial"/>
                <w:sz w:val="18"/>
                <w:szCs w:val="18"/>
                <w:color w:val="auto"/>
              </w:rPr>
              <w:t>10</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78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10" w:name="page11"/>
    <w:bookmarkEnd w:id="10"/>
    <w:p>
      <w:pPr>
        <w:ind w:left="280" w:hanging="274"/>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which are stated at the lower of average cost or net realizable value,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center"/>
              <w:ind w:right="211"/>
              <w:spacing w:after="0"/>
              <w:rPr>
                <w:sz w:val="20"/>
                <w:szCs w:val="20"/>
                <w:color w:val="auto"/>
              </w:rPr>
            </w:pPr>
            <w:r>
              <w:rPr>
                <w:rFonts w:ascii="Arial" w:cs="Arial" w:eastAsia="Arial" w:hAnsi="Arial"/>
                <w:sz w:val="18"/>
                <w:szCs w:val="18"/>
                <w:b w:val="1"/>
                <w:bCs w:val="1"/>
                <w:color w:val="auto"/>
                <w:w w:val="89"/>
              </w:rPr>
              <w:t>Sept. 30,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66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1,885</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4,108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78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782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center"/>
              <w:ind w:right="211"/>
              <w:spacing w:after="0"/>
              <w:rPr>
                <w:sz w:val="20"/>
                <w:szCs w:val="20"/>
                <w:color w:val="auto"/>
              </w:rPr>
            </w:pPr>
            <w:r>
              <w:rPr>
                <w:rFonts w:ascii="Arial" w:cs="Arial" w:eastAsia="Arial" w:hAnsi="Arial"/>
                <w:sz w:val="18"/>
                <w:szCs w:val="18"/>
                <w:b w:val="1"/>
                <w:bCs w:val="1"/>
                <w:color w:val="auto"/>
                <w:w w:val="89"/>
              </w:rPr>
              <w:t>Sept. 30,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66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38,695</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26,956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26,237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11,739</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8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2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66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211"/>
              <w:spacing w:after="0"/>
              <w:rPr>
                <w:sz w:val="20"/>
                <w:szCs w:val="20"/>
                <w:color w:val="auto"/>
              </w:rPr>
            </w:pPr>
            <w:r>
              <w:rPr>
                <w:rFonts w:ascii="Arial" w:cs="Arial" w:eastAsia="Arial" w:hAnsi="Arial"/>
                <w:sz w:val="18"/>
                <w:szCs w:val="18"/>
                <w:b w:val="1"/>
                <w:bCs w:val="1"/>
                <w:color w:val="auto"/>
                <w:w w:val="84"/>
              </w:rPr>
              <w:t>2018</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516</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gridSpan w:val="3"/>
          </w:tcPr>
          <w:p>
            <w:pPr>
              <w:spacing w:after="0"/>
              <w:rPr>
                <w:sz w:val="20"/>
                <w:szCs w:val="20"/>
                <w:color w:val="auto"/>
              </w:rPr>
            </w:pPr>
            <w:r>
              <w:rPr>
                <w:rFonts w:ascii="Arial" w:cs="Arial" w:eastAsia="Arial" w:hAnsi="Arial"/>
                <w:sz w:val="18"/>
                <w:szCs w:val="18"/>
                <w:color w:val="auto"/>
              </w:rPr>
              <w:t>Nine Months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1,564</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280" w:hanging="274"/>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2018 was as follows:</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8525" cy="14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Charged to expense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Balance at September 30, 2018</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087" w:hanging="1087"/>
        <w:spacing w:after="0"/>
        <w:tabs>
          <w:tab w:leader="none" w:pos="10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727</w:t>
      </w:r>
    </w:p>
    <w:p>
      <w:pPr>
        <w:spacing w:after="0" w:line="18" w:lineRule="exact"/>
        <w:rPr>
          <w:rFonts w:ascii="Arial" w:cs="Arial" w:eastAsia="Arial" w:hAnsi="Arial"/>
          <w:sz w:val="18"/>
          <w:szCs w:val="18"/>
          <w:color w:val="auto"/>
        </w:rPr>
      </w:pPr>
    </w:p>
    <w:p>
      <w:pPr>
        <w:ind w:left="1187"/>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2" w:lineRule="exact"/>
        <w:rPr>
          <w:sz w:val="20"/>
          <w:szCs w:val="20"/>
          <w:color w:val="auto"/>
        </w:rPr>
      </w:pPr>
    </w:p>
    <w:p>
      <w:pPr>
        <w:ind w:left="1087" w:hanging="1087"/>
        <w:spacing w:after="0"/>
        <w:tabs>
          <w:tab w:leader="none" w:pos="10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869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3" w:space="720"/>
            <w:col w:w="1487"/>
          </w:cols>
          <w:pgMar w:left="240" w:top="586" w:right="239" w:bottom="1440" w:gutter="0" w:footer="0" w:header="0"/>
          <w:type w:val="continuous"/>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type w:val="continuous"/>
        </w:sectPr>
      </w:pPr>
    </w:p>
    <w:bookmarkStart w:id="11" w:name="page12"/>
    <w:bookmarkEnd w:id="11"/>
    <w:p>
      <w:pPr>
        <w:ind w:left="280" w:hanging="274"/>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434"/>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86"/>
              </w:rPr>
              <w:t>Sept. 30, 2018</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color w:val="auto"/>
                <w:w w:val="90"/>
              </w:rPr>
              <w:t>Dec. 31, 2017</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b w:val="1"/>
                <w:bCs w:val="1"/>
                <w:color w:val="auto"/>
              </w:rPr>
              <w:t>Gross</w:t>
            </w:r>
          </w:p>
        </w:tc>
        <w:tc>
          <w:tcPr>
            <w:tcW w:w="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Arial" w:cs="Arial" w:eastAsia="Arial" w:hAnsi="Arial"/>
                <w:sz w:val="16"/>
                <w:szCs w:val="16"/>
                <w:b w:val="1"/>
                <w:bCs w:val="1"/>
                <w:color w:val="auto"/>
                <w:w w:val="96"/>
              </w:rPr>
              <w:t>Net Book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40"/>
              <w:spacing w:after="0"/>
              <w:rPr>
                <w:sz w:val="20"/>
                <w:szCs w:val="20"/>
                <w:color w:val="auto"/>
              </w:rPr>
            </w:pPr>
            <w:r>
              <w:rPr>
                <w:rFonts w:ascii="Arial" w:cs="Arial" w:eastAsia="Arial" w:hAnsi="Arial"/>
                <w:sz w:val="16"/>
                <w:szCs w:val="16"/>
                <w:color w:val="auto"/>
              </w:rPr>
              <w:t>Gross</w:t>
            </w:r>
          </w:p>
        </w:tc>
        <w:tc>
          <w:tcPr>
            <w:tcW w:w="10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Arial" w:cs="Arial" w:eastAsia="Arial" w:hAnsi="Arial"/>
                <w:sz w:val="16"/>
                <w:szCs w:val="16"/>
                <w:color w:val="auto"/>
                <w:w w:val="92"/>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color w:val="auto"/>
              </w:rPr>
              <w:t>Net Book</w:t>
            </w:r>
          </w:p>
        </w:tc>
      </w:tr>
      <w:tr>
        <w:trPr>
          <w:trHeight w:val="241"/>
        </w:trPr>
        <w:tc>
          <w:tcPr>
            <w:tcW w:w="3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1"/>
              </w:rPr>
              <w:t>Book Value</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Value</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color w:val="auto"/>
                <w:w w:val="95"/>
              </w:rPr>
              <w:t>Book Value</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color w:val="auto"/>
                <w:w w:val="96"/>
              </w:rPr>
              <w:t>Amortization</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color w:val="auto"/>
              </w:rPr>
              <w:t>Value</w:t>
            </w:r>
          </w:p>
        </w:tc>
        <w:tc>
          <w:tcPr>
            <w:tcW w:w="100" w:type="dxa"/>
            <w:vAlign w:val="bottom"/>
            <w:tcBorders>
              <w:bottom w:val="single" w:sz="8" w:color="CFF0FC"/>
            </w:tcBorders>
          </w:tcPr>
          <w:p>
            <w:pPr>
              <w:spacing w:after="0"/>
              <w:rPr>
                <w:sz w:val="20"/>
                <w:szCs w:val="20"/>
                <w:color w:val="auto"/>
              </w:rPr>
            </w:pPr>
          </w:p>
        </w:tc>
      </w:tr>
      <w:tr>
        <w:trPr>
          <w:trHeight w:val="222"/>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3,588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4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3,578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2,381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r>
      <w:tr>
        <w:trPr>
          <w:trHeight w:val="22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2,806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2,197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FF0FC"/>
            </w:tcBorders>
          </w:tcPr>
          <w:p>
            <w:pPr>
              <w:spacing w:after="0"/>
              <w:rPr>
                <w:sz w:val="19"/>
                <w:szCs w:val="19"/>
                <w:color w:val="auto"/>
              </w:rPr>
            </w:pPr>
          </w:p>
        </w:tc>
      </w:tr>
      <w:tr>
        <w:trPr>
          <w:trHeight w:val="219"/>
        </w:trPr>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12,521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8,930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42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w:t>
            </w:r>
          </w:p>
        </w:tc>
        <w:tc>
          <w:tcPr>
            <w:tcW w:w="100" w:type="dxa"/>
            <w:vAlign w:val="bottom"/>
            <w:shd w:val="clear" w:color="auto" w:fill="CFF0FC"/>
          </w:tcPr>
          <w:p>
            <w:pPr>
              <w:spacing w:after="0"/>
              <w:rPr>
                <w:sz w:val="19"/>
                <w:szCs w:val="19"/>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0"/>
        </w:trPr>
        <w:tc>
          <w:tcPr>
            <w:tcW w:w="78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Nine Months</w:t>
            </w: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r>
    </w:tbl>
    <w:p>
      <w:pPr>
        <w:spacing w:after="0" w:line="236"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Based on the net book value of intangible assets at September 30, 2018, amortization charged to income for the subsequent five years is estimated to be: fourth quarter of 2018—$169 million; 2019—$680 million; 2020—$648 million; 2021—$617 million; 2022—$609 million; and 2023—$594 million.</w:t>
      </w:r>
    </w:p>
    <w:p>
      <w:pPr>
        <w:spacing w:after="0" w:line="274" w:lineRule="exact"/>
        <w:rPr>
          <w:sz w:val="20"/>
          <w:szCs w:val="20"/>
          <w:color w:val="auto"/>
        </w:rPr>
      </w:pPr>
    </w:p>
    <w:p>
      <w:pPr>
        <w:ind w:left="280" w:hanging="274"/>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 30,</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bottom w:val="single" w:sz="8" w:color="CFF0FC"/>
            </w:tcBorders>
          </w:tcPr>
          <w:p>
            <w:pPr>
              <w:spacing w:after="0"/>
              <w:rPr>
                <w:sz w:val="20"/>
                <w:szCs w:val="20"/>
                <w:color w:val="auto"/>
              </w:rPr>
            </w:pPr>
          </w:p>
        </w:tc>
        <w:tc>
          <w:tcPr>
            <w:tcW w:w="3580" w:type="dxa"/>
            <w:vAlign w:val="bottom"/>
            <w:tcBorders>
              <w:bottom w:val="single" w:sz="8" w:color="CFF0FC"/>
            </w:tcBorders>
          </w:tcPr>
          <w:p>
            <w:pPr>
              <w:spacing w:after="0"/>
              <w:rPr>
                <w:sz w:val="20"/>
                <w:szCs w:val="20"/>
                <w:color w:val="auto"/>
              </w:rPr>
            </w:pPr>
          </w:p>
        </w:tc>
        <w:tc>
          <w:tcPr>
            <w:tcW w:w="37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3.30%</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1,596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3.65%</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1,493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4.20%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2.40%</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3.63%</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2.65%</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2.20%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7.00%</w:t>
            </w:r>
          </w:p>
        </w:tc>
        <w:tc>
          <w:tcPr>
            <w:tcW w:w="358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4.50%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5.95%</w:t>
            </w:r>
          </w:p>
        </w:tc>
        <w:tc>
          <w:tcPr>
            <w:tcW w:w="358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2022</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5.13%</w:t>
            </w:r>
          </w:p>
        </w:tc>
        <w:tc>
          <w:tcPr>
            <w:tcW w:w="358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2023</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3.70%</w:t>
            </w:r>
          </w:p>
        </w:tc>
        <w:tc>
          <w:tcPr>
            <w:tcW w:w="358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0.63%</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1.50%</w:t>
            </w:r>
          </w:p>
        </w:tc>
        <w:tc>
          <w:tcPr>
            <w:tcW w:w="358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580" w:type="dxa"/>
            <w:vAlign w:val="bottom"/>
            <w:tcBorders>
              <w:bottom w:val="single" w:sz="8" w:color="CFF0FC"/>
            </w:tcBorders>
          </w:tcPr>
          <w:p>
            <w:pPr>
              <w:spacing w:after="0"/>
              <w:rPr>
                <w:sz w:val="19"/>
                <w:szCs w:val="19"/>
                <w:color w:val="auto"/>
              </w:rPr>
            </w:pPr>
          </w:p>
        </w:tc>
        <w:tc>
          <w:tcPr>
            <w:tcW w:w="3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Borders>
              <w:bottom w:val="single" w:sz="8" w:color="CFF0FC"/>
            </w:tcBorders>
            <w:shd w:val="clear" w:color="auto" w:fill="CFF0FC"/>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14,159</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760" w:type="dxa"/>
            <w:vAlign w:val="bottom"/>
            <w:vMerge w:val="restart"/>
          </w:tcPr>
          <w:p>
            <w:pPr>
              <w:jc w:val="right"/>
              <w:ind w:right="1931"/>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73" w:right="219" w:bottom="1440" w:gutter="0" w:footer="0" w:header="0"/>
        </w:sectPr>
      </w:pPr>
    </w:p>
    <w:bookmarkStart w:id="12" w:name="page13"/>
    <w:bookmarkEnd w:id="12"/>
    <w:p>
      <w:pPr>
        <w:jc w:val="both"/>
        <w:spacing w:after="0" w:line="266"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September 30, 2018 and December 31, 2017, was $14.1 billion and $15.2 billion, respectively.</w:t>
      </w:r>
    </w:p>
    <w:p>
      <w:pPr>
        <w:spacing w:after="0" w:line="17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Borrowings under Schlumberger’s commercial paper programs at September 30, 2018 were $3.1 billion, of which $0.5 billion was classified in </w:t>
      </w:r>
      <w:r>
        <w:rPr>
          <w:rFonts w:ascii="Arial" w:cs="Arial" w:eastAsia="Arial" w:hAnsi="Arial"/>
          <w:sz w:val="16"/>
          <w:szCs w:val="16"/>
          <w:i w:val="1"/>
          <w:iCs w:val="1"/>
          <w:color w:val="auto"/>
        </w:rPr>
        <w:t>Short-term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borrowings and current portion of long-term debt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Balance Sheet</w:t>
      </w:r>
      <w:r>
        <w:rPr>
          <w:rFonts w:ascii="Arial" w:cs="Arial" w:eastAsia="Arial" w:hAnsi="Arial"/>
          <w:sz w:val="16"/>
          <w:szCs w:val="16"/>
          <w:color w:val="auto"/>
        </w:rPr>
        <w:t>. At December 31, 2017, borrowings under the commercial paper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were $3.0 billion, of which $1.3 billion was classified in </w:t>
      </w:r>
      <w:r>
        <w:rPr>
          <w:rFonts w:ascii="Arial" w:cs="Arial" w:eastAsia="Arial" w:hAnsi="Arial"/>
          <w:sz w:val="16"/>
          <w:szCs w:val="16"/>
          <w:i w:val="1"/>
          <w:iCs w:val="1"/>
          <w:color w:val="auto"/>
        </w:rPr>
        <w:t>Short-term borrowings and current portion of long-term debt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294" w:lineRule="exact"/>
        <w:rPr>
          <w:sz w:val="20"/>
          <w:szCs w:val="20"/>
          <w:color w:val="auto"/>
        </w:rPr>
      </w:pPr>
    </w:p>
    <w:p>
      <w:pPr>
        <w:ind w:left="280" w:hanging="274"/>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During 2013, Schlumberger entered into a cross-currency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cross-currency swap is designated as a fair value hedge of the underlying debt and is marked to market, with gains and losses recognized immediately in income to largely offset the effects on changes in the fair value of the hedged debt.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2017, a Canadian dollar functional currency subsidiary of Schlumberger issued $1.1 billion of US dollar denominated debt. Schlumberger entered into cross-currency swaps for an aggregate notional amount of $1.1 billion in order to hedge changes in the fair value of its $0.5 billion 2.20% Senior Notes due 2020 and its $0.6 billion 2.65% Senior Notes due 2022. These cross-currency swaps effectively convert the US dollar notes to Canadian dollar denominated debt with fixed annual interest rates of 1.97% and 2.52%, respectively.</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These cross-currency swaps are designated as cash flow hedges. The changes in the fair values of the hedges are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Amounts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are reclassified to earnings in the same periods that the underlying hedged item is recognized in earnings.</w:t>
      </w:r>
    </w:p>
    <w:p>
      <w:pPr>
        <w:spacing w:after="0" w:line="18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At September 30, 2018, Schlumberger had fixed rate debt aggregating $13.3 billion and variable rate debt aggregating $4.1 billion, after taking into account the effect of interest rate swaps.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were $1.4 billion at September 30, 2018. The carrying value of these investments approximated fair value.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multinational company, Schlumberger conducts its business in more than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denominated in currencies other than the functional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 reclassified into earnings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or periods that the hedged item is recognized in earnings.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72" w:right="239" w:bottom="1440" w:gutter="0" w:footer="0" w:header="0"/>
        </w:sectPr>
      </w:pPr>
    </w:p>
    <w:bookmarkStart w:id="13" w:name="page14"/>
    <w:bookmarkEnd w:id="13"/>
    <w:p>
      <w:pPr>
        <w:jc w:val="both"/>
        <w:spacing w:after="0" w:line="329" w:lineRule="auto"/>
        <w:rPr>
          <w:sz w:val="20"/>
          <w:szCs w:val="20"/>
          <w:color w:val="auto"/>
        </w:rPr>
      </w:pPr>
      <w:r>
        <w:rPr>
          <w:rFonts w:ascii="Arial" w:cs="Arial" w:eastAsia="Arial" w:hAnsi="Arial"/>
          <w:sz w:val="16"/>
          <w:szCs w:val="16"/>
          <w:color w:val="auto"/>
        </w:rPr>
        <w:t xml:space="preserve">At September 30, 2018, Schlumberger recognized a cumulative net $5 million loss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relating to revaluation of foreign currency forward contracts designated as cash flow hedges, the majority of which is expected to be reclassified into earnings within the next 12 months.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fair value of the hedged item.</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At September 30, 2018, contracts were outstanding for the US dollar equivalent of $5.0 billion in various foreign currencies, of which $1.9 billion relates to hedges of debt denominated in currencies other than the functional currency.</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The effect of derivative instruments designated as fair value and cash flow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4"/>
                <w:szCs w:val="14"/>
                <w:i w:val="1"/>
                <w:iCs w:val="1"/>
                <w:color w:val="auto"/>
                <w:w w:val="95"/>
              </w:rPr>
              <w:t>(Stated in millions)</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43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0"/>
              </w:rPr>
              <w:t>Gain (Loss) Recognized in Income</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19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6"/>
                <w:szCs w:val="16"/>
                <w:b w:val="1"/>
                <w:bCs w:val="1"/>
                <w:color w:val="auto"/>
              </w:rPr>
              <w:t>Third Quarter</w:t>
            </w: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rPr>
              <w:t>Nine Months</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Consolidated Statement of</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Income Classification</w:t>
            </w:r>
          </w:p>
        </w:tc>
        <w:tc>
          <w:tcPr>
            <w:tcW w:w="0" w:type="dxa"/>
            <w:vAlign w:val="bottom"/>
          </w:tcPr>
          <w:p>
            <w:pPr>
              <w:spacing w:after="0"/>
              <w:rPr>
                <w:sz w:val="1"/>
                <w:szCs w:val="1"/>
                <w:color w:val="auto"/>
              </w:rPr>
            </w:pPr>
          </w:p>
        </w:tc>
      </w:tr>
      <w:tr>
        <w:trPr>
          <w:trHeight w:val="222"/>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360" w:type="dxa"/>
            <w:vAlign w:val="bottom"/>
          </w:tcPr>
          <w:p>
            <w:pPr>
              <w:ind w:left="240"/>
              <w:spacing w:after="0"/>
              <w:rPr>
                <w:sz w:val="20"/>
                <w:szCs w:val="20"/>
                <w:color w:val="auto"/>
              </w:rPr>
            </w:pPr>
            <w:r>
              <w:rPr>
                <w:rFonts w:ascii="Arial" w:cs="Arial" w:eastAsia="Arial" w:hAnsi="Arial"/>
                <w:sz w:val="18"/>
                <w:szCs w:val="18"/>
                <w:color w:val="auto"/>
              </w:rPr>
              <w:t>Cross currency swap</w:t>
            </w:r>
          </w:p>
        </w:tc>
        <w:tc>
          <w:tcPr>
            <w:tcW w:w="700" w:type="dxa"/>
            <w:vAlign w:val="bottom"/>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3"/>
                <w:szCs w:val="23"/>
                <w:color w:val="auto"/>
              </w:rPr>
            </w:pPr>
          </w:p>
        </w:tc>
        <w:tc>
          <w:tcPr>
            <w:tcW w:w="8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3"/>
                <w:szCs w:val="23"/>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3"/>
                <w:szCs w:val="23"/>
                <w:color w:val="auto"/>
              </w:rPr>
            </w:pPr>
          </w:p>
        </w:tc>
        <w:tc>
          <w:tcPr>
            <w:tcW w:w="2220" w:type="dxa"/>
            <w:vAlign w:val="bottom"/>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6"/>
        </w:trPr>
        <w:tc>
          <w:tcPr>
            <w:tcW w:w="43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60" w:type="dxa"/>
            <w:vAlign w:val="bottom"/>
          </w:tcPr>
          <w:p>
            <w:pPr>
              <w:spacing w:after="0"/>
              <w:rPr>
                <w:sz w:val="20"/>
                <w:szCs w:val="20"/>
                <w:color w:val="auto"/>
              </w:rPr>
            </w:pPr>
            <w:r>
              <w:rPr>
                <w:rFonts w:ascii="Arial" w:cs="Arial" w:eastAsia="Arial" w:hAnsi="Arial"/>
                <w:sz w:val="18"/>
                <w:szCs w:val="18"/>
                <w:color w:val="auto"/>
              </w:rPr>
              <w:t>Derivatives designated as cash flow hedges: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contracts</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w:t>
            </w:r>
          </w:p>
        </w:tc>
        <w:tc>
          <w:tcPr>
            <w:tcW w:w="82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26"/>
        </w:trPr>
        <w:tc>
          <w:tcPr>
            <w:tcW w:w="4360" w:type="dxa"/>
            <w:vAlign w:val="bottom"/>
          </w:tcPr>
          <w:p>
            <w:pPr>
              <w:ind w:left="240"/>
              <w:spacing w:after="0"/>
              <w:rPr>
                <w:sz w:val="20"/>
                <w:szCs w:val="20"/>
                <w:color w:val="auto"/>
              </w:rPr>
            </w:pPr>
            <w:r>
              <w:rPr>
                <w:rFonts w:ascii="Arial" w:cs="Arial" w:eastAsia="Arial" w:hAnsi="Arial"/>
                <w:sz w:val="18"/>
                <w:szCs w:val="18"/>
                <w:color w:val="auto"/>
              </w:rPr>
              <w:t>Cross currency swap</w:t>
            </w:r>
          </w:p>
        </w:tc>
        <w:tc>
          <w:tcPr>
            <w:tcW w:w="70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(32)</w:t>
            </w:r>
          </w:p>
        </w:tc>
        <w:tc>
          <w:tcPr>
            <w:tcW w:w="100" w:type="dxa"/>
            <w:vAlign w:val="bottom"/>
            <w:vMerge w:val="continue"/>
            <w:shd w:val="clear" w:color="auto" w:fill="CFF0FC"/>
          </w:tcPr>
          <w:p>
            <w:pPr>
              <w:spacing w:after="0"/>
              <w:rPr>
                <w:sz w:val="19"/>
                <w:szCs w:val="19"/>
                <w:color w:val="auto"/>
              </w:rPr>
            </w:pPr>
          </w:p>
        </w:tc>
        <w:tc>
          <w:tcPr>
            <w:tcW w:w="82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Derivatives not designated as hedges: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(17)</w:t>
            </w:r>
          </w:p>
        </w:tc>
        <w:tc>
          <w:tcPr>
            <w:tcW w:w="82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60" w:hanging="354"/>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Segment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8"/>
                <w:szCs w:val="18"/>
                <w:b w:val="1"/>
                <w:bCs w:val="1"/>
                <w:color w:val="auto"/>
              </w:rPr>
              <w:t>Third Quarter 2018</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color w:val="auto"/>
              </w:rPr>
              <w:t>Third Quarter 2017</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(148)</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8,504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3" w:lineRule="exact"/>
        <w:rPr>
          <w:sz w:val="20"/>
          <w:szCs w:val="20"/>
          <w:color w:val="auto"/>
        </w:rPr>
      </w:pPr>
    </w:p>
    <w:p>
      <w:pPr>
        <w:ind w:left="300" w:hanging="287"/>
        <w:spacing w:after="0" w:line="286" w:lineRule="auto"/>
        <w:tabs>
          <w:tab w:leader="none" w:pos="241" w:val="left"/>
        </w:tabs>
        <w:numPr>
          <w:ilvl w:val="0"/>
          <w:numId w:val="17"/>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55"/>
        <w:spacing w:after="0"/>
        <w:tabs>
          <w:tab w:leader="none" w:pos="280" w:val="left"/>
        </w:tabs>
        <w:numPr>
          <w:ilvl w:val="2"/>
          <w:numId w:val="17"/>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($2 million in 2018; $4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7"/>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($8 million in 2018; $13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7"/>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3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b w:val="1"/>
                <w:bCs w:val="1"/>
                <w:color w:val="auto"/>
              </w:rPr>
              <w:t>Nine Months 2018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8"/>
                <w:szCs w:val="18"/>
                <w:color w:val="auto"/>
              </w:rPr>
              <w:t>Nine Months 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1"/>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Before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spacing w:after="0"/>
              <w:rPr>
                <w:sz w:val="20"/>
                <w:szCs w:val="20"/>
                <w:color w:val="auto"/>
              </w:rPr>
            </w:pPr>
          </w:p>
        </w:tc>
        <w:tc>
          <w:tcPr>
            <w:tcW w:w="19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3"/>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6"/>
              </w:rPr>
              <w:t>Taxes</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9"/>
        </w:trPr>
        <w:tc>
          <w:tcPr>
            <w:tcW w:w="392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(699)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9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shd w:val="clear" w:color="auto" w:fill="CFF0FC"/>
          </w:tcPr>
          <w:p>
            <w:pPr>
              <w:spacing w:after="0"/>
              <w:rPr>
                <w:sz w:val="19"/>
                <w:szCs w:val="19"/>
                <w:color w:val="auto"/>
              </w:rPr>
            </w:pPr>
          </w:p>
        </w:tc>
        <w:tc>
          <w:tcPr>
            <w:tcW w:w="19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24,636</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1,976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00" w:hanging="287"/>
        <w:spacing w:after="0" w:line="286" w:lineRule="auto"/>
        <w:tabs>
          <w:tab w:leader="none" w:pos="241" w:val="left"/>
        </w:tabs>
        <w:numPr>
          <w:ilvl w:val="0"/>
          <w:numId w:val="18"/>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55"/>
        <w:spacing w:after="0"/>
        <w:tabs>
          <w:tab w:leader="none" w:pos="280" w:val="left"/>
        </w:tabs>
        <w:numPr>
          <w:ilvl w:val="2"/>
          <w:numId w:val="18"/>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($7 million in 2018; $15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8"/>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($29 million in 2018; $39 million in 2017).</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8"/>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Revenue by geographic area was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3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8"/>
                <w:szCs w:val="18"/>
                <w:b w:val="1"/>
                <w:bCs w:val="1"/>
                <w:color w:val="auto"/>
              </w:rPr>
              <w:t>Third Quarter</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368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FF0FC"/>
            </w:tcBorders>
          </w:tcPr>
          <w:p>
            <w:pPr>
              <w:spacing w:after="0"/>
              <w:rPr>
                <w:sz w:val="19"/>
                <w:szCs w:val="19"/>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3,189</w:t>
            </w:r>
          </w:p>
        </w:tc>
        <w:tc>
          <w:tcPr>
            <w:tcW w:w="1000" w:type="dxa"/>
            <w:vAlign w:val="bottom"/>
            <w:gridSpan w:val="2"/>
            <w:shd w:val="clear" w:color="auto" w:fill="CFF0FC"/>
          </w:tcPr>
          <w:p>
            <w:pPr>
              <w:jc w:val="right"/>
              <w:ind w:right="59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2,602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9,164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w:t>
            </w:r>
          </w:p>
        </w:tc>
        <w:tc>
          <w:tcPr>
            <w:tcW w:w="120" w:type="dxa"/>
            <w:vAlign w:val="bottom"/>
            <w:shd w:val="clear" w:color="auto" w:fill="CFF0FC"/>
          </w:tcPr>
          <w:p>
            <w:pPr>
              <w:spacing w:after="0"/>
              <w:rPr>
                <w:sz w:val="19"/>
                <w:szCs w:val="19"/>
                <w:color w:val="auto"/>
              </w:rPr>
            </w:pPr>
          </w:p>
        </w:tc>
      </w:tr>
      <w:tr>
        <w:trPr>
          <w:trHeight w:val="226"/>
        </w:trPr>
        <w:tc>
          <w:tcPr>
            <w:tcW w:w="3680" w:type="dxa"/>
            <w:vAlign w:val="bottom"/>
          </w:tcPr>
          <w:p>
            <w:pPr>
              <w:spacing w:after="0"/>
              <w:rPr>
                <w:sz w:val="20"/>
                <w:szCs w:val="20"/>
                <w:color w:val="auto"/>
              </w:rPr>
            </w:pPr>
            <w:r>
              <w:rPr>
                <w:rFonts w:ascii="Arial" w:cs="Arial" w:eastAsia="Arial" w:hAnsi="Arial"/>
                <w:sz w:val="18"/>
                <w:szCs w:val="18"/>
                <w:color w:val="auto"/>
              </w:rPr>
              <w:t>Latin America</w:t>
            </w:r>
          </w:p>
        </w:tc>
        <w:tc>
          <w:tcPr>
            <w:tcW w:w="2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978</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2,767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19"/>
                <w:szCs w:val="19"/>
                <w:color w:val="auto"/>
              </w:rPr>
            </w:pPr>
          </w:p>
        </w:tc>
      </w:tr>
      <w:tr>
        <w:trPr>
          <w:trHeight w:val="22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1,820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1,843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5,316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5,255</w:t>
            </w:r>
          </w:p>
        </w:tc>
        <w:tc>
          <w:tcPr>
            <w:tcW w:w="120" w:type="dxa"/>
            <w:vAlign w:val="bottom"/>
            <w:shd w:val="clear" w:color="auto" w:fill="CFF0FC"/>
          </w:tcPr>
          <w:p>
            <w:pPr>
              <w:spacing w:after="0"/>
              <w:rPr>
                <w:sz w:val="19"/>
                <w:szCs w:val="19"/>
                <w:color w:val="auto"/>
              </w:rPr>
            </w:pPr>
          </w:p>
        </w:tc>
      </w:tr>
      <w:tr>
        <w:trPr>
          <w:trHeight w:val="226"/>
        </w:trPr>
        <w:tc>
          <w:tcPr>
            <w:tcW w:w="3680" w:type="dxa"/>
            <w:vAlign w:val="bottom"/>
          </w:tcPr>
          <w:p>
            <w:pPr>
              <w:spacing w:after="0"/>
              <w:rPr>
                <w:sz w:val="20"/>
                <w:szCs w:val="20"/>
                <w:color w:val="auto"/>
              </w:rPr>
            </w:pPr>
            <w:r>
              <w:rPr>
                <w:rFonts w:ascii="Arial" w:cs="Arial" w:eastAsia="Arial" w:hAnsi="Arial"/>
                <w:sz w:val="18"/>
                <w:szCs w:val="18"/>
                <w:color w:val="auto"/>
              </w:rPr>
              <w:t>Middle East &amp; Asia</w:t>
            </w:r>
          </w:p>
        </w:tc>
        <w:tc>
          <w:tcPr>
            <w:tcW w:w="2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2,417</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7,079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7,007</w:t>
            </w:r>
          </w:p>
        </w:tc>
        <w:tc>
          <w:tcPr>
            <w:tcW w:w="120" w:type="dxa"/>
            <w:vAlign w:val="bottom"/>
          </w:tcPr>
          <w:p>
            <w:pPr>
              <w:spacing w:after="0"/>
              <w:rPr>
                <w:sz w:val="19"/>
                <w:szCs w:val="19"/>
                <w:color w:val="auto"/>
              </w:rPr>
            </w:pPr>
          </w:p>
        </w:tc>
      </w:tr>
      <w:tr>
        <w:trPr>
          <w:trHeight w:val="22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FF0FC"/>
          </w:tcPr>
          <w:p>
            <w:pPr>
              <w:spacing w:after="0"/>
              <w:rPr>
                <w:sz w:val="19"/>
                <w:szCs w:val="19"/>
                <w:color w:val="auto"/>
              </w:rPr>
            </w:pPr>
          </w:p>
        </w:tc>
      </w:tr>
      <w:tr>
        <w:trPr>
          <w:trHeight w:val="219"/>
        </w:trPr>
        <w:tc>
          <w:tcPr>
            <w:tcW w:w="3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8,504</w:t>
            </w:r>
          </w:p>
        </w:tc>
        <w:tc>
          <w:tcPr>
            <w:tcW w:w="1000" w:type="dxa"/>
            <w:vAlign w:val="bottom"/>
            <w:gridSpan w:val="2"/>
          </w:tcPr>
          <w:p>
            <w:pPr>
              <w:jc w:val="right"/>
              <w:ind w:right="59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7,905</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24,636</w:t>
            </w:r>
          </w:p>
        </w:tc>
        <w:tc>
          <w:tcPr>
            <w:tcW w:w="240" w:type="dxa"/>
            <w:vAlign w:val="bottom"/>
          </w:tcPr>
          <w:p>
            <w:pPr>
              <w:spacing w:after="0"/>
              <w:rPr>
                <w:sz w:val="19"/>
                <w:szCs w:val="19"/>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22,261</w:t>
            </w:r>
          </w:p>
        </w:tc>
        <w:tc>
          <w:tcPr>
            <w:tcW w:w="12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Third Quarter 2018</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5"/>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b w:val="1"/>
                <w:bCs w:val="1"/>
                <w:color w:val="auto"/>
                <w:w w:val="95"/>
              </w:rPr>
              <w:t>North</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Eliminations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90"/>
              </w:rPr>
              <w:t>America</w:t>
            </w:r>
          </w:p>
        </w:tc>
        <w:tc>
          <w:tcPr>
            <w:tcW w:w="24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&amp; other</w:t>
            </w: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20"/>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2"/>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Drilling</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2,429</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3,252</w:t>
            </w:r>
          </w:p>
        </w:tc>
        <w:tc>
          <w:tcPr>
            <w:tcW w:w="120" w:type="dxa"/>
            <w:vAlign w:val="bottom"/>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Cameron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1,298</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(107)</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(148)</w:t>
            </w: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8,504</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7"/>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8"/>
                <w:szCs w:val="18"/>
                <w:b w:val="1"/>
                <w:bCs w:val="1"/>
                <w:color w:val="auto"/>
              </w:rPr>
              <w:t>Nine Months 2018</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5"/>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b w:val="1"/>
                <w:bCs w:val="1"/>
                <w:color w:val="auto"/>
                <w:w w:val="95"/>
              </w:rPr>
              <w:t>North</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Eliminations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880" w:type="dxa"/>
            <w:vAlign w:val="bottom"/>
            <w:tcBorders>
              <w:bottom w:val="single" w:sz="8" w:color="CFF0FC"/>
            </w:tcBorders>
          </w:tcPr>
          <w:p>
            <w:pPr>
              <w:spacing w:after="0"/>
              <w:rPr>
                <w:sz w:val="20"/>
                <w:szCs w:val="20"/>
                <w:color w:val="auto"/>
              </w:rPr>
            </w:pPr>
          </w:p>
        </w:tc>
        <w:tc>
          <w:tcPr>
            <w:tcW w:w="19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0"/>
              </w:rPr>
              <w:t>America</w:t>
            </w:r>
          </w:p>
        </w:tc>
        <w:tc>
          <w:tcPr>
            <w:tcW w:w="24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8"/>
                <w:szCs w:val="18"/>
                <w:b w:val="1"/>
                <w:bCs w:val="1"/>
                <w:color w:val="auto"/>
                <w:w w:val="98"/>
              </w:rPr>
              <w:t>International</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5"/>
              </w:rPr>
              <w:t>&amp; other</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tcPr>
          <w:p>
            <w:pPr>
              <w:spacing w:after="0"/>
              <w:rPr>
                <w:sz w:val="20"/>
                <w:szCs w:val="20"/>
                <w:color w:val="auto"/>
              </w:rPr>
            </w:pPr>
          </w:p>
        </w:tc>
      </w:tr>
      <w:tr>
        <w:trPr>
          <w:trHeight w:val="22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2"/>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4,865</w:t>
            </w:r>
          </w:p>
        </w:tc>
        <w:tc>
          <w:tcPr>
            <w:tcW w:w="120" w:type="dxa"/>
            <w:vAlign w:val="bottom"/>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Drilling</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6,789</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4,919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9,468</w:t>
            </w:r>
          </w:p>
        </w:tc>
        <w:tc>
          <w:tcPr>
            <w:tcW w:w="120" w:type="dxa"/>
            <w:vAlign w:val="bottom"/>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Cameron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1,761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3,902</w:t>
            </w:r>
          </w:p>
        </w:tc>
        <w:tc>
          <w:tcPr>
            <w:tcW w:w="12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(322)</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(388</w:t>
            </w:r>
            <w:r>
              <w:rPr>
                <w:rFonts w:ascii="Arial" w:cs="Arial" w:eastAsia="Arial" w:hAnsi="Arial"/>
                <w:sz w:val="18"/>
                <w:szCs w:val="18"/>
                <w:color w:val="auto"/>
              </w:rPr>
              <w:t>)</w:t>
            </w: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24,636</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0" w:hanging="354"/>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5"/>
          </w:tcPr>
          <w:p>
            <w:pPr>
              <w:jc w:val="right"/>
              <w:ind w:right="2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45"/>
        </w:trPr>
        <w:tc>
          <w:tcPr>
            <w:tcW w:w="3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Third Quarter</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Nine Months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2017</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2017</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35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Int'l</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Int'l</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US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Int'l</w:t>
            </w:r>
          </w:p>
        </w:tc>
        <w:tc>
          <w:tcPr>
            <w:tcW w:w="2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350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(186)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(442)</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20"/>
                <w:szCs w:val="20"/>
                <w:color w:val="auto"/>
              </w:rPr>
            </w:pPr>
          </w:p>
        </w:tc>
      </w:tr>
      <w:tr>
        <w:trPr>
          <w:trHeight w:val="239"/>
        </w:trPr>
        <w:tc>
          <w:tcPr>
            <w:tcW w:w="35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35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411"/>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3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net periodic benefit credit for the Schlumberger US postretirement medical plan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i w:val="1"/>
                <w:iCs w:val="1"/>
                <w:color w:val="auto"/>
                <w:w w:val="95"/>
              </w:rPr>
              <w:t>(Stated in millions)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7"/>
          </w:tcPr>
          <w:p>
            <w:pPr>
              <w:jc w:val="right"/>
              <w:ind w:right="1000"/>
              <w:spacing w:after="0"/>
              <w:rPr>
                <w:sz w:val="20"/>
                <w:szCs w:val="20"/>
                <w:color w:val="auto"/>
              </w:rPr>
            </w:pPr>
            <w:r>
              <w:rPr>
                <w:rFonts w:ascii="Arial" w:cs="Arial" w:eastAsia="Arial" w:hAnsi="Arial"/>
                <w:sz w:val="18"/>
                <w:szCs w:val="18"/>
                <w:b w:val="1"/>
                <w:bCs w:val="1"/>
                <w:color w:val="auto"/>
              </w:rPr>
              <w:t>Third Quarter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w w:val="84"/>
              </w:rPr>
              <w:t>2018</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center"/>
              <w:ind w:right="232"/>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Service cost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9"/>
                <w:szCs w:val="19"/>
                <w:color w:val="auto"/>
              </w:rPr>
            </w:pPr>
          </w:p>
        </w:tc>
        <w:tc>
          <w:tcPr>
            <w:tcW w:w="220" w:type="dxa"/>
            <w:vAlign w:val="bottom"/>
            <w:tcBorders>
              <w:left w:val="single" w:sz="8" w:color="CFF0FC"/>
              <w:right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360" w:type="dxa"/>
            <w:vAlign w:val="bottom"/>
            <w:gridSpan w:val="2"/>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(15)</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gridSpan w:val="4"/>
          </w:tcPr>
          <w:p>
            <w:pPr>
              <w:spacing w:after="0"/>
              <w:rPr>
                <w:sz w:val="20"/>
                <w:szCs w:val="20"/>
                <w:color w:val="auto"/>
              </w:rPr>
            </w:pPr>
            <w:r>
              <w:rPr>
                <w:rFonts w:ascii="Arial" w:cs="Arial" w:eastAsia="Arial" w:hAnsi="Arial"/>
                <w:sz w:val="18"/>
                <w:szCs w:val="18"/>
                <w:color w:val="auto"/>
              </w:rPr>
              <w:t>Amortization of prior service credit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142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vMerge w:val="restart"/>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left w:val="single" w:sz="8" w:color="CFF0FC"/>
              <w:right w:val="single" w:sz="8" w:color="CFF0FC"/>
            </w:tcBorders>
            <w:vMerge w:val="restart"/>
            <w:shd w:val="clear" w:color="auto" w:fill="CFF0FC"/>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w:t>
            </w:r>
          </w:p>
        </w:tc>
        <w:tc>
          <w:tcPr>
            <w:tcW w:w="220" w:type="dxa"/>
            <w:vAlign w:val="bottom"/>
            <w:tcBorders>
              <w:left w:val="single" w:sz="8" w:color="CFF0FC"/>
              <w:right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left w:val="single" w:sz="8" w:color="CFF0FC"/>
              <w:right w:val="single" w:sz="8" w:color="CFF0FC"/>
            </w:tcBorders>
            <w:vMerge w:val="continue"/>
            <w:shd w:val="clear" w:color="auto" w:fill="CFF0FC"/>
          </w:tcPr>
          <w:p>
            <w:pPr>
              <w:spacing w:after="0"/>
              <w:rPr>
                <w:sz w:val="19"/>
                <w:szCs w:val="19"/>
                <w:color w:val="auto"/>
              </w:rPr>
            </w:pPr>
          </w:p>
        </w:tc>
        <w:tc>
          <w:tcPr>
            <w:tcW w:w="360" w:type="dxa"/>
            <w:vAlign w:val="bottom"/>
            <w:gridSpan w:val="2"/>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bottom w:val="single" w:sz="8" w:color="CFF0FC"/>
            </w:tcBorders>
            <w:gridSpan w:val="4"/>
            <w:vMerge w:val="restart"/>
          </w:tcPr>
          <w:p>
            <w:pPr>
              <w:spacing w:after="0"/>
              <w:rPr>
                <w:sz w:val="20"/>
                <w:szCs w:val="20"/>
                <w:color w:val="auto"/>
              </w:rPr>
            </w:pPr>
            <w:r>
              <w:rPr>
                <w:rFonts w:ascii="Arial" w:cs="Arial" w:eastAsia="Arial" w:hAnsi="Arial"/>
                <w:sz w:val="18"/>
                <w:szCs w:val="18"/>
                <w:b w:val="1"/>
                <w:bCs w:val="1"/>
                <w:color w:val="auto"/>
              </w:rPr>
              <w:t>13. Accumulated Other Comprehensive Loss</w:t>
            </w: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80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800" w:type="dxa"/>
            <w:vAlign w:val="bottom"/>
            <w:gridSpan w:val="4"/>
          </w:tcPr>
          <w:p>
            <w:pPr>
              <w:spacing w:after="0"/>
              <w:rPr>
                <w:sz w:val="20"/>
                <w:szCs w:val="20"/>
                <w:color w:val="auto"/>
              </w:rPr>
            </w:pPr>
            <w:r>
              <w:rPr>
                <w:rFonts w:ascii="Arial" w:cs="Arial" w:eastAsia="Arial" w:hAnsi="Arial"/>
                <w:sz w:val="18"/>
                <w:szCs w:val="18"/>
                <w:i w:val="1"/>
                <w:iCs w:val="1"/>
                <w:color w:val="auto"/>
                <w:w w:val="90"/>
              </w:rPr>
              <w:t xml:space="preserve">Accumulated Other Comprehensive Loss </w:t>
            </w:r>
            <w:r>
              <w:rPr>
                <w:rFonts w:ascii="Arial" w:cs="Arial" w:eastAsia="Arial" w:hAnsi="Arial"/>
                <w:sz w:val="18"/>
                <w:szCs w:val="18"/>
                <w:color w:val="auto"/>
                <w:w w:val="90"/>
              </w:rPr>
              <w:t>consists of the following:</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i w:val="1"/>
                <w:iCs w:val="1"/>
                <w:color w:val="auto"/>
                <w:w w:val="92"/>
              </w:rPr>
              <w:t>(Stated in millions)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Pension and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Translation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Marketable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9"/>
              </w:rPr>
              <w:t>Cash Flow</w:t>
            </w:r>
          </w:p>
        </w:tc>
        <w:tc>
          <w:tcPr>
            <w:tcW w:w="12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Postretirement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1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1"/>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6"/>
              </w:rPr>
              <w:t>Securities</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6"/>
              </w:rPr>
              <w:t>Hedges</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Benefit Plans</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292"/>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72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(2,139)</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(2,151)</w:t>
            </w:r>
          </w:p>
        </w:tc>
        <w:tc>
          <w:tcPr>
            <w:tcW w:w="360" w:type="dxa"/>
            <w:vAlign w:val="bottom"/>
            <w:gridSpan w:val="2"/>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gridSpan w:val="4"/>
          </w:tcPr>
          <w:p>
            <w:pPr>
              <w:ind w:left="60"/>
              <w:spacing w:after="0"/>
              <w:rPr>
                <w:sz w:val="20"/>
                <w:szCs w:val="20"/>
                <w:color w:val="auto"/>
              </w:rPr>
            </w:pPr>
            <w:r>
              <w:rPr>
                <w:rFonts w:ascii="Arial" w:cs="Arial" w:eastAsia="Arial" w:hAnsi="Arial"/>
                <w:sz w:val="18"/>
                <w:szCs w:val="18"/>
                <w:color w:val="auto"/>
              </w:rPr>
              <w:t>Other comprehensive loss before reclassifications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71"/>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472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89"/>
              </w:rPr>
              <w:t>Amounts reclassified from accumulated other comprehensive loss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FF0FC"/>
            </w:tcBorders>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4"/>
            <w:vMerge w:val="restart"/>
          </w:tcPr>
          <w:p>
            <w:pPr>
              <w:ind w:left="60"/>
              <w:spacing w:after="0"/>
              <w:rPr>
                <w:sz w:val="20"/>
                <w:szCs w:val="20"/>
                <w:color w:val="auto"/>
              </w:rPr>
            </w:pPr>
            <w:r>
              <w:rPr>
                <w:rFonts w:ascii="Arial" w:cs="Arial" w:eastAsia="Arial" w:hAnsi="Arial"/>
                <w:sz w:val="18"/>
                <w:szCs w:val="18"/>
                <w:color w:val="auto"/>
              </w:rPr>
              <w:t>Net other comprehensive income</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gridSpan w:val="4"/>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71"/>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20" w:type="dxa"/>
            <w:vAlign w:val="bottom"/>
            <w:tcBorders>
              <w:right w:val="single" w:sz="8" w:color="CFF0FC"/>
            </w:tcBorders>
            <w:gridSpan w:val="3"/>
            <w:vMerge w:val="restart"/>
            <w:shd w:val="clear" w:color="auto" w:fill="CFF0FC"/>
          </w:tcPr>
          <w:p>
            <w:pPr>
              <w:spacing w:after="0"/>
              <w:rPr>
                <w:sz w:val="20"/>
                <w:szCs w:val="20"/>
                <w:color w:val="auto"/>
              </w:rPr>
            </w:pPr>
            <w:r>
              <w:rPr>
                <w:rFonts w:ascii="Arial" w:cs="Arial" w:eastAsia="Arial" w:hAnsi="Arial"/>
                <w:sz w:val="18"/>
                <w:szCs w:val="18"/>
                <w:color w:val="auto"/>
              </w:rPr>
              <w:t>Balance, September 30, 2018</w:t>
            </w: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4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0" w:type="dxa"/>
            <w:vAlign w:val="bottom"/>
          </w:tcPr>
          <w:p>
            <w:pPr>
              <w:spacing w:after="0"/>
              <w:rPr>
                <w:sz w:val="19"/>
                <w:szCs w:val="19"/>
                <w:color w:val="auto"/>
              </w:rPr>
            </w:pPr>
          </w:p>
        </w:tc>
        <w:tc>
          <w:tcPr>
            <w:tcW w:w="4720" w:type="dxa"/>
            <w:vAlign w:val="bottom"/>
            <w:tcBorders>
              <w:right w:val="single" w:sz="8" w:color="CFF0FC"/>
            </w:tcBorders>
            <w:gridSpan w:val="3"/>
            <w:vMerge w:val="continue"/>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(2,267)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FF0FC"/>
            </w:tcBorders>
            <w:gridSpan w:val="3"/>
            <w:shd w:val="clear" w:color="auto" w:fill="CFF0FC"/>
          </w:tcPr>
          <w:p>
            <w:pPr>
              <w:jc w:val="right"/>
              <w:ind w:right="71"/>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(2,021)</w:t>
            </w:r>
          </w:p>
        </w:tc>
        <w:tc>
          <w:tcPr>
            <w:tcW w:w="360" w:type="dxa"/>
            <w:vAlign w:val="bottom"/>
            <w:gridSpan w:val="2"/>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Pension and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Translation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Marketable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Cash Flow</w:t>
            </w:r>
          </w:p>
        </w:tc>
        <w:tc>
          <w:tcPr>
            <w:tcW w:w="1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Postretirement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1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6"/>
              </w:rPr>
              <w:t>Securities</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2"/>
              </w:rPr>
              <w:t>Hedges</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Benefit Plans</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(2,136)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(2,509)</w:t>
            </w:r>
          </w:p>
        </w:tc>
        <w:tc>
          <w:tcPr>
            <w:tcW w:w="36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gridSpan w:val="4"/>
          </w:tcPr>
          <w:p>
            <w:pPr>
              <w:spacing w:after="0"/>
              <w:rPr>
                <w:sz w:val="20"/>
                <w:szCs w:val="20"/>
                <w:color w:val="auto"/>
              </w:rPr>
            </w:pPr>
            <w:r>
              <w:rPr>
                <w:rFonts w:ascii="Arial" w:cs="Arial" w:eastAsia="Arial" w:hAnsi="Arial"/>
                <w:sz w:val="18"/>
                <w:szCs w:val="18"/>
                <w:color w:val="auto"/>
              </w:rPr>
              <w:t>Other comprehensive gain (loss) before reclassifications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71"/>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FF0FC"/>
            </w:tcBorders>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left w:val="single" w:sz="8" w:color="CFF0FC"/>
            </w:tcBorders>
            <w:shd w:val="clear" w:color="auto" w:fill="CFF0FC"/>
          </w:tcPr>
          <w:p>
            <w:pPr>
              <w:spacing w:after="0"/>
              <w:rPr>
                <w:sz w:val="19"/>
                <w:szCs w:val="19"/>
                <w:color w:val="auto"/>
              </w:rPr>
            </w:pP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gridSpan w:val="4"/>
          </w:tcPr>
          <w:p>
            <w:pPr>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4"/>
            <w:vMerge w:val="restart"/>
          </w:tcPr>
          <w:p>
            <w:pPr>
              <w:spacing w:after="0"/>
              <w:rPr>
                <w:sz w:val="20"/>
                <w:szCs w:val="20"/>
                <w:color w:val="auto"/>
              </w:rPr>
            </w:pPr>
            <w:r>
              <w:rPr>
                <w:rFonts w:ascii="Arial" w:cs="Arial" w:eastAsia="Arial" w:hAnsi="Arial"/>
                <w:sz w:val="18"/>
                <w:szCs w:val="18"/>
                <w:color w:val="auto"/>
              </w:rPr>
              <w:t>Net other comprehensive income</w:t>
            </w: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gridSpan w:val="4"/>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71"/>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right w:val="single" w:sz="8" w:color="CFF0FC"/>
            </w:tcBorders>
            <w:gridSpan w:val="4"/>
            <w:vMerge w:val="restart"/>
            <w:shd w:val="clear" w:color="auto" w:fill="CFF0FC"/>
          </w:tcPr>
          <w:p>
            <w:pPr>
              <w:spacing w:after="0"/>
              <w:rPr>
                <w:sz w:val="20"/>
                <w:szCs w:val="20"/>
                <w:color w:val="auto"/>
              </w:rPr>
            </w:pPr>
            <w:r>
              <w:rPr>
                <w:rFonts w:ascii="Arial" w:cs="Arial" w:eastAsia="Arial" w:hAnsi="Arial"/>
                <w:sz w:val="18"/>
                <w:szCs w:val="18"/>
                <w:color w:val="auto"/>
              </w:rPr>
              <w:t>Balance, September 30, 2017</w:t>
            </w:r>
          </w:p>
        </w:tc>
        <w:tc>
          <w:tcPr>
            <w:tcW w:w="12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tcBorders>
              <w:right w:val="single" w:sz="8" w:color="CFF0FC"/>
            </w:tcBorders>
            <w:gridSpan w:val="4"/>
            <w:vMerge w:val="continue"/>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(2,087)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FF0FC"/>
            </w:tcBorders>
            <w:gridSpan w:val="3"/>
            <w:shd w:val="clear" w:color="auto" w:fill="CFF0FC"/>
          </w:tcPr>
          <w:p>
            <w:pPr>
              <w:jc w:val="right"/>
              <w:ind w:right="71"/>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(2,332)</w:t>
            </w:r>
          </w:p>
        </w:tc>
        <w:tc>
          <w:tcPr>
            <w:tcW w:w="36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(4,460)</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6"/>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06" w:right="219" w:bottom="1440" w:gutter="0" w:footer="0" w:header="0"/>
        </w:sectPr>
      </w:pPr>
    </w:p>
    <w:bookmarkStart w:id="17" w:name="page18"/>
    <w:bookmarkEnd w:id="17"/>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2018 Compared to Third Quarter 2017</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8"/>
                <w:szCs w:val="18"/>
                <w:b w:val="1"/>
                <w:bCs w:val="1"/>
                <w:color w:val="auto"/>
              </w:rPr>
              <w:t>Third Quarter 2018</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color w:val="auto"/>
              </w:rPr>
              <w:t>Third Quarter 2017</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(148)</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8,504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2" w:lineRule="exact"/>
        <w:rPr>
          <w:sz w:val="20"/>
          <w:szCs w:val="20"/>
          <w:color w:val="auto"/>
        </w:rPr>
      </w:pPr>
    </w:p>
    <w:p>
      <w:pPr>
        <w:ind w:left="300" w:hanging="286"/>
        <w:spacing w:after="0" w:line="286" w:lineRule="auto"/>
        <w:tabs>
          <w:tab w:leader="none" w:pos="237" w:val="left"/>
        </w:tabs>
        <w:numPr>
          <w:ilvl w:val="0"/>
          <w:numId w:val="20"/>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23"/>
        <w:spacing w:after="0"/>
        <w:tabs>
          <w:tab w:leader="none" w:pos="280" w:val="left"/>
        </w:tabs>
        <w:numPr>
          <w:ilvl w:val="3"/>
          <w:numId w:val="20"/>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($2 million in 2018; $4 million in 2017).</w:t>
      </w:r>
    </w:p>
    <w:p>
      <w:pPr>
        <w:spacing w:after="0" w:line="134" w:lineRule="exact"/>
        <w:rPr>
          <w:rFonts w:ascii="Arial" w:cs="Arial" w:eastAsia="Arial" w:hAnsi="Arial"/>
          <w:sz w:val="15"/>
          <w:szCs w:val="15"/>
          <w:color w:val="auto"/>
        </w:rPr>
      </w:pPr>
    </w:p>
    <w:p>
      <w:pPr>
        <w:ind w:left="300" w:hanging="270"/>
        <w:spacing w:after="0"/>
        <w:tabs>
          <w:tab w:leader="none" w:pos="300" w:val="left"/>
        </w:tabs>
        <w:numPr>
          <w:ilvl w:val="2"/>
          <w:numId w:val="20"/>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($8 million in 2018; $13 million in 2017).</w:t>
      </w:r>
    </w:p>
    <w:p>
      <w:pPr>
        <w:spacing w:after="0" w:line="134" w:lineRule="exact"/>
        <w:rPr>
          <w:rFonts w:ascii="Arial" w:cs="Arial" w:eastAsia="Arial" w:hAnsi="Arial"/>
          <w:sz w:val="15"/>
          <w:szCs w:val="15"/>
          <w:color w:val="auto"/>
        </w:rPr>
      </w:pPr>
    </w:p>
    <w:p>
      <w:pPr>
        <w:ind w:left="280" w:hanging="267"/>
        <w:spacing w:after="0"/>
        <w:tabs>
          <w:tab w:leader="none" w:pos="280" w:val="left"/>
        </w:tabs>
        <w:numPr>
          <w:ilvl w:val="1"/>
          <w:numId w:val="20"/>
        </w:numPr>
        <w:rPr>
          <w:rFonts w:ascii="Arial" w:cs="Arial" w:eastAsia="Arial" w:hAnsi="Arial"/>
          <w:sz w:val="15"/>
          <w:szCs w:val="15"/>
          <w:color w:val="auto"/>
        </w:rPr>
      </w:pPr>
      <w:r>
        <w:rPr>
          <w:rFonts w:ascii="Arial" w:cs="Arial" w:eastAsia="Arial" w:hAnsi="Arial"/>
          <w:sz w:val="16"/>
          <w:szCs w:val="16"/>
          <w:color w:val="auto"/>
        </w:rPr>
        <w:t xml:space="preserve">Charges and credits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oil market continued to tighten in the third quarter as seen by a further draw in global oil inventories and a significant increase in oil prices despite continued strong production from the US and increasing output from key OPEC countries. Global spare capacity is now less than 2%. The tightening supply and demand balance is driven by accelerating decline rates in the international production base and is further exacerbated by the ongoing reduction in Venezuelan and Iranian exports. Geopolitical events and their impact on supply are also becoming an increasing oil market consideration as the challenging security situation in several key countries could affect activity and production going forward. And while the current Permian takeaway constraints in North America should be addressed within the next 12 to 18 months, a series of reservoir- and production-related challenges is emerging in the US shale basins that could dampen the most optimistic production growth projections.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the outlook for global economic growth and oil demand remaining solid, Schlumberger continues to see a need for a multiyear increase in international E&amp;P investment. Through the work Schlumberger has done over the past four years to expand its external offering and modernize its internal execution platform, it is well-positioned to outgrow the market in the expected upcycle.</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Third-quarter 2018 revenue of $8.5 billion increased 8% year-on-year. The global rig count increased 4% as compared to the same period last year, North America land rig count increased by 10% and international rig count was essentially flat. North America revenue increased 23% largely driven by the deployment of additional hydraulic fracturing equipment and market share gains as compared to the prior year. International revenue improved by 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1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Third-quarter 2018 revenue of $1.7 billion decreased 6% year-on-year primarily due to reduced OneSurface revenue in the Middle East following the end of the first phase of an integrated production system project and reduced WesternGeco activity as marine seismic acquisition contracts continue to wind down.</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increased 470 basis points (“bps”) to 22% primarily as a result of reduced depreciation and amortization following the WesternGeco impairment charges in the fourth quarter of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Drilling</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Third-quarter 2018 revenue of $2.4 billion increased 15% year-on-year primarily due to higher demand for directional drilling technologies on land in North America and the start of new integrated drilling projects internationally. This benefited all the product lines, led by M-I SWACO, Integrated Drilling Services, and Drilling &amp; Measurements.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Year-on-year, pretax operating margin declined slightly by 22 bps to 14% due primarily to mobilization and project start-up costs associated with the new integrated drilling projects.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Third-quarter 2018 revenue of $3.3 billion increased 13% year-on-year with the majority of the revenue growth driven by accelerated land activity growth in North America that benefited the OneStim pressure pumping businesses. Growth was driven primarily by the deployment of hydraulic fracturing capacity and market share gains as compared to the prior year. However, service revenue from the OneStim hydraulic fracturing business was increasingly impacted by softening activity and pricing over the course of the third quarter of 2018. The dynamics of the pressure pumping market changed during the quarter and activity will likely continue to decline until the Permian takeaway capacity constraints are resolved.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remained flat at 10%.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Third-quarter 2018 revenue of $1.3 billion was flat year-on-year as higher revenue on land in North America benefiting the short-cycle businesses of Surface Systems and Valves &amp; Measurement was offset by the decline of the long-cycle businesses of OneSubsea.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349 bps to 11%, driven primarily by the decline in high-margin OneSubsea project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Nine Months 2018 Compared to Nine Months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3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b w:val="1"/>
                <w:bCs w:val="1"/>
                <w:color w:val="auto"/>
              </w:rPr>
              <w:t>Nine Months 2018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8"/>
                <w:szCs w:val="18"/>
                <w:color w:val="auto"/>
              </w:rPr>
              <w:t>Nine Months 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1"/>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Income</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Before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FF0FC"/>
            </w:tcBorders>
          </w:tcPr>
          <w:p>
            <w:pPr>
              <w:spacing w:after="0"/>
              <w:rPr>
                <w:sz w:val="20"/>
                <w:szCs w:val="20"/>
                <w:color w:val="auto"/>
              </w:rPr>
            </w:pPr>
          </w:p>
        </w:tc>
        <w:tc>
          <w:tcPr>
            <w:tcW w:w="19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3"/>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6"/>
              </w:rPr>
              <w:t>Taxes</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9"/>
        </w:trPr>
        <w:tc>
          <w:tcPr>
            <w:tcW w:w="392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(699)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9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20" w:type="dxa"/>
            <w:vAlign w:val="bottom"/>
            <w:shd w:val="clear" w:color="auto" w:fill="CFF0FC"/>
          </w:tcPr>
          <w:p>
            <w:pPr>
              <w:spacing w:after="0"/>
              <w:rPr>
                <w:sz w:val="19"/>
                <w:szCs w:val="19"/>
                <w:color w:val="auto"/>
              </w:rPr>
            </w:pPr>
          </w:p>
        </w:tc>
        <w:tc>
          <w:tcPr>
            <w:tcW w:w="19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24,636</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1,976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300" w:hanging="286"/>
        <w:spacing w:after="0" w:line="286" w:lineRule="auto"/>
        <w:tabs>
          <w:tab w:leader="none" w:pos="237" w:val="left"/>
        </w:tabs>
        <w:numPr>
          <w:ilvl w:val="0"/>
          <w:numId w:val="21"/>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23"/>
        <w:spacing w:after="0"/>
        <w:tabs>
          <w:tab w:leader="none" w:pos="280" w:val="left"/>
        </w:tabs>
        <w:numPr>
          <w:ilvl w:val="1"/>
          <w:numId w:val="21"/>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($7 million in 2018; $15 million in 2017).</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9" w:name="page20"/>
    <w:bookmarkEnd w:id="19"/>
    <w:p>
      <w:pPr>
        <w:ind w:left="300" w:hanging="270"/>
        <w:spacing w:after="0"/>
        <w:tabs>
          <w:tab w:leader="none" w:pos="300" w:val="left"/>
        </w:tabs>
        <w:numPr>
          <w:ilvl w:val="1"/>
          <w:numId w:val="22"/>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($29 million in 2018; $39 million in 2017).</w:t>
      </w:r>
    </w:p>
    <w:p>
      <w:pPr>
        <w:spacing w:after="0" w:line="134" w:lineRule="exact"/>
        <w:rPr>
          <w:rFonts w:ascii="Arial" w:cs="Arial" w:eastAsia="Arial" w:hAnsi="Arial"/>
          <w:sz w:val="15"/>
          <w:szCs w:val="15"/>
          <w:color w:val="auto"/>
        </w:rPr>
      </w:pPr>
    </w:p>
    <w:p>
      <w:pPr>
        <w:ind w:left="280" w:hanging="267"/>
        <w:spacing w:after="0"/>
        <w:tabs>
          <w:tab w:leader="none" w:pos="280" w:val="left"/>
        </w:tabs>
        <w:numPr>
          <w:ilvl w:val="0"/>
          <w:numId w:val="23"/>
        </w:numPr>
        <w:rPr>
          <w:rFonts w:ascii="Arial" w:cs="Arial" w:eastAsia="Arial" w:hAnsi="Arial"/>
          <w:sz w:val="15"/>
          <w:szCs w:val="15"/>
          <w:color w:val="auto"/>
        </w:rPr>
      </w:pPr>
      <w:r>
        <w:rPr>
          <w:rFonts w:ascii="Arial" w:cs="Arial" w:eastAsia="Arial" w:hAnsi="Arial"/>
          <w:sz w:val="16"/>
          <w:szCs w:val="16"/>
          <w:color w:val="auto"/>
        </w:rPr>
        <w:t xml:space="preserve">Charges and credits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26"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color w:val="auto"/>
        </w:rPr>
        <w:t>Nine-month 2018 revenue of $24.6 billion increased 11% year-on-year. The global rig count increased 6% as the North American land rig count increased 11% and the international rig count was flat versus the same period last year. Revenue in North America grew 37% driven by the deployment of additional hydraulic fracturing capacity, market share gains, operational efficiency improvements and improved pricing. International revenue was essentially flat.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18"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Nine-month 2018 revenue of $4.9 billion decreased 5% year-on-year primarily due to reduced OneSurface revenue following the end of the first phase of an integrated production system project in the Middle East and reduced WesternGeco activity as marine seismic acquisition contracts continue to wind down.</w:t>
      </w:r>
    </w:p>
    <w:p>
      <w:pPr>
        <w:spacing w:after="0" w:line="13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Year-on-year, pretax operating margin increased 386 bps to 21% primarily as a result of reduced depreciation and amortization following the WesternGeco impairment charges recorded in the fourth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1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Nine-month 2018 revenue of $6.8 billion increased 9% year-on-year primarily due to higher demand for directional drilling technologies on land in North America and the start of new integrated drilling projects internationally. This benefited Drilling &amp; Measurements, Bits &amp; Drilling tools, M-I SWACO and Integrated Drilling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was essentially flat at 14%.</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1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Nine-month 2018 revenue of $9.5 billion increased 25% year-on-year with most of the revenue increase attributable to the accelerated land activity growth in North America that benefited the OneStim pressure pumping businesses in North America land. Growth was driven by the deployment of additional hydraulic fracturing capacity, market share gains, operational efficiency improvements, and improved pricing.</w:t>
      </w:r>
    </w:p>
    <w:p>
      <w:pPr>
        <w:spacing w:after="0" w:line="18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Year-on-year, pretax operating margin increased 87 bps to 9% as a result of improved profitability in North America due to accelerated land activity and improved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18"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Nine-month 2018 revenue of $3.9 billion increased 3% year-on-year due to higher revenue in North America land benefiting the short-cycle businesses of Surface Systems and Valves &amp; Measurement. This was largely offset by the decline of the long-cycle businesses of Drilling Systems and OneSubsea.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of 12% declined 166 bps due primarily to the decline in high-margin OneSubsea project volumes.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4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8"/>
                <w:szCs w:val="18"/>
                <w:b w:val="1"/>
                <w:bCs w:val="1"/>
                <w:color w:val="auto"/>
              </w:rPr>
              <w:t>Third Quarter</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4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w:t>
            </w:r>
          </w:p>
        </w:tc>
        <w:tc>
          <w:tcPr>
            <w:tcW w:w="62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4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w:t>
            </w:r>
          </w:p>
        </w:tc>
        <w:tc>
          <w:tcPr>
            <w:tcW w:w="62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4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88"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2"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18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5"/>
              </w:rPr>
              <w:t>Third Quarter</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2"/>
              </w:rPr>
              <w:t>Nine Months</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0"/>
        </w:trPr>
        <w:tc>
          <w:tcPr>
            <w:tcW w:w="56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9"/>
              </w:rPr>
              <w:t>2017</w:t>
            </w: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89"/>
              </w:rPr>
              <w:t>2017</w:t>
            </w:r>
          </w:p>
        </w:tc>
        <w:tc>
          <w:tcPr>
            <w:tcW w:w="180" w:type="dxa"/>
            <w:vAlign w:val="bottom"/>
            <w:tcBorders>
              <w:bottom w:val="single" w:sz="8" w:color="CFF0FC"/>
            </w:tcBorders>
          </w:tcPr>
          <w:p>
            <w:pPr>
              <w:spacing w:after="0"/>
              <w:rPr>
                <w:sz w:val="19"/>
                <w:szCs w:val="19"/>
                <w:color w:val="auto"/>
              </w:rPr>
            </w:pP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2.1%</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bl>
    <w:p>
      <w:pPr>
        <w:spacing w:after="0" w:line="19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costs for the third quarter of 2018 and the first nine months of 2018 have decreased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compared to the same periods in 2017 as a result of cost control measures.</w:t>
      </w:r>
    </w:p>
    <w:p>
      <w:pPr>
        <w:spacing w:after="0" w:line="17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The effective tax rate for the third quarter of 2018 declined year-on-year to 16.4% from 17.9%, driven primarily by the decrease in the US statutory tax rate as a result of tax reform.</w:t>
      </w:r>
    </w:p>
    <w:p>
      <w:pPr>
        <w:spacing w:after="0" w:line="17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The effective tax rate for the first nine months of 2018 was 17.6% and 26.2% for the same period in 2017. The charges described in Note 2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increased the effective tax rate for the first nine months of 2018 by 60 bps and eight percentage points for the same period of 2017, 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charges were not tax-effective. Excluding these charges, the effective tax rate for the first nine months of 2018 was 17.0% as compared to 17.8% for the same period of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and third quarters of 2018.</w:t>
      </w:r>
    </w:p>
    <w:p>
      <w:pPr>
        <w:spacing w:after="0" w:line="112"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 xml:space="preserve">During the second quarter of 2018, Schlumberger recorded a $184 million pretax charge ($164 million after-tax) associated with headcount reductions, primarily to further streamline its support cost structure. This charge is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1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Schlumberger recorded charges during the first, second and third quarters of 2017, which are fully described in Note 2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The following is a summary of the charges recorded during the first nine months of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Noncontrolling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36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Interests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FF0FC"/>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Promissory note fair value adjustment and other</w:t>
            </w:r>
          </w:p>
        </w:tc>
        <w:tc>
          <w:tcPr>
            <w:tcW w:w="120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510</w:t>
            </w:r>
          </w:p>
        </w:tc>
        <w:tc>
          <w:tcPr>
            <w:tcW w:w="1040" w:type="dxa"/>
            <w:vAlign w:val="bottom"/>
            <w:gridSpan w:val="2"/>
            <w:shd w:val="clear" w:color="auto" w:fill="CFF0FC"/>
          </w:tcPr>
          <w:p>
            <w:pPr>
              <w:jc w:val="right"/>
              <w:ind w:right="6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Merger &amp; integration</w:t>
            </w:r>
          </w:p>
        </w:tc>
        <w:tc>
          <w:tcPr>
            <w:tcW w:w="3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723</w:t>
            </w:r>
          </w:p>
        </w:tc>
        <w:tc>
          <w:tcPr>
            <w:tcW w:w="1040" w:type="dxa"/>
            <w:vAlign w:val="bottom"/>
            <w:gridSpan w:val="2"/>
            <w:shd w:val="clear" w:color="auto" w:fill="CFF0FC"/>
          </w:tcPr>
          <w:p>
            <w:pPr>
              <w:jc w:val="right"/>
              <w:ind w:right="6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1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w w:val="85"/>
              </w:rPr>
              <w:t>Liquidity and Capital Resources</w:t>
            </w:r>
          </w:p>
        </w:tc>
        <w:tc>
          <w:tcPr>
            <w:tcW w:w="3160" w:type="dxa"/>
            <w:vAlign w:val="bottom"/>
            <w:tcBorders>
              <w:top w:val="single" w:sz="8" w:color="CFF0FC"/>
              <w:bottom w:val="single" w:sz="8" w:color="CFF0FC"/>
            </w:tcBorders>
            <w:vMerge w:val="restart"/>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360" w:type="dxa"/>
            <w:vAlign w:val="bottom"/>
            <w:tcBorders>
              <w:bottom w:val="single" w:sz="8" w:color="auto"/>
            </w:tcBorders>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520" w:type="dxa"/>
            <w:vAlign w:val="bottom"/>
            <w:gridSpan w:val="2"/>
          </w:tcPr>
          <w:p>
            <w:pPr>
              <w:spacing w:after="0"/>
              <w:rPr>
                <w:sz w:val="20"/>
                <w:szCs w:val="20"/>
                <w:color w:val="auto"/>
              </w:rPr>
            </w:pPr>
            <w:r>
              <w:rPr>
                <w:rFonts w:ascii="Arial" w:cs="Arial" w:eastAsia="Arial" w:hAnsi="Arial"/>
                <w:sz w:val="18"/>
                <w:szCs w:val="18"/>
                <w:color w:val="auto"/>
                <w:w w:val="93"/>
              </w:rPr>
              <w:t>Details of the components of liquidity as well as changes in liquidity follow:</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2"/>
              </w:rPr>
              <w:t>(Stated in millions)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9"/>
              </w:rPr>
              <w:t>Sept. 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Sept.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Components of Liquidity</w:t>
            </w:r>
          </w:p>
        </w:tc>
        <w:tc>
          <w:tcPr>
            <w:tcW w:w="34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3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1,493</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(3,215)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(1,289)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(14,159)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8"/>
                <w:szCs w:val="18"/>
                <w:color w:val="auto"/>
              </w:rPr>
              <w:t>(15,871)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(14,875)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3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gridSpan w:val="2"/>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8"/>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(14,520)</w:t>
            </w:r>
          </w:p>
        </w:tc>
        <w:tc>
          <w:tcPr>
            <w:tcW w:w="120" w:type="dxa"/>
            <w:vAlign w:val="bottom"/>
            <w:vMerge w:val="continue"/>
            <w:shd w:val="clear" w:color="auto" w:fill="CFF0FC"/>
          </w:tcPr>
          <w:p>
            <w:pPr>
              <w:spacing w:after="0"/>
              <w:rPr>
                <w:sz w:val="19"/>
                <w:szCs w:val="19"/>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(12,208)</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21</w:t>
            </w:r>
          </w:p>
        </w:tc>
        <w:tc>
          <w:tcPr>
            <w:tcW w:w="8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36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85"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Changes in Liquidity:</w:t>
            </w:r>
          </w:p>
        </w:tc>
        <w:tc>
          <w:tcPr>
            <w:tcW w:w="360" w:type="dxa"/>
            <w:vAlign w:val="bottom"/>
          </w:tcPr>
          <w:p>
            <w:pPr>
              <w:spacing w:after="0"/>
              <w:rPr>
                <w:sz w:val="20"/>
                <w:szCs w:val="20"/>
                <w:color w:val="auto"/>
              </w:rPr>
            </w:pPr>
          </w:p>
        </w:tc>
        <w:tc>
          <w:tcPr>
            <w:tcW w:w="32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9"/>
              </w:rPr>
              <w:t>Nine Months Ended Sept. 30,</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2,637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Pension and other postretirement benefits funding</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(1,147)</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US federal tax refund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SPM investments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(719)</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costs capitalized</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(63)</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(300)</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(1,060)</w:t>
            </w:r>
          </w:p>
        </w:tc>
        <w:tc>
          <w:tcPr>
            <w:tcW w:w="2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(290)</w:t>
            </w:r>
          </w:p>
        </w:tc>
        <w:tc>
          <w:tcPr>
            <w:tcW w:w="2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Increase in net debt</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(1,410)</w:t>
            </w:r>
          </w:p>
        </w:tc>
        <w:tc>
          <w:tcPr>
            <w:tcW w:w="2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Net debt, beginning of period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(13,110)</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(10,121)</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debt, end of period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(14,520)</w:t>
            </w:r>
          </w:p>
        </w:tc>
        <w:tc>
          <w:tcPr>
            <w:tcW w:w="2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(12,208)</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left="520" w:hanging="514"/>
        <w:spacing w:after="0" w:line="214" w:lineRule="auto"/>
        <w:tabs>
          <w:tab w:leader="none" w:pos="520" w:val="left"/>
        </w:tabs>
        <w:numPr>
          <w:ilvl w:val="0"/>
          <w:numId w:val="24"/>
        </w:numPr>
        <w:rPr>
          <w:rFonts w:ascii="Arial" w:cs="Arial" w:eastAsia="Arial" w:hAnsi="Arial"/>
          <w:sz w:val="27"/>
          <w:szCs w:val="27"/>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520" w:hanging="514"/>
        <w:spacing w:after="0" w:line="192" w:lineRule="auto"/>
        <w:tabs>
          <w:tab w:leader="none" w:pos="5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62" w:lineRule="exact"/>
        <w:rPr>
          <w:rFonts w:ascii="Arial" w:cs="Arial" w:eastAsia="Arial" w:hAnsi="Arial"/>
          <w:sz w:val="26"/>
          <w:szCs w:val="26"/>
          <w:color w:val="auto"/>
          <w:vertAlign w:val="superscript"/>
        </w:rPr>
      </w:pPr>
    </w:p>
    <w:p>
      <w:pPr>
        <w:ind w:left="520" w:hanging="514"/>
        <w:spacing w:after="0" w:line="180" w:lineRule="auto"/>
        <w:tabs>
          <w:tab w:leader="none" w:pos="520" w:val="left"/>
        </w:tabs>
        <w:numPr>
          <w:ilvl w:val="0"/>
          <w:numId w:val="24"/>
        </w:numPr>
        <w:rPr>
          <w:rFonts w:ascii="Arial" w:cs="Arial" w:eastAsia="Arial" w:hAnsi="Arial"/>
          <w:sz w:val="22"/>
          <w:szCs w:val="22"/>
          <w:color w:val="auto"/>
          <w:vertAlign w:val="superscript"/>
        </w:rPr>
      </w:pPr>
      <w:r>
        <w:rPr>
          <w:rFonts w:ascii="Arial" w:cs="Arial" w:eastAsia="Arial" w:hAnsi="Arial"/>
          <w:sz w:val="13"/>
          <w:szCs w:val="13"/>
          <w:color w:val="auto"/>
        </w:rPr>
        <w:t>Includes severance payments of approximately $265 million and $347 million during the nine months ended September 30, 2018 and 2017, respectively.</w:t>
      </w:r>
    </w:p>
    <w:p>
      <w:pPr>
        <w:spacing w:after="0" w:line="49" w:lineRule="exact"/>
        <w:rPr>
          <w:rFonts w:ascii="Arial" w:cs="Arial" w:eastAsia="Arial" w:hAnsi="Arial"/>
          <w:sz w:val="22"/>
          <w:szCs w:val="22"/>
          <w:color w:val="auto"/>
          <w:vertAlign w:val="superscript"/>
        </w:rPr>
      </w:pPr>
    </w:p>
    <w:p>
      <w:pPr>
        <w:jc w:val="both"/>
        <w:ind w:left="520" w:hanging="514"/>
        <w:spacing w:after="0" w:line="239" w:lineRule="auto"/>
        <w:tabs>
          <w:tab w:leader="none" w:pos="520" w:val="left"/>
        </w:tabs>
        <w:numPr>
          <w:ilvl w:val="0"/>
          <w:numId w:val="24"/>
        </w:numPr>
        <w:rPr>
          <w:rFonts w:ascii="Arial" w:cs="Arial" w:eastAsia="Arial" w:hAnsi="Arial"/>
          <w:sz w:val="26"/>
          <w:szCs w:val="26"/>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Key liquidity events during the nine months of 2018 and 2017 included:</w:t>
      </w:r>
    </w:p>
    <w:p>
      <w:pPr>
        <w:spacing w:after="0" w:line="218" w:lineRule="exact"/>
        <w:rPr>
          <w:sz w:val="20"/>
          <w:szCs w:val="20"/>
          <w:color w:val="auto"/>
        </w:rPr>
      </w:pPr>
    </w:p>
    <w:p>
      <w:pPr>
        <w:jc w:val="both"/>
        <w:ind w:left="760" w:hanging="382"/>
        <w:spacing w:after="0" w:line="25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18, 2013, the Schlumberger Board of Directors (the “Board”) approved a $10 billion share repurchase program for Schlumberger common stock to be completed at the latest by June 30, 2018. This program was completed during May 2017. On January 21, 2016, the Board approved a new $10 billion share repurchase program. Schlumberger had repurchased $623 million of Schlumberger common stock under the 2016 repurchase program as of September 30, 2018.</w:t>
      </w:r>
    </w:p>
    <w:p>
      <w:pPr>
        <w:spacing w:after="0" w:line="19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the activity under these share repurchase programs:</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180"/>
        </w:trPr>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18"/>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Total cost</w:t>
            </w: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Total number</w:t>
            </w:r>
          </w:p>
        </w:tc>
        <w:tc>
          <w:tcPr>
            <w:tcW w:w="110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Average price</w:t>
            </w:r>
          </w:p>
        </w:tc>
      </w:tr>
      <w:tr>
        <w:trPr>
          <w:trHeight w:val="213"/>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of shares</w:t>
            </w: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of shares</w:t>
            </w: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paid per</w:t>
            </w:r>
          </w:p>
        </w:tc>
      </w:tr>
      <w:tr>
        <w:trPr>
          <w:trHeight w:val="215"/>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purchased</w:t>
            </w: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purchased</w:t>
            </w: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79"/>
              </w:rPr>
              <w:t>share</w:t>
            </w:r>
          </w:p>
        </w:tc>
      </w:tr>
      <w:tr>
        <w:trPr>
          <w:trHeight w:val="222"/>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w:t>
            </w: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67.67</w:t>
            </w:r>
          </w:p>
        </w:tc>
        <w:tc>
          <w:tcPr>
            <w:tcW w:w="80" w:type="dxa"/>
            <w:vAlign w:val="bottom"/>
            <w:tcBorders>
              <w:top w:val="single" w:sz="8" w:color="CFF0FC"/>
            </w:tcBorders>
            <w:shd w:val="clear" w:color="auto" w:fill="CFF0FC"/>
          </w:tcPr>
          <w:p>
            <w:pPr>
              <w:spacing w:after="0"/>
              <w:rPr>
                <w:sz w:val="19"/>
                <w:szCs w:val="19"/>
                <w:color w:val="auto"/>
              </w:rPr>
            </w:pPr>
          </w:p>
        </w:tc>
      </w:tr>
      <w:tr>
        <w:trPr>
          <w:trHeight w:val="225"/>
        </w:trPr>
        <w:tc>
          <w:tcPr>
            <w:tcW w:w="4960" w:type="dxa"/>
            <w:vAlign w:val="bottom"/>
          </w:tcPr>
          <w:p>
            <w:pPr>
              <w:spacing w:after="0"/>
              <w:rPr>
                <w:sz w:val="20"/>
                <w:szCs w:val="20"/>
                <w:color w:val="auto"/>
              </w:rPr>
            </w:pPr>
            <w:r>
              <w:rPr>
                <w:rFonts w:ascii="Arial" w:cs="Arial" w:eastAsia="Arial" w:hAnsi="Arial"/>
                <w:sz w:val="18"/>
                <w:szCs w:val="18"/>
                <w:color w:val="auto"/>
              </w:rPr>
              <w:t>Nine months ended September 30,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74.21</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2" w:name="page23"/>
    <w:bookmarkEnd w:id="22"/>
    <w:p>
      <w:pPr>
        <w:ind w:left="1020" w:hanging="363"/>
        <w:spacing w:after="0" w:line="26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were $1.5 billion during the first nine months of 2018 compared to $1.5 billion during the first nine months of 2017. Capital expenditures for full-year 2018 are expected to be approximately $2.0 billion as compared to $2.1 billion in 2017.</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operates in more than 85 countries. As of September 30, 2018, only three of those countries individually accounted for greater than 5% of Schlumberger’s net receivables balance, of which only the United States accounted for greater than 10% of such receivables.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2018, Schlumberger had $2.9 billion of cash and short-term investments on hand. Schlumberger had separate committed debt facility agreements aggregating $6.5 billion that support commercial paper programs, of which $3.4 billion was available and unused. Schlumberger believes these amounts are sufficient to meet future business requirements for at least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September 30, 2018 were $3.1 billion.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third-quarter 2018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third-quarter 2018 Form 10-Q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2017. Schlumberger’s exposure to market risk has not changed materially since December 31,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10—</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33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2018, Schlumberger had repurchased $623 million of Schlumberger common stock under its $10 billion share repurchase program.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activity for the three months ended September 30, 2018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2"/>
              </w:rPr>
              <w:t>(Stated in thousands, except per share amounts)</w:t>
            </w:r>
          </w:p>
        </w:tc>
      </w:tr>
      <w:tr>
        <w:trPr>
          <w:trHeight w:val="413"/>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4"/>
              </w:rPr>
              <w:t>shares purchased</w:t>
            </w:r>
          </w:p>
        </w:tc>
        <w:tc>
          <w:tcPr>
            <w:tcW w:w="24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w w:val="86"/>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7"/>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5"/>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under the</w:t>
            </w:r>
          </w:p>
        </w:tc>
      </w:tr>
      <w:tr>
        <w:trPr>
          <w:trHeight w:val="207"/>
        </w:trPr>
        <w:tc>
          <w:tcPr>
            <w:tcW w:w="588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shares purchased</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color w:val="auto"/>
                <w:w w:val="87"/>
              </w:rPr>
              <w:t>paid per share</w:t>
            </w:r>
          </w:p>
        </w:tc>
        <w:tc>
          <w:tcPr>
            <w:tcW w:w="2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programs</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color w:val="auto"/>
                <w:w w:val="88"/>
              </w:rPr>
              <w:t>programs</w:t>
            </w:r>
          </w:p>
        </w:tc>
        <w:tc>
          <w:tcPr>
            <w:tcW w:w="100" w:type="dxa"/>
            <w:vAlign w:val="bottom"/>
            <w:tcBorders>
              <w:bottom w:val="single" w:sz="8" w:color="CFF0FC"/>
            </w:tcBorders>
          </w:tcPr>
          <w:p>
            <w:pPr>
              <w:spacing w:after="0"/>
              <w:rPr>
                <w:sz w:val="17"/>
                <w:szCs w:val="17"/>
                <w:color w:val="auto"/>
              </w:rPr>
            </w:pPr>
          </w:p>
        </w:tc>
      </w:tr>
      <w:tr>
        <w:trPr>
          <w:trHeight w:val="222"/>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July 2018</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659.8</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9,432,247</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August 2018</w:t>
            </w:r>
          </w:p>
        </w:tc>
        <w:tc>
          <w:tcPr>
            <w:tcW w:w="1160" w:type="dxa"/>
            <w:vAlign w:val="bottom"/>
          </w:tcPr>
          <w:p>
            <w:pPr>
              <w:jc w:val="right"/>
              <w:spacing w:after="0"/>
              <w:rPr>
                <w:sz w:val="20"/>
                <w:szCs w:val="20"/>
                <w:color w:val="auto"/>
              </w:rPr>
            </w:pPr>
            <w:r>
              <w:rPr>
                <w:rFonts w:ascii="Arial" w:cs="Arial" w:eastAsia="Arial" w:hAnsi="Arial"/>
                <w:sz w:val="18"/>
                <w:szCs w:val="18"/>
                <w:color w:val="auto"/>
              </w:rPr>
              <w:t>474.5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474.5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9,401,324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September 2018</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9,376,651</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1,536.1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1,536.1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2013, Schlumberger completed the wind-down of its service operations in Iran. Prior to this, certain non-US subsidiaries provided oilfield services to the National Iranian Oil Company and certain of its affiliates (“NIOC”).</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Schlumberger’s residual transactions or dealings with the government of Iran during the third quarter of 2018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4" w:name="page25"/>
    <w:bookmarkEnd w:id="24"/>
    <w:p>
      <w:pPr>
        <w:spacing w:after="0" w:line="329" w:lineRule="auto"/>
        <w:rPr>
          <w:sz w:val="20"/>
          <w:szCs w:val="20"/>
          <w:color w:val="auto"/>
        </w:rPr>
      </w:pPr>
      <w:r>
        <w:rPr>
          <w:rFonts w:ascii="Arial" w:cs="Arial" w:eastAsia="Arial" w:hAnsi="Arial"/>
          <w:sz w:val="16"/>
          <w:szCs w:val="16"/>
          <w:color w:val="auto"/>
        </w:rPr>
        <w:t>previously received. One non-US subsidiary also maintains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237" w:lineRule="exact"/>
        <w:rPr>
          <w:sz w:val="20"/>
          <w:szCs w:val="20"/>
          <w:color w:val="auto"/>
        </w:rPr>
      </w:pPr>
    </w:p>
    <w:p>
      <w:pPr>
        <w:ind w:left="440"/>
        <w:spacing w:after="0" w:line="266" w:lineRule="auto"/>
        <w:rPr>
          <w:rFonts w:ascii="Arial" w:cs="Arial" w:eastAsia="Arial" w:hAnsi="Arial"/>
          <w:sz w:val="18"/>
          <w:szCs w:val="18"/>
          <w:u w:val="single" w:color="auto"/>
          <w:color w:val="0000EE"/>
        </w:rPr>
      </w:pPr>
      <w:hyperlink r:id="rId50">
        <w:r>
          <w:rPr>
            <w:rFonts w:ascii="Arial" w:cs="Arial" w:eastAsia="Arial" w:hAnsi="Arial"/>
            <w:sz w:val="18"/>
            <w:szCs w:val="18"/>
            <w:color w:val="auto"/>
          </w:rPr>
          <w:t>Exhibit 3.1—</w:t>
        </w:r>
        <w:r>
          <w:rPr>
            <w:rFonts w:ascii="Arial" w:cs="Arial" w:eastAsia="Arial" w:hAnsi="Arial"/>
            <w:sz w:val="18"/>
            <w:szCs w:val="18"/>
            <w:u w:val="single" w:color="auto"/>
            <w:color w:val="0000EE"/>
          </w:rPr>
          <w:t>Articles of Incorporation of Schlumberger Limited (Schlumberger N.V.) (incorporated by reference to Exhibit 3.1 to Schlumberger’s Current</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Report on Form 8-K filed on April 6, 2016)</w:t>
        </w:r>
      </w:hyperlink>
    </w:p>
    <w:p>
      <w:pPr>
        <w:spacing w:after="0" w:line="86" w:lineRule="exact"/>
        <w:rPr>
          <w:sz w:val="20"/>
          <w:szCs w:val="20"/>
          <w:color w:val="auto"/>
        </w:rPr>
      </w:pPr>
    </w:p>
    <w:p>
      <w:pPr>
        <w:ind w:left="440" w:right="80"/>
        <w:spacing w:after="0" w:line="266" w:lineRule="auto"/>
        <w:rPr>
          <w:rFonts w:ascii="Arial" w:cs="Arial" w:eastAsia="Arial" w:hAnsi="Arial"/>
          <w:sz w:val="18"/>
          <w:szCs w:val="18"/>
          <w:u w:val="single" w:color="auto"/>
          <w:color w:val="0000EE"/>
        </w:rPr>
      </w:pPr>
      <w:hyperlink r:id="rId51">
        <w:r>
          <w:rPr>
            <w:rFonts w:ascii="Arial" w:cs="Arial" w:eastAsia="Arial" w:hAnsi="Arial"/>
            <w:sz w:val="18"/>
            <w:szCs w:val="18"/>
            <w:color w:val="auto"/>
          </w:rPr>
          <w:t>Exhibit 3.2—</w:t>
        </w:r>
        <w:r>
          <w:rPr>
            <w:rFonts w:ascii="Arial" w:cs="Arial" w:eastAsia="Arial" w:hAnsi="Arial"/>
            <w:sz w:val="18"/>
            <w:szCs w:val="18"/>
            <w:u w:val="single" w:color="auto"/>
            <w:color w:val="0000EE"/>
          </w:rPr>
          <w:t>Amended and Restated By-laws of Schlumberger Limited (Schlumberger N.V.) (incorporated by reference to Exhibit 3.1 to Schlumberger’s</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Current Report on Form 8-K filed on January 19, 2017)</w:t>
        </w:r>
      </w:hyperlink>
    </w:p>
    <w:p>
      <w:pPr>
        <w:spacing w:after="0" w:line="86" w:lineRule="exact"/>
        <w:rPr>
          <w:sz w:val="20"/>
          <w:szCs w:val="20"/>
          <w:color w:val="auto"/>
        </w:rPr>
      </w:pPr>
    </w:p>
    <w:p>
      <w:pPr>
        <w:ind w:left="580" w:hanging="140"/>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Exhibit 10.1— </w:t>
      </w:r>
      <w:hyperlink w:anchor="page28">
        <w:r>
          <w:rPr>
            <w:rFonts w:ascii="Arial" w:cs="Arial" w:eastAsia="Arial" w:hAnsi="Arial"/>
            <w:sz w:val="18"/>
            <w:szCs w:val="18"/>
            <w:u w:val="single" w:color="auto"/>
            <w:color w:val="0000EE"/>
          </w:rPr>
          <w:t>Third Amendment to the Schlumberger Limited Restoration Savings Plan (+)</w:t>
        </w:r>
      </w:hyperlink>
    </w:p>
    <w:p>
      <w:pPr>
        <w:spacing w:after="0" w:line="125" w:lineRule="exact"/>
        <w:rPr>
          <w:rFonts w:ascii="Arial" w:cs="Arial" w:eastAsia="Arial" w:hAnsi="Arial"/>
          <w:sz w:val="18"/>
          <w:szCs w:val="18"/>
          <w:color w:val="auto"/>
        </w:rPr>
      </w:pPr>
    </w:p>
    <w:p>
      <w:pPr>
        <w:ind w:left="440" w:right="380"/>
        <w:spacing w:after="0" w:line="266" w:lineRule="auto"/>
        <w:tabs>
          <w:tab w:leader="none" w:pos="573" w:val="left"/>
        </w:tabs>
        <w:numPr>
          <w:ilvl w:val="0"/>
          <w:numId w:val="27"/>
        </w:numPr>
        <w:rPr>
          <w:rFonts w:ascii="Arial" w:cs="Arial" w:eastAsia="Arial" w:hAnsi="Arial"/>
          <w:sz w:val="18"/>
          <w:szCs w:val="18"/>
          <w:u w:val="single" w:color="auto"/>
          <w:color w:val="0000EE"/>
        </w:rPr>
      </w:pPr>
      <w:hyperlink w:anchor="page30">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30">
        <w:r>
          <w:rPr>
            <w:rFonts w:ascii="Arial" w:cs="Arial" w:eastAsia="Arial" w:hAnsi="Arial"/>
            <w:sz w:val="18"/>
            <w:szCs w:val="18"/>
            <w:u w:val="single" w:color="auto"/>
            <w:color w:val="0000EE"/>
          </w:rPr>
          <w:t>pursuant to Section 302 of the Sarbanes-Oxley Act of 2002</w:t>
        </w:r>
      </w:hyperlink>
    </w:p>
    <w:p>
      <w:pPr>
        <w:spacing w:after="0" w:line="86" w:lineRule="exact"/>
        <w:rPr>
          <w:rFonts w:ascii="Arial" w:cs="Arial" w:eastAsia="Arial" w:hAnsi="Arial"/>
          <w:sz w:val="18"/>
          <w:szCs w:val="18"/>
          <w:u w:val="single" w:color="auto"/>
          <w:color w:val="0000EE"/>
        </w:rPr>
      </w:pPr>
    </w:p>
    <w:p>
      <w:pPr>
        <w:ind w:left="440" w:right="440"/>
        <w:spacing w:after="0" w:line="266" w:lineRule="auto"/>
        <w:tabs>
          <w:tab w:leader="none" w:pos="573" w:val="left"/>
        </w:tabs>
        <w:numPr>
          <w:ilvl w:val="0"/>
          <w:numId w:val="27"/>
        </w:numPr>
        <w:rPr>
          <w:rFonts w:ascii="Arial" w:cs="Arial" w:eastAsia="Arial" w:hAnsi="Arial"/>
          <w:sz w:val="18"/>
          <w:szCs w:val="18"/>
          <w:u w:val="single" w:color="auto"/>
          <w:color w:val="0000EE"/>
        </w:rPr>
      </w:pPr>
      <w:hyperlink w:anchor="page31">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EE"/>
          </w:rPr>
          <w:t>pursuant to Section 302 of the Sarbanes-Oxley Act of 2002</w:t>
        </w:r>
      </w:hyperlink>
    </w:p>
    <w:p>
      <w:pPr>
        <w:spacing w:after="0" w:line="86" w:lineRule="exact"/>
        <w:rPr>
          <w:rFonts w:ascii="Arial" w:cs="Arial" w:eastAsia="Arial" w:hAnsi="Arial"/>
          <w:sz w:val="18"/>
          <w:szCs w:val="18"/>
          <w:color w:val="auto"/>
        </w:rPr>
      </w:pPr>
    </w:p>
    <w:p>
      <w:pPr>
        <w:ind w:left="440" w:right="100"/>
        <w:spacing w:after="0" w:line="266" w:lineRule="auto"/>
        <w:tabs>
          <w:tab w:leader="none" w:pos="661" w:val="left"/>
        </w:tabs>
        <w:numPr>
          <w:ilvl w:val="0"/>
          <w:numId w:val="28"/>
        </w:numPr>
        <w:rPr>
          <w:rFonts w:ascii="Arial" w:cs="Arial" w:eastAsia="Arial" w:hAnsi="Arial"/>
          <w:sz w:val="18"/>
          <w:szCs w:val="18"/>
          <w:u w:val="single" w:color="auto"/>
          <w:color w:val="0000EE"/>
        </w:rPr>
      </w:pPr>
      <w:hyperlink w:anchor="page32">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Sarbanes-Oxley</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EE"/>
          </w:rPr>
          <w:t>Act of 2002</w:t>
        </w:r>
      </w:hyperlink>
    </w:p>
    <w:p>
      <w:pPr>
        <w:spacing w:after="0" w:line="86" w:lineRule="exact"/>
        <w:rPr>
          <w:rFonts w:ascii="Arial" w:cs="Arial" w:eastAsia="Arial" w:hAnsi="Arial"/>
          <w:sz w:val="18"/>
          <w:szCs w:val="18"/>
          <w:u w:val="single" w:color="auto"/>
          <w:color w:val="0000EE"/>
        </w:rPr>
      </w:pPr>
    </w:p>
    <w:p>
      <w:pPr>
        <w:ind w:left="440" w:right="140"/>
        <w:spacing w:after="0" w:line="266" w:lineRule="auto"/>
        <w:tabs>
          <w:tab w:leader="none" w:pos="661" w:val="left"/>
        </w:tabs>
        <w:numPr>
          <w:ilvl w:val="0"/>
          <w:numId w:val="28"/>
        </w:numPr>
        <w:rPr>
          <w:rFonts w:ascii="Arial" w:cs="Arial" w:eastAsia="Arial" w:hAnsi="Arial"/>
          <w:sz w:val="18"/>
          <w:szCs w:val="18"/>
          <w:u w:val="single" w:color="auto"/>
          <w:color w:val="0000EE"/>
        </w:rPr>
      </w:pPr>
      <w:hyperlink w:anchor="page33">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Sarbanes-Oxley</w:t>
        </w:r>
      </w:hyperlink>
      <w:r>
        <w:rPr>
          <w:rFonts w:ascii="Arial" w:cs="Arial" w:eastAsia="Arial" w:hAnsi="Arial"/>
          <w:sz w:val="18"/>
          <w:szCs w:val="18"/>
          <w:color w:val="auto"/>
        </w:rPr>
        <w:t xml:space="preserve"> </w:t>
      </w:r>
      <w:hyperlink w:anchor="page33">
        <w:r>
          <w:rPr>
            <w:rFonts w:ascii="Arial" w:cs="Arial" w:eastAsia="Arial" w:hAnsi="Arial"/>
            <w:sz w:val="18"/>
            <w:szCs w:val="18"/>
            <w:u w:val="single" w:color="auto"/>
            <w:color w:val="0000EE"/>
          </w:rPr>
          <w:t>Act of 2002</w:t>
        </w:r>
      </w:hyperlink>
    </w:p>
    <w:p>
      <w:pPr>
        <w:spacing w:after="0" w:line="86" w:lineRule="exact"/>
        <w:rPr>
          <w:rFonts w:ascii="Arial" w:cs="Arial" w:eastAsia="Arial" w:hAnsi="Arial"/>
          <w:sz w:val="18"/>
          <w:szCs w:val="18"/>
          <w:color w:val="auto"/>
        </w:rPr>
      </w:pPr>
    </w:p>
    <w:p>
      <w:pPr>
        <w:ind w:left="580" w:hanging="140"/>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95—</w:t>
      </w:r>
      <w:hyperlink w:anchor="page34">
        <w:r>
          <w:rPr>
            <w:rFonts w:ascii="Arial" w:cs="Arial" w:eastAsia="Arial" w:hAnsi="Arial"/>
            <w:sz w:val="18"/>
            <w:szCs w:val="18"/>
            <w:u w:val="single" w:color="auto"/>
            <w:color w:val="0000EE"/>
          </w:rPr>
          <w:t>Mine Safety Disclosures</w:t>
        </w:r>
      </w:hyperlink>
    </w:p>
    <w:p>
      <w:pPr>
        <w:spacing w:after="0" w:line="125" w:lineRule="exact"/>
        <w:rPr>
          <w:rFonts w:ascii="Arial" w:cs="Arial" w:eastAsia="Arial" w:hAnsi="Arial"/>
          <w:sz w:val="18"/>
          <w:szCs w:val="18"/>
          <w:color w:val="auto"/>
        </w:rPr>
      </w:pPr>
    </w:p>
    <w:p>
      <w:pPr>
        <w:ind w:left="440" w:right="180"/>
        <w:spacing w:after="0" w:line="253" w:lineRule="auto"/>
        <w:tabs>
          <w:tab w:leader="none" w:pos="5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September 30, 2018, formatted in XBRL (Extensible Business Reporting Language): (i) Consolidated Statement of Income (Loss); (ii) Consolidated Statement of Comprehensive Income (Loss); (iii) Consolidated Balance Sheet; (iv) Consolidated Statement of Cash Flows; (v) Consolidated Statement of Equity and (vi) Notes to Consolidated Financial Statements.</w:t>
      </w:r>
    </w:p>
    <w:p>
      <w:pPr>
        <w:spacing w:after="0" w:line="97" w:lineRule="exact"/>
        <w:rPr>
          <w:rFonts w:ascii="Arial" w:cs="Arial" w:eastAsia="Arial" w:hAnsi="Arial"/>
          <w:sz w:val="18"/>
          <w:szCs w:val="18"/>
          <w:color w:val="auto"/>
        </w:rPr>
      </w:pPr>
    </w:p>
    <w:p>
      <w:pPr>
        <w:ind w:left="580" w:hanging="140"/>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7"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6"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Compensatory plans or arrangements.</w:t>
      </w: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26" w:name="page27"/>
    <w:bookmarkEnd w:id="26"/>
    <w:p>
      <w:pPr>
        <w:jc w:val="center"/>
        <w:ind w:right="-399"/>
        <w:spacing w:after="0"/>
        <w:rPr>
          <w:sz w:val="20"/>
          <w:szCs w:val="20"/>
          <w:color w:val="auto"/>
        </w:rPr>
      </w:pPr>
      <w:r>
        <w:rPr>
          <w:rFonts w:ascii="Arial" w:cs="Arial" w:eastAsia="Arial" w:hAnsi="Arial"/>
          <w:sz w:val="18"/>
          <w:szCs w:val="18"/>
          <w:color w:val="auto"/>
        </w:rPr>
        <w:t>SIGNATURE</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spacing w:after="0"/>
        <w:tabs>
          <w:tab w:leader="none" w:pos="7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2018</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11430</wp:posOffset>
            </wp:positionV>
            <wp:extent cx="2911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29"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240" w:top="366" w:right="639" w:bottom="1440" w:gutter="0" w:footer="0" w:header="0"/>
        </w:sectPr>
      </w:pPr>
    </w:p>
    <w:bookmarkStart w:id="27" w:name="page28"/>
    <w:bookmarkEnd w:id="27"/>
    <w:p>
      <w:pPr>
        <w:jc w:val="right"/>
        <w:spacing w:after="0"/>
        <w:rPr>
          <w:sz w:val="20"/>
          <w:szCs w:val="20"/>
          <w:color w:val="auto"/>
        </w:rPr>
      </w:pPr>
      <w:r>
        <w:rPr>
          <w:rFonts w:ascii="Arial" w:cs="Arial" w:eastAsia="Arial" w:hAnsi="Arial"/>
          <w:sz w:val="21"/>
          <w:szCs w:val="21"/>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SCHLUMBERGER LIMITED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RESTORATION SAVINGS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Amended and Restated Effective January 1, 2014)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Third Amendment</w:t>
      </w:r>
    </w:p>
    <w:p>
      <w:pPr>
        <w:spacing w:after="0" w:line="210" w:lineRule="exact"/>
        <w:rPr>
          <w:sz w:val="20"/>
          <w:szCs w:val="20"/>
          <w:color w:val="auto"/>
        </w:rPr>
      </w:pPr>
    </w:p>
    <w:p>
      <w:pPr>
        <w:jc w:val="both"/>
        <w:ind w:firstLine="1756"/>
        <w:spacing w:after="0" w:line="255" w:lineRule="auto"/>
        <w:rPr>
          <w:sz w:val="20"/>
          <w:szCs w:val="20"/>
          <w:color w:val="auto"/>
        </w:rPr>
      </w:pPr>
      <w:r>
        <w:rPr>
          <w:rFonts w:ascii="Arial" w:cs="Arial" w:eastAsia="Arial" w:hAnsi="Arial"/>
          <w:sz w:val="20"/>
          <w:szCs w:val="20"/>
          <w:color w:val="auto"/>
        </w:rPr>
        <w:t>Schlumberger Limited, a Curacao corporation (the “Company”), having reserved the right under Section 8.02 of the Schlumberger Limited Restoration Savings Plan, as amended and restated effective as of January 1, 2014, and as thereafter amended (the “Plan”), to amend the Plan, does hereby amend the Plan, effective as of January 1, 2018, as follows:</w:t>
      </w:r>
    </w:p>
    <w:p>
      <w:pPr>
        <w:spacing w:after="0" w:line="3" w:lineRule="exact"/>
        <w:rPr>
          <w:sz w:val="20"/>
          <w:szCs w:val="20"/>
          <w:color w:val="auto"/>
        </w:rPr>
      </w:pPr>
    </w:p>
    <w:tbl>
      <w:tblPr>
        <w:tblLayout w:type="fixed"/>
        <w:tblInd w:w="880" w:type="dxa"/>
        <w:tblCellMar>
          <w:top w:w="0" w:type="dxa"/>
          <w:left w:w="0" w:type="dxa"/>
          <w:bottom w:w="0" w:type="dxa"/>
          <w:right w:w="0" w:type="dxa"/>
        </w:tblCellMar>
      </w:tblPr>
      <w:tr>
        <w:trPr>
          <w:trHeight w:val="271"/>
        </w:trPr>
        <w:tc>
          <w:tcPr>
            <w:tcW w:w="1900" w:type="dxa"/>
            <w:vAlign w:val="bottom"/>
          </w:tcPr>
          <w:p>
            <w:pPr>
              <w:jc w:val="right"/>
              <w:ind w:right="754"/>
              <w:spacing w:after="0"/>
              <w:rPr>
                <w:sz w:val="20"/>
                <w:szCs w:val="20"/>
                <w:color w:val="auto"/>
              </w:rPr>
            </w:pPr>
            <w:r>
              <w:rPr>
                <w:rFonts w:ascii="Arial" w:cs="Arial" w:eastAsia="Arial" w:hAnsi="Arial"/>
                <w:sz w:val="21"/>
                <w:szCs w:val="21"/>
                <w:color w:val="auto"/>
              </w:rPr>
              <w:t>1.</w:t>
            </w:r>
          </w:p>
        </w:tc>
        <w:tc>
          <w:tcPr>
            <w:tcW w:w="8640" w:type="dxa"/>
            <w:vAlign w:val="bottom"/>
          </w:tcPr>
          <w:p>
            <w:pPr>
              <w:ind w:left="1100"/>
              <w:spacing w:after="0"/>
              <w:rPr>
                <w:sz w:val="20"/>
                <w:szCs w:val="20"/>
                <w:color w:val="auto"/>
              </w:rPr>
            </w:pPr>
            <w:r>
              <w:rPr>
                <w:rFonts w:ascii="Arial" w:cs="Arial" w:eastAsia="Arial" w:hAnsi="Arial"/>
                <w:sz w:val="21"/>
                <w:szCs w:val="21"/>
                <w:color w:val="auto"/>
              </w:rPr>
              <w:t>Section 1.19A of the Plan is hereby added to the Plan to read as follows:</w:t>
            </w:r>
          </w:p>
        </w:tc>
      </w:tr>
      <w:tr>
        <w:trPr>
          <w:trHeight w:val="402"/>
        </w:trPr>
        <w:tc>
          <w:tcPr>
            <w:tcW w:w="1900" w:type="dxa"/>
            <w:vAlign w:val="bottom"/>
          </w:tcPr>
          <w:p>
            <w:pPr>
              <w:jc w:val="right"/>
              <w:ind w:right="354"/>
              <w:spacing w:after="0"/>
              <w:rPr>
                <w:sz w:val="20"/>
                <w:szCs w:val="20"/>
                <w:color w:val="auto"/>
              </w:rPr>
            </w:pPr>
            <w:r>
              <w:rPr>
                <w:rFonts w:ascii="Arial" w:cs="Arial" w:eastAsia="Arial" w:hAnsi="Arial"/>
                <w:sz w:val="21"/>
                <w:szCs w:val="21"/>
                <w:color w:val="auto"/>
              </w:rPr>
              <w:t>“1.19A</w:t>
            </w:r>
          </w:p>
        </w:tc>
        <w:tc>
          <w:tcPr>
            <w:tcW w:w="8640" w:type="dxa"/>
            <w:vAlign w:val="bottom"/>
          </w:tcPr>
          <w:p>
            <w:pPr>
              <w:ind w:left="180"/>
              <w:spacing w:after="0"/>
              <w:rPr>
                <w:sz w:val="20"/>
                <w:szCs w:val="20"/>
                <w:color w:val="auto"/>
              </w:rPr>
            </w:pPr>
            <w:r>
              <w:rPr>
                <w:rFonts w:ascii="Arial" w:cs="Arial" w:eastAsia="Arial" w:hAnsi="Arial"/>
                <w:sz w:val="21"/>
                <w:szCs w:val="21"/>
                <w:color w:val="auto"/>
                <w:w w:val="95"/>
              </w:rPr>
              <w:t>‘Non-Elective Contributions’ shall mean the amount contributed by the Employer in accordance</w:t>
            </w:r>
          </w:p>
        </w:tc>
      </w:tr>
      <w:tr>
        <w:trPr>
          <w:trHeight w:val="271"/>
        </w:trPr>
        <w:tc>
          <w:tcPr>
            <w:tcW w:w="1900" w:type="dxa"/>
            <w:vAlign w:val="bottom"/>
          </w:tcPr>
          <w:p>
            <w:pPr>
              <w:spacing w:after="0"/>
              <w:rPr>
                <w:sz w:val="20"/>
                <w:szCs w:val="20"/>
                <w:color w:val="auto"/>
              </w:rPr>
            </w:pPr>
            <w:r>
              <w:rPr>
                <w:rFonts w:ascii="Arial" w:cs="Arial" w:eastAsia="Arial" w:hAnsi="Arial"/>
                <w:sz w:val="21"/>
                <w:szCs w:val="21"/>
                <w:color w:val="auto"/>
              </w:rPr>
              <w:t>with Section 4.03.”</w:t>
            </w:r>
          </w:p>
        </w:tc>
        <w:tc>
          <w:tcPr>
            <w:tcW w:w="8640" w:type="dxa"/>
            <w:vAlign w:val="bottom"/>
          </w:tcPr>
          <w:p>
            <w:pPr>
              <w:spacing w:after="0"/>
              <w:rPr>
                <w:sz w:val="23"/>
                <w:szCs w:val="23"/>
                <w:color w:val="auto"/>
              </w:rPr>
            </w:pPr>
          </w:p>
        </w:tc>
      </w:tr>
      <w:tr>
        <w:trPr>
          <w:trHeight w:val="452"/>
        </w:trPr>
        <w:tc>
          <w:tcPr>
            <w:tcW w:w="1900" w:type="dxa"/>
            <w:vAlign w:val="bottom"/>
          </w:tcPr>
          <w:p>
            <w:pPr>
              <w:jc w:val="right"/>
              <w:ind w:right="754"/>
              <w:spacing w:after="0"/>
              <w:rPr>
                <w:sz w:val="20"/>
                <w:szCs w:val="20"/>
                <w:color w:val="auto"/>
              </w:rPr>
            </w:pPr>
            <w:r>
              <w:rPr>
                <w:rFonts w:ascii="Arial" w:cs="Arial" w:eastAsia="Arial" w:hAnsi="Arial"/>
                <w:sz w:val="21"/>
                <w:szCs w:val="21"/>
                <w:color w:val="auto"/>
              </w:rPr>
              <w:t>2.</w:t>
            </w:r>
          </w:p>
        </w:tc>
        <w:tc>
          <w:tcPr>
            <w:tcW w:w="8640" w:type="dxa"/>
            <w:vAlign w:val="bottom"/>
          </w:tcPr>
          <w:p>
            <w:pPr>
              <w:ind w:left="1060"/>
              <w:spacing w:after="0"/>
              <w:rPr>
                <w:sz w:val="20"/>
                <w:szCs w:val="20"/>
                <w:color w:val="auto"/>
              </w:rPr>
            </w:pPr>
            <w:r>
              <w:rPr>
                <w:rFonts w:ascii="Arial" w:cs="Arial" w:eastAsia="Arial" w:hAnsi="Arial"/>
                <w:sz w:val="21"/>
                <w:szCs w:val="21"/>
                <w:color w:val="auto"/>
              </w:rPr>
              <w:t>Section 1.25A of the Plan is hereby added to the Plan to read as follows:</w:t>
            </w:r>
          </w:p>
        </w:tc>
      </w:tr>
      <w:tr>
        <w:trPr>
          <w:trHeight w:val="420"/>
        </w:trPr>
        <w:tc>
          <w:tcPr>
            <w:tcW w:w="1900" w:type="dxa"/>
            <w:vAlign w:val="bottom"/>
          </w:tcPr>
          <w:p>
            <w:pPr>
              <w:jc w:val="right"/>
              <w:ind w:right="354"/>
              <w:spacing w:after="0"/>
              <w:rPr>
                <w:sz w:val="20"/>
                <w:szCs w:val="20"/>
                <w:color w:val="auto"/>
              </w:rPr>
            </w:pPr>
            <w:r>
              <w:rPr>
                <w:rFonts w:ascii="Arial" w:cs="Arial" w:eastAsia="Arial" w:hAnsi="Arial"/>
                <w:sz w:val="21"/>
                <w:szCs w:val="21"/>
                <w:color w:val="auto"/>
              </w:rPr>
              <w:t>“1.25A</w:t>
            </w:r>
          </w:p>
        </w:tc>
        <w:tc>
          <w:tcPr>
            <w:tcW w:w="8640" w:type="dxa"/>
            <w:vAlign w:val="bottom"/>
          </w:tcPr>
          <w:p>
            <w:pPr>
              <w:ind w:left="180"/>
              <w:spacing w:after="0"/>
              <w:rPr>
                <w:sz w:val="20"/>
                <w:szCs w:val="20"/>
                <w:color w:val="auto"/>
              </w:rPr>
            </w:pPr>
            <w:r>
              <w:rPr>
                <w:rFonts w:ascii="Arial" w:cs="Arial" w:eastAsia="Arial" w:hAnsi="Arial"/>
                <w:sz w:val="21"/>
                <w:szCs w:val="21"/>
                <w:color w:val="auto"/>
                <w:w w:val="95"/>
              </w:rPr>
              <w:t>‘Transfer Date’ shall mean the date a Transfer Employee meets the requirements to become an</w:t>
            </w:r>
          </w:p>
        </w:tc>
      </w:tr>
      <w:tr>
        <w:trPr>
          <w:trHeight w:val="271"/>
        </w:trPr>
        <w:tc>
          <w:tcPr>
            <w:tcW w:w="1900" w:type="dxa"/>
            <w:vAlign w:val="bottom"/>
          </w:tcPr>
          <w:p>
            <w:pPr>
              <w:spacing w:after="0"/>
              <w:rPr>
                <w:sz w:val="20"/>
                <w:szCs w:val="20"/>
                <w:color w:val="auto"/>
              </w:rPr>
            </w:pPr>
            <w:r>
              <w:rPr>
                <w:rFonts w:ascii="Arial" w:cs="Arial" w:eastAsia="Arial" w:hAnsi="Arial"/>
                <w:sz w:val="21"/>
                <w:szCs w:val="21"/>
                <w:color w:val="auto"/>
              </w:rPr>
              <w:t>Eligible Employee.”</w:t>
            </w:r>
          </w:p>
        </w:tc>
        <w:tc>
          <w:tcPr>
            <w:tcW w:w="8640" w:type="dxa"/>
            <w:vAlign w:val="bottom"/>
          </w:tcPr>
          <w:p>
            <w:pPr>
              <w:spacing w:after="0"/>
              <w:rPr>
                <w:sz w:val="23"/>
                <w:szCs w:val="23"/>
                <w:color w:val="auto"/>
              </w:rPr>
            </w:pPr>
          </w:p>
        </w:tc>
      </w:tr>
      <w:tr>
        <w:trPr>
          <w:trHeight w:val="452"/>
        </w:trPr>
        <w:tc>
          <w:tcPr>
            <w:tcW w:w="1900" w:type="dxa"/>
            <w:vAlign w:val="bottom"/>
          </w:tcPr>
          <w:p>
            <w:pPr>
              <w:jc w:val="right"/>
              <w:ind w:right="754"/>
              <w:spacing w:after="0"/>
              <w:rPr>
                <w:sz w:val="20"/>
                <w:szCs w:val="20"/>
                <w:color w:val="auto"/>
              </w:rPr>
            </w:pPr>
            <w:r>
              <w:rPr>
                <w:rFonts w:ascii="Arial" w:cs="Arial" w:eastAsia="Arial" w:hAnsi="Arial"/>
                <w:sz w:val="21"/>
                <w:szCs w:val="21"/>
                <w:color w:val="auto"/>
              </w:rPr>
              <w:t>3.</w:t>
            </w:r>
          </w:p>
        </w:tc>
        <w:tc>
          <w:tcPr>
            <w:tcW w:w="8640" w:type="dxa"/>
            <w:vAlign w:val="bottom"/>
          </w:tcPr>
          <w:p>
            <w:pPr>
              <w:ind w:left="1060"/>
              <w:spacing w:after="0"/>
              <w:rPr>
                <w:sz w:val="20"/>
                <w:szCs w:val="20"/>
                <w:color w:val="auto"/>
              </w:rPr>
            </w:pPr>
            <w:r>
              <w:rPr>
                <w:rFonts w:ascii="Arial" w:cs="Arial" w:eastAsia="Arial" w:hAnsi="Arial"/>
                <w:sz w:val="21"/>
                <w:szCs w:val="21"/>
                <w:color w:val="auto"/>
              </w:rPr>
              <w:t>Section 1.25B of the Plan is hereby added to the Plan to read as follows:</w:t>
            </w:r>
          </w:p>
        </w:tc>
      </w:tr>
    </w:tbl>
    <w:p>
      <w:pPr>
        <w:spacing w:after="0" w:line="180" w:lineRule="exact"/>
        <w:rPr>
          <w:sz w:val="20"/>
          <w:szCs w:val="20"/>
          <w:color w:val="auto"/>
        </w:rPr>
      </w:pPr>
    </w:p>
    <w:p>
      <w:pPr>
        <w:jc w:val="both"/>
        <w:ind w:left="880" w:firstLine="810"/>
        <w:spacing w:after="0" w:line="292" w:lineRule="auto"/>
        <w:rPr>
          <w:sz w:val="20"/>
          <w:szCs w:val="20"/>
          <w:color w:val="auto"/>
        </w:rPr>
      </w:pPr>
      <w:r>
        <w:rPr>
          <w:rFonts w:ascii="Arial" w:cs="Arial" w:eastAsia="Arial" w:hAnsi="Arial"/>
          <w:sz w:val="20"/>
          <w:szCs w:val="20"/>
          <w:color w:val="auto"/>
        </w:rPr>
        <w:t>“1.25B ‘Transfer Employee’ shall means an individual who is an employee compensated on a non-U.S. payroll of an Employer or an Affiliate and transfers into a position that qualifies him or her as an Eligible Employee.”</w:t>
      </w:r>
    </w:p>
    <w:p>
      <w:pPr>
        <w:spacing w:after="0" w:line="131" w:lineRule="exact"/>
        <w:rPr>
          <w:sz w:val="20"/>
          <w:szCs w:val="20"/>
          <w:color w:val="auto"/>
        </w:rPr>
      </w:pPr>
    </w:p>
    <w:p>
      <w:pPr>
        <w:ind w:firstLine="1756"/>
        <w:spacing w:after="0" w:line="267" w:lineRule="auto"/>
        <w:rPr>
          <w:sz w:val="20"/>
          <w:szCs w:val="20"/>
          <w:color w:val="auto"/>
        </w:rPr>
      </w:pPr>
      <w:r>
        <w:rPr>
          <w:rFonts w:ascii="Arial" w:cs="Arial" w:eastAsia="Arial" w:hAnsi="Arial"/>
          <w:sz w:val="21"/>
          <w:szCs w:val="21"/>
          <w:color w:val="auto"/>
        </w:rPr>
        <w:t>4. Section 3.01 of the Plan is hereby amended by adding a new paragraph to the end thereof to read as follows:</w:t>
      </w:r>
    </w:p>
    <w:p>
      <w:pPr>
        <w:spacing w:after="0" w:line="154" w:lineRule="exact"/>
        <w:rPr>
          <w:sz w:val="20"/>
          <w:szCs w:val="20"/>
          <w:color w:val="auto"/>
        </w:rPr>
      </w:pPr>
    </w:p>
    <w:p>
      <w:pPr>
        <w:ind w:left="880"/>
        <w:spacing w:after="0" w:line="267" w:lineRule="auto"/>
        <w:rPr>
          <w:sz w:val="20"/>
          <w:szCs w:val="20"/>
          <w:color w:val="auto"/>
        </w:rPr>
      </w:pPr>
      <w:r>
        <w:rPr>
          <w:rFonts w:ascii="Arial" w:cs="Arial" w:eastAsia="Arial" w:hAnsi="Arial"/>
          <w:sz w:val="21"/>
          <w:szCs w:val="21"/>
          <w:color w:val="auto"/>
        </w:rPr>
        <w:t>“Notwithstanding the foregoing, and subject to Section 4.03, Transfer Employees may commence participation in the Plan in the year in which the Transfer Date occurs regardless of any election to defer Compensation.”</w:t>
      </w:r>
    </w:p>
    <w:p>
      <w:pPr>
        <w:spacing w:after="0" w:line="154" w:lineRule="exact"/>
        <w:rPr>
          <w:sz w:val="20"/>
          <w:szCs w:val="20"/>
          <w:color w:val="auto"/>
        </w:rPr>
      </w:pPr>
    </w:p>
    <w:p>
      <w:pPr>
        <w:ind w:left="1760"/>
        <w:spacing w:after="0"/>
        <w:tabs>
          <w:tab w:leader="none" w:pos="3820" w:val="left"/>
        </w:tabs>
        <w:rPr>
          <w:sz w:val="20"/>
          <w:szCs w:val="20"/>
          <w:color w:val="auto"/>
        </w:rPr>
      </w:pPr>
      <w:r>
        <w:rPr>
          <w:rFonts w:ascii="Arial" w:cs="Arial" w:eastAsia="Arial" w:hAnsi="Arial"/>
          <w:sz w:val="21"/>
          <w:szCs w:val="21"/>
          <w:color w:val="auto"/>
        </w:rPr>
        <w:t>5.</w:t>
      </w:r>
      <w:r>
        <w:rPr>
          <w:sz w:val="20"/>
          <w:szCs w:val="20"/>
          <w:color w:val="auto"/>
        </w:rPr>
        <w:tab/>
      </w:r>
      <w:r>
        <w:rPr>
          <w:rFonts w:ascii="Arial" w:cs="Arial" w:eastAsia="Arial" w:hAnsi="Arial"/>
          <w:sz w:val="21"/>
          <w:szCs w:val="21"/>
          <w:color w:val="auto"/>
        </w:rPr>
        <w:t>A new Section 4.03 is hereby added to the Plan to read as follows:</w:t>
      </w:r>
    </w:p>
    <w:p>
      <w:pPr>
        <w:spacing w:after="0" w:line="204" w:lineRule="exact"/>
        <w:rPr>
          <w:sz w:val="20"/>
          <w:szCs w:val="20"/>
          <w:color w:val="auto"/>
        </w:rPr>
      </w:pPr>
    </w:p>
    <w:p>
      <w:pPr>
        <w:jc w:val="both"/>
        <w:ind w:left="880" w:right="880" w:firstLine="743"/>
        <w:spacing w:after="0" w:line="249" w:lineRule="auto"/>
        <w:rPr>
          <w:sz w:val="20"/>
          <w:szCs w:val="20"/>
          <w:color w:val="auto"/>
        </w:rPr>
      </w:pPr>
      <w:r>
        <w:rPr>
          <w:rFonts w:ascii="Arial" w:cs="Arial" w:eastAsia="Arial" w:hAnsi="Arial"/>
          <w:sz w:val="21"/>
          <w:szCs w:val="21"/>
          <w:color w:val="auto"/>
        </w:rPr>
        <w:t xml:space="preserve">“4.03 </w:t>
      </w:r>
      <w:r>
        <w:rPr>
          <w:rFonts w:ascii="Arial" w:cs="Arial" w:eastAsia="Arial" w:hAnsi="Arial"/>
          <w:sz w:val="21"/>
          <w:szCs w:val="21"/>
          <w:b w:val="1"/>
          <w:bCs w:val="1"/>
          <w:color w:val="auto"/>
        </w:rPr>
        <w:t>Non-Elective Contributions.</w:t>
      </w:r>
      <w:r>
        <w:rPr>
          <w:rFonts w:ascii="Arial" w:cs="Arial" w:eastAsia="Arial" w:hAnsi="Arial"/>
          <w:sz w:val="21"/>
          <w:szCs w:val="21"/>
          <w:color w:val="auto"/>
        </w:rPr>
        <w:t xml:space="preserve"> Effective January 1, 2018, for Transfer Employees who are paid an annual incentive bonus from the U.S. payroll of an Employer after the Transfer Date and in the same calendar year as the Transfer Date, a Non-Elective Contribution shall be made equal to the Matching Contribution that would have been made had the Transfer Employee elected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8" w:name="page29"/>
    <w:bookmarkEnd w:id="28"/>
    <w:p>
      <w:pPr>
        <w:jc w:val="both"/>
        <w:ind w:left="880" w:right="880"/>
        <w:spacing w:after="0" w:line="252" w:lineRule="auto"/>
        <w:rPr>
          <w:sz w:val="20"/>
          <w:szCs w:val="20"/>
          <w:color w:val="auto"/>
        </w:rPr>
      </w:pPr>
      <w:r>
        <w:rPr>
          <w:rFonts w:ascii="Arial" w:cs="Arial" w:eastAsia="Arial" w:hAnsi="Arial"/>
          <w:sz w:val="21"/>
          <w:szCs w:val="21"/>
          <w:color w:val="auto"/>
        </w:rPr>
        <w:t>defer 6% of the portion of such annual incentive bonus that would constitute Excess Compensation. Such contributions shall be made by the Employer as soon as administratively practicable following the payroll period in which the applicable annual incentive bonus is paid.”</w:t>
      </w:r>
    </w:p>
    <w:p>
      <w:pPr>
        <w:spacing w:after="0" w:line="183" w:lineRule="exact"/>
        <w:rPr>
          <w:sz w:val="20"/>
          <w:szCs w:val="20"/>
          <w:color w:val="auto"/>
        </w:rPr>
      </w:pPr>
    </w:p>
    <w:p>
      <w:pPr>
        <w:ind w:left="1760"/>
        <w:spacing w:after="0"/>
        <w:tabs>
          <w:tab w:leader="none" w:pos="3820" w:val="left"/>
        </w:tabs>
        <w:rPr>
          <w:sz w:val="20"/>
          <w:szCs w:val="20"/>
          <w:color w:val="auto"/>
        </w:rPr>
      </w:pPr>
      <w:r>
        <w:rPr>
          <w:rFonts w:ascii="Arial" w:cs="Arial" w:eastAsia="Arial" w:hAnsi="Arial"/>
          <w:sz w:val="21"/>
          <w:szCs w:val="21"/>
          <w:color w:val="auto"/>
        </w:rPr>
        <w:t>6.</w:t>
      </w:r>
      <w:r>
        <w:rPr>
          <w:sz w:val="20"/>
          <w:szCs w:val="20"/>
          <w:color w:val="auto"/>
        </w:rPr>
        <w:tab/>
      </w:r>
      <w:r>
        <w:rPr>
          <w:rFonts w:ascii="Arial" w:cs="Arial" w:eastAsia="Arial" w:hAnsi="Arial"/>
          <w:sz w:val="21"/>
          <w:szCs w:val="21"/>
          <w:color w:val="auto"/>
        </w:rPr>
        <w:t>A new Section 5.02A is hereby added to the Plan to read as follows:</w:t>
      </w:r>
    </w:p>
    <w:p>
      <w:pPr>
        <w:spacing w:after="0" w:line="204" w:lineRule="exact"/>
        <w:rPr>
          <w:sz w:val="20"/>
          <w:szCs w:val="20"/>
          <w:color w:val="auto"/>
        </w:rPr>
      </w:pPr>
    </w:p>
    <w:p>
      <w:pPr>
        <w:jc w:val="both"/>
        <w:ind w:left="880" w:right="880" w:firstLine="743"/>
        <w:spacing w:after="0" w:line="255" w:lineRule="auto"/>
        <w:rPr>
          <w:sz w:val="20"/>
          <w:szCs w:val="20"/>
          <w:color w:val="auto"/>
        </w:rPr>
      </w:pPr>
      <w:r>
        <w:rPr>
          <w:rFonts w:ascii="Arial" w:cs="Arial" w:eastAsia="Arial" w:hAnsi="Arial"/>
          <w:sz w:val="21"/>
          <w:szCs w:val="21"/>
          <w:color w:val="auto"/>
        </w:rPr>
        <w:t xml:space="preserve">“5.02A </w:t>
      </w:r>
      <w:r>
        <w:rPr>
          <w:rFonts w:ascii="Arial" w:cs="Arial" w:eastAsia="Arial" w:hAnsi="Arial"/>
          <w:sz w:val="21"/>
          <w:szCs w:val="21"/>
          <w:b w:val="1"/>
          <w:bCs w:val="1"/>
          <w:color w:val="auto"/>
        </w:rPr>
        <w:t>Allocation of Non-Elective Contributions.</w:t>
      </w:r>
      <w:r>
        <w:rPr>
          <w:rFonts w:ascii="Arial" w:cs="Arial" w:eastAsia="Arial" w:hAnsi="Arial"/>
          <w:sz w:val="21"/>
          <w:szCs w:val="21"/>
          <w:color w:val="auto"/>
        </w:rPr>
        <w:t xml:space="preserve"> As of the pay period to which the contributions relate, the Employer shall allocate the Non-Elective Contributions, if any, among the Accounts of Transfer Employees during such pay period.”</w:t>
      </w:r>
    </w:p>
    <w:p>
      <w:pPr>
        <w:spacing w:after="0" w:line="180" w:lineRule="exact"/>
        <w:rPr>
          <w:sz w:val="20"/>
          <w:szCs w:val="20"/>
          <w:color w:val="auto"/>
        </w:rPr>
      </w:pPr>
    </w:p>
    <w:p>
      <w:pPr>
        <w:jc w:val="both"/>
        <w:ind w:firstLine="1756"/>
        <w:spacing w:after="0" w:line="267" w:lineRule="auto"/>
        <w:rPr>
          <w:sz w:val="20"/>
          <w:szCs w:val="20"/>
          <w:color w:val="auto"/>
        </w:rPr>
      </w:pPr>
      <w:r>
        <w:rPr>
          <w:rFonts w:ascii="Arial" w:cs="Arial" w:eastAsia="Arial" w:hAnsi="Arial"/>
          <w:sz w:val="21"/>
          <w:szCs w:val="21"/>
          <w:color w:val="auto"/>
        </w:rPr>
        <w:t>7. Section 6.01(a) of the Plan is hereby amended by adding a new sentence to the end thereof to read as follows:</w:t>
      </w:r>
    </w:p>
    <w:p>
      <w:pPr>
        <w:spacing w:after="0" w:line="154" w:lineRule="exact"/>
        <w:rPr>
          <w:sz w:val="20"/>
          <w:szCs w:val="20"/>
          <w:color w:val="auto"/>
        </w:rPr>
      </w:pPr>
    </w:p>
    <w:p>
      <w:pPr>
        <w:ind w:left="880" w:right="880"/>
        <w:spacing w:after="0" w:line="267" w:lineRule="auto"/>
        <w:rPr>
          <w:sz w:val="20"/>
          <w:szCs w:val="20"/>
          <w:color w:val="auto"/>
        </w:rPr>
      </w:pPr>
      <w:r>
        <w:rPr>
          <w:rFonts w:ascii="Arial" w:cs="Arial" w:eastAsia="Arial" w:hAnsi="Arial"/>
          <w:sz w:val="21"/>
          <w:szCs w:val="21"/>
          <w:color w:val="auto"/>
        </w:rPr>
        <w:t>“Non-Elective Contributions shall be subject to the same vesting schedule as would be applicable to Matching Contributions as described above.”</w:t>
      </w:r>
    </w:p>
    <w:p>
      <w:pPr>
        <w:spacing w:after="0" w:line="200" w:lineRule="exact"/>
        <w:rPr>
          <w:sz w:val="20"/>
          <w:szCs w:val="20"/>
          <w:color w:val="auto"/>
        </w:rPr>
      </w:pPr>
    </w:p>
    <w:p>
      <w:pPr>
        <w:spacing w:after="0" w:line="220" w:lineRule="exact"/>
        <w:rPr>
          <w:sz w:val="20"/>
          <w:szCs w:val="20"/>
          <w:color w:val="auto"/>
        </w:rPr>
      </w:pPr>
    </w:p>
    <w:p>
      <w:pPr>
        <w:jc w:val="both"/>
        <w:ind w:firstLine="1756"/>
        <w:spacing w:after="0" w:line="242" w:lineRule="auto"/>
        <w:rPr>
          <w:sz w:val="20"/>
          <w:szCs w:val="20"/>
          <w:color w:val="auto"/>
        </w:rPr>
      </w:pPr>
      <w:r>
        <w:rPr>
          <w:rFonts w:ascii="Arial" w:cs="Arial" w:eastAsia="Arial" w:hAnsi="Arial"/>
          <w:sz w:val="21"/>
          <w:szCs w:val="21"/>
          <w:color w:val="auto"/>
        </w:rPr>
        <w:t>IN WITNESS WHEREOF, the Company has caused these presents to be executed by its duly authorized officer in a number of copies, each of which shall be deemed an original but all of which shall constitute but one and the same instrument which may be sufficiently evidenced by an executed copy hereof, this twenty first day of August, 2018, but effective as of the date set forth herein.</w:t>
      </w:r>
    </w:p>
    <w:p>
      <w:pPr>
        <w:spacing w:after="0" w:line="1" w:lineRule="exact"/>
        <w:rPr>
          <w:sz w:val="20"/>
          <w:szCs w:val="20"/>
          <w:color w:val="auto"/>
        </w:rPr>
      </w:pPr>
    </w:p>
    <w:p>
      <w:pPr>
        <w:ind w:left="7960"/>
        <w:spacing w:after="0"/>
        <w:rPr>
          <w:sz w:val="20"/>
          <w:szCs w:val="20"/>
          <w:color w:val="auto"/>
        </w:rPr>
      </w:pPr>
      <w:r>
        <w:rPr>
          <w:rFonts w:ascii="Arial" w:cs="Arial" w:eastAsia="Arial" w:hAnsi="Arial"/>
          <w:sz w:val="21"/>
          <w:szCs w:val="21"/>
          <w:b w:val="1"/>
          <w:bCs w:val="1"/>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980"/>
        <w:spacing w:after="0"/>
        <w:rPr>
          <w:sz w:val="20"/>
          <w:szCs w:val="20"/>
          <w:color w:val="auto"/>
        </w:rPr>
      </w:pPr>
      <w:r>
        <w:rPr>
          <w:rFonts w:ascii="Arial" w:cs="Arial" w:eastAsia="Arial" w:hAnsi="Arial"/>
          <w:sz w:val="21"/>
          <w:szCs w:val="21"/>
          <w:u w:val="single" w:color="auto"/>
          <w:color w:val="auto"/>
        </w:rPr>
        <w:t>/s/ Alexander C. Juden</w:t>
      </w:r>
    </w:p>
    <w:p>
      <w:pPr>
        <w:spacing w:after="0" w:line="13" w:lineRule="exact"/>
        <w:rPr>
          <w:sz w:val="20"/>
          <w:szCs w:val="20"/>
          <w:color w:val="auto"/>
        </w:rPr>
      </w:pPr>
    </w:p>
    <w:p>
      <w:pPr>
        <w:jc w:val="right"/>
        <w:ind w:right="3960"/>
        <w:spacing w:after="0"/>
        <w:rPr>
          <w:sz w:val="20"/>
          <w:szCs w:val="20"/>
          <w:color w:val="auto"/>
        </w:rPr>
      </w:pPr>
      <w:r>
        <w:rPr>
          <w:rFonts w:ascii="Arial" w:cs="Arial" w:eastAsia="Arial" w:hAnsi="Arial"/>
          <w:sz w:val="21"/>
          <w:szCs w:val="21"/>
          <w:color w:val="auto"/>
        </w:rPr>
        <w:t>Alexander C. Juden</w:t>
      </w:r>
    </w:p>
    <w:p>
      <w:pPr>
        <w:ind w:left="7280"/>
        <w:spacing w:after="0"/>
        <w:rPr>
          <w:sz w:val="20"/>
          <w:szCs w:val="20"/>
          <w:color w:val="auto"/>
        </w:rPr>
      </w:pPr>
      <w:r>
        <w:rPr>
          <w:rFonts w:ascii="Arial" w:cs="Arial" w:eastAsia="Arial" w:hAnsi="Arial"/>
          <w:sz w:val="21"/>
          <w:szCs w:val="21"/>
          <w:color w:val="auto"/>
        </w:rPr>
        <w:t>Secretary and General Counsel</w:t>
      </w:r>
    </w:p>
    <w:p>
      <w:pPr>
        <w:sectPr>
          <w:pgSz w:w="11900" w:h="16838" w:orient="portrait"/>
          <w:cols w:equalWidth="0" w:num="1">
            <w:col w:w="11420"/>
          </w:cols>
          <w:pgMar w:left="240" w:top="35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Date: October 24, 2018</w:t>
            </w:r>
          </w:p>
        </w:tc>
        <w:tc>
          <w:tcPr>
            <w:tcW w:w="7160" w:type="dxa"/>
            <w:vAlign w:val="bottom"/>
            <w:gridSpan w:val="2"/>
          </w:tcPr>
          <w:p>
            <w:pPr>
              <w:ind w:left="2600"/>
              <w:spacing w:after="0"/>
              <w:rPr>
                <w:sz w:val="20"/>
                <w:szCs w:val="20"/>
                <w:color w:val="auto"/>
              </w:rPr>
            </w:pPr>
            <w:r>
              <w:rPr>
                <w:rFonts w:ascii="Arial" w:cs="Arial" w:eastAsia="Arial" w:hAnsi="Arial"/>
                <w:sz w:val="18"/>
                <w:szCs w:val="18"/>
                <w:color w:val="auto"/>
              </w:rPr>
              <w:t>/s/ Paal Kibsgaard</w:t>
            </w:r>
          </w:p>
        </w:tc>
      </w:tr>
      <w:tr>
        <w:trPr>
          <w:trHeight w:val="194"/>
        </w:trPr>
        <w:tc>
          <w:tcPr>
            <w:tcW w:w="4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5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4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October 24, 2018</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19685</wp:posOffset>
            </wp:positionV>
            <wp:extent cx="29025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Simon Ayat</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6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September 30, 2018 as filed with the Securities and Exchange Commission on the date hereof (the “Report”), I, Paal Kibsgaard, Chief Executive Officer of the Company, certify, pursuant to 18 U.S.C. § 1350, as adopted pursuant to § 906 of the Sarbanes-Oxley Act of 2002, that:</w:t>
      </w:r>
    </w:p>
    <w:p>
      <w:pPr>
        <w:spacing w:after="0" w:line="82" w:lineRule="exact"/>
        <w:rPr>
          <w:sz w:val="20"/>
          <w:szCs w:val="20"/>
          <w:color w:val="auto"/>
        </w:rPr>
      </w:pPr>
    </w:p>
    <w:p>
      <w:pPr>
        <w:ind w:left="1020" w:hanging="509"/>
        <w:spacing w:after="0" w:line="26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Date: October 24, 2018</w:t>
            </w:r>
          </w:p>
        </w:tc>
        <w:tc>
          <w:tcPr>
            <w:tcW w:w="4860" w:type="dxa"/>
            <w:vAlign w:val="bottom"/>
            <w:gridSpan w:val="2"/>
          </w:tcPr>
          <w:p>
            <w:pPr>
              <w:ind w:left="1840"/>
              <w:spacing w:after="0"/>
              <w:rPr>
                <w:sz w:val="20"/>
                <w:szCs w:val="20"/>
                <w:color w:val="auto"/>
              </w:rPr>
            </w:pPr>
            <w:r>
              <w:rPr>
                <w:rFonts w:ascii="Arial" w:cs="Arial" w:eastAsia="Arial" w:hAnsi="Arial"/>
                <w:sz w:val="18"/>
                <w:szCs w:val="18"/>
                <w:color w:val="auto"/>
              </w:rPr>
              <w:t>/s/ Paal Kibsgaard</w:t>
            </w:r>
          </w:p>
        </w:tc>
      </w:tr>
      <w:tr>
        <w:trPr>
          <w:trHeight w:val="194"/>
        </w:trPr>
        <w:tc>
          <w:tcPr>
            <w:tcW w:w="3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3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2018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47" w:lineRule="exact"/>
        <w:rPr>
          <w:sz w:val="20"/>
          <w:szCs w:val="20"/>
          <w:color w:val="auto"/>
        </w:rPr>
      </w:pPr>
    </w:p>
    <w:p>
      <w:pPr>
        <w:ind w:left="1020" w:hanging="509"/>
        <w:spacing w:after="0" w:line="26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Date: October 24, 2018</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24"/>
        </w:trPr>
        <w:tc>
          <w:tcPr>
            <w:tcW w:w="54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00" w:lineRule="exact"/>
        <w:rPr>
          <w:sz w:val="20"/>
          <w:szCs w:val="20"/>
          <w:color w:val="auto"/>
        </w:rPr>
      </w:pPr>
    </w:p>
    <w:p>
      <w:pPr>
        <w:spacing w:after="0" w:line="370"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8" w:lineRule="exact"/>
        <w:rPr>
          <w:sz w:val="20"/>
          <w:szCs w:val="20"/>
          <w:color w:val="auto"/>
        </w:rPr>
      </w:pPr>
    </w:p>
    <w:p>
      <w:pPr>
        <w:jc w:val="both"/>
        <w:ind w:right="20" w:firstLine="518"/>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September 30, 2018. Due to timing and other factors, the data may not agree with the mine data retrieval system maintained by the MSHA at www.MSHA.gov.</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00" w:lineRule="exact"/>
        <w:rPr>
          <w:sz w:val="20"/>
          <w:szCs w:val="20"/>
          <w:color w:val="auto"/>
        </w:rPr>
      </w:pPr>
    </w:p>
    <w:p>
      <w:pPr>
        <w:spacing w:after="0" w:line="279"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2"/>
              </w:rPr>
              <w:t>Pattern of</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3"/>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6"/>
              </w:rPr>
              <w:t>Violations</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color w:val="auto"/>
                <w:w w:val="94"/>
              </w:rPr>
              <w:t>Have Pattern Legal Actions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center"/>
              <w:ind w:left="38"/>
              <w:spacing w:after="0" w:line="133" w:lineRule="exact"/>
              <w:rPr>
                <w:sz w:val="20"/>
                <w:szCs w:val="20"/>
                <w:color w:val="auto"/>
              </w:rPr>
            </w:pPr>
            <w:r>
              <w:rPr>
                <w:rFonts w:ascii="Arial" w:cs="Arial" w:eastAsia="Arial" w:hAnsi="Arial"/>
                <w:sz w:val="12"/>
                <w:szCs w:val="12"/>
                <w:color w:val="auto"/>
                <w:w w:val="92"/>
              </w:rPr>
              <w:t>Section 104(d)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rPr>
              <w:t>Mining</w:t>
            </w:r>
          </w:p>
        </w:tc>
        <w:tc>
          <w:tcPr>
            <w:tcW w:w="2180" w:type="dxa"/>
            <w:vAlign w:val="bottom"/>
            <w:gridSpan w:val="3"/>
          </w:tcPr>
          <w:p>
            <w:pPr>
              <w:jc w:val="center"/>
              <w:spacing w:after="0" w:line="133" w:lineRule="exact"/>
              <w:rPr>
                <w:sz w:val="20"/>
                <w:szCs w:val="20"/>
                <w:color w:val="auto"/>
              </w:rPr>
            </w:pPr>
            <w:r>
              <w:rPr>
                <w:rFonts w:ascii="Arial" w:cs="Arial" w:eastAsia="Arial" w:hAnsi="Arial"/>
                <w:sz w:val="12"/>
                <w:szCs w:val="12"/>
                <w:color w:val="auto"/>
                <w:w w:val="92"/>
              </w:rPr>
              <w:t>Under SectionUnder Section Pending as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0" w:type="dxa"/>
            <w:vAlign w:val="bottom"/>
          </w:tcPr>
          <w:p>
            <w:pPr>
              <w:spacing w:after="0"/>
              <w:rPr>
                <w:sz w:val="1"/>
                <w:szCs w:val="1"/>
                <w:color w:val="auto"/>
              </w:rPr>
            </w:pPr>
          </w:p>
        </w:tc>
      </w:tr>
      <w:tr>
        <w:trPr>
          <w:trHeight w:val="133"/>
        </w:trPr>
        <w:tc>
          <w:tcPr>
            <w:tcW w:w="1900" w:type="dxa"/>
            <w:vAlign w:val="bottom"/>
          </w:tcPr>
          <w:p>
            <w:pPr>
              <w:spacing w:after="0" w:line="133" w:lineRule="exact"/>
              <w:rPr>
                <w:sz w:val="20"/>
                <w:szCs w:val="20"/>
                <w:color w:val="auto"/>
              </w:rPr>
            </w:pPr>
            <w:r>
              <w:rPr>
                <w:rFonts w:ascii="Arial" w:cs="Arial" w:eastAsia="Arial" w:hAnsi="Arial"/>
                <w:sz w:val="12"/>
                <w:szCs w:val="12"/>
                <w:color w:val="auto"/>
              </w:rPr>
              <w:t>Mine or Operating Name/MSHA</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 104</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color w:val="auto"/>
                <w:w w:val="97"/>
              </w:rPr>
              <w:t>Section 104(b) Citations and</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color w:val="auto"/>
                <w:w w:val="94"/>
              </w:rPr>
              <w:t>Section 110(b) Section 107(a)</w:t>
            </w: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6"/>
              </w:rPr>
              <w:t>Proposed MSHA</w:t>
            </w: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w w:val="91"/>
              </w:rPr>
              <w:t>Related</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4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8"/>
              </w:rPr>
              <w:t>Last Day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9"/>
              </w:rPr>
              <w:t>Initiated During</w:t>
            </w:r>
          </w:p>
        </w:tc>
        <w:tc>
          <w:tcPr>
            <w:tcW w:w="800" w:type="dxa"/>
            <w:vAlign w:val="bottom"/>
          </w:tcPr>
          <w:p>
            <w:pPr>
              <w:jc w:val="center"/>
              <w:spacing w:after="0" w:line="133" w:lineRule="exact"/>
              <w:rPr>
                <w:sz w:val="20"/>
                <w:szCs w:val="20"/>
                <w:color w:val="auto"/>
              </w:rPr>
            </w:pPr>
            <w:r>
              <w:rPr>
                <w:rFonts w:ascii="Arial" w:cs="Arial" w:eastAsia="Arial" w:hAnsi="Arial"/>
                <w:sz w:val="12"/>
                <w:szCs w:val="12"/>
                <w:color w:val="auto"/>
                <w:w w:val="91"/>
              </w:rPr>
              <w:t>Resolved</w:t>
            </w:r>
          </w:p>
        </w:tc>
        <w:tc>
          <w:tcPr>
            <w:tcW w:w="0" w:type="dxa"/>
            <w:vAlign w:val="bottom"/>
          </w:tcPr>
          <w:p>
            <w:pPr>
              <w:spacing w:after="0"/>
              <w:rPr>
                <w:sz w:val="1"/>
                <w:szCs w:val="1"/>
                <w:color w:val="auto"/>
              </w:rPr>
            </w:pPr>
          </w:p>
        </w:tc>
      </w:tr>
      <w:tr>
        <w:trPr>
          <w:trHeight w:val="147"/>
        </w:trPr>
        <w:tc>
          <w:tcPr>
            <w:tcW w:w="1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S&amp;S Citations</w:t>
            </w:r>
          </w:p>
        </w:tc>
        <w:tc>
          <w:tcPr>
            <w:tcW w:w="66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color w:val="auto"/>
                <w:w w:val="92"/>
              </w:rPr>
              <w:t>Orders</w:t>
            </w:r>
          </w:p>
        </w:tc>
        <w:tc>
          <w:tcPr>
            <w:tcW w:w="860" w:type="dxa"/>
            <w:vAlign w:val="bottom"/>
            <w:tcBorders>
              <w:bottom w:val="single" w:sz="8" w:color="auto"/>
            </w:tcBorders>
          </w:tcPr>
          <w:p>
            <w:pPr>
              <w:jc w:val="center"/>
              <w:ind w:left="38"/>
              <w:spacing w:after="0"/>
              <w:rPr>
                <w:sz w:val="20"/>
                <w:szCs w:val="20"/>
                <w:color w:val="auto"/>
              </w:rPr>
            </w:pPr>
            <w:r>
              <w:rPr>
                <w:rFonts w:ascii="Arial" w:cs="Arial" w:eastAsia="Arial" w:hAnsi="Arial"/>
                <w:sz w:val="12"/>
                <w:szCs w:val="12"/>
                <w:color w:val="auto"/>
                <w:w w:val="87"/>
              </w:rPr>
              <w:t>Orders</w:t>
            </w: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color w:val="auto"/>
                <w:w w:val="97"/>
              </w:rPr>
              <w:t>(2) Violations</w:t>
            </w: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color w:val="auto"/>
                <w:w w:val="92"/>
              </w:rPr>
              <w:t>Orders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 xml:space="preserve">Assessments </w:t>
            </w:r>
            <w:r>
              <w:rPr>
                <w:rFonts w:ascii="Arial" w:cs="Arial" w:eastAsia="Arial" w:hAnsi="Arial"/>
                <w:sz w:val="10"/>
                <w:szCs w:val="10"/>
                <w:color w:val="auto"/>
                <w:w w:val="89"/>
              </w:rPr>
              <w:t>(1)</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Fatalities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During Period</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Battle Mountain Grinding</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Plant/2600828</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900" w:type="dxa"/>
            <w:vAlign w:val="bottom"/>
          </w:tcPr>
          <w:p>
            <w:pPr>
              <w:spacing w:after="0"/>
              <w:rPr>
                <w:sz w:val="20"/>
                <w:szCs w:val="20"/>
                <w:color w:val="auto"/>
              </w:rPr>
            </w:pPr>
            <w:r>
              <w:rPr>
                <w:rFonts w:ascii="Arial" w:cs="Arial" w:eastAsia="Arial" w:hAnsi="Arial"/>
                <w:sz w:val="12"/>
                <w:szCs w:val="12"/>
                <w:color w:val="auto"/>
                <w:w w:val="99"/>
              </w:rPr>
              <w:t>Greybull Milling Operation/4800602</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439"/>
        </w:trPr>
        <w:tc>
          <w:tcPr>
            <w:tcW w:w="1900" w:type="dxa"/>
            <w:vAlign w:val="bottom"/>
          </w:tcPr>
          <w:p>
            <w:pPr>
              <w:spacing w:after="0"/>
              <w:rPr>
                <w:sz w:val="20"/>
                <w:szCs w:val="20"/>
                <w:color w:val="auto"/>
              </w:rPr>
            </w:pPr>
            <w:r>
              <w:rPr>
                <w:rFonts w:ascii="Arial" w:cs="Arial" w:eastAsia="Arial" w:hAnsi="Arial"/>
                <w:sz w:val="12"/>
                <w:szCs w:val="12"/>
                <w:color w:val="auto"/>
                <w:w w:val="99"/>
              </w:rPr>
              <w:t>Greybull Mining Operation/4800603</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72"/>
        </w:trPr>
        <w:tc>
          <w:tcPr>
            <w:tcW w:w="1900" w:type="dxa"/>
            <w:vAlign w:val="bottom"/>
          </w:tcPr>
          <w:p>
            <w:pPr>
              <w:spacing w:after="0"/>
              <w:rPr>
                <w:sz w:val="20"/>
                <w:szCs w:val="20"/>
                <w:color w:val="auto"/>
              </w:rPr>
            </w:pPr>
            <w:r>
              <w:rPr>
                <w:rFonts w:ascii="Arial" w:cs="Arial" w:eastAsia="Arial" w:hAnsi="Arial"/>
                <w:sz w:val="12"/>
                <w:szCs w:val="12"/>
                <w:color w:val="auto"/>
              </w:rPr>
              <w:t>Greystone Mine/2600411</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tcPr>
          <w:p>
            <w:pPr>
              <w:jc w:val="center"/>
              <w:spacing w:after="0"/>
              <w:rPr>
                <w:sz w:val="20"/>
                <w:szCs w:val="20"/>
                <w:color w:val="auto"/>
              </w:rPr>
            </w:pPr>
            <w:r>
              <w:rPr>
                <w:rFonts w:ascii="Arial" w:cs="Arial" w:eastAsia="Arial" w:hAnsi="Arial"/>
                <w:sz w:val="12"/>
                <w:szCs w:val="12"/>
                <w:color w:val="auto"/>
              </w:rPr>
              <w:t>N</w:t>
            </w:r>
          </w:p>
        </w:tc>
        <w:tc>
          <w:tcPr>
            <w:tcW w:w="74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Pr>
          <w:p>
            <w:pPr>
              <w:spacing w:after="0"/>
              <w:rPr>
                <w:sz w:val="20"/>
                <w:szCs w:val="20"/>
                <w:color w:val="auto"/>
              </w:rPr>
            </w:pPr>
            <w:r>
              <w:rPr>
                <w:rFonts w:ascii="Arial" w:cs="Arial" w:eastAsia="Arial" w:hAnsi="Arial"/>
                <w:sz w:val="12"/>
                <w:szCs w:val="12"/>
                <w:color w:val="auto"/>
              </w:rPr>
              <w:t>Wisconsin Proppants Hixton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9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Mine/4703742</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Pr>
          <w:p>
            <w:pPr>
              <w:spacing w:after="0"/>
              <w:rPr>
                <w:sz w:val="20"/>
                <w:szCs w:val="20"/>
                <w:color w:val="auto"/>
              </w:rPr>
            </w:pPr>
            <w:r>
              <w:rPr>
                <w:rFonts w:ascii="Arial" w:cs="Arial" w:eastAsia="Arial" w:hAnsi="Arial"/>
                <w:sz w:val="12"/>
                <w:szCs w:val="12"/>
                <w:color w:val="auto"/>
              </w:rPr>
              <w:t>Wisconsin Proppants Alma</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Mine/4703823</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Pr>
          <w:p>
            <w:pPr>
              <w:spacing w:after="0"/>
              <w:rPr>
                <w:sz w:val="20"/>
                <w:szCs w:val="20"/>
                <w:color w:val="auto"/>
              </w:rPr>
            </w:pPr>
            <w:r>
              <w:rPr>
                <w:rFonts w:ascii="Arial" w:cs="Arial" w:eastAsia="Arial" w:hAnsi="Arial"/>
                <w:sz w:val="12"/>
                <w:szCs w:val="12"/>
                <w:color w:val="auto"/>
              </w:rPr>
              <w:t>Wisconsin Proppants Monahans</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2</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9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Mine/4105336</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Pr>
          <w:p>
            <w:pPr>
              <w:spacing w:after="0"/>
              <w:rPr>
                <w:sz w:val="20"/>
                <w:szCs w:val="20"/>
                <w:color w:val="auto"/>
              </w:rPr>
            </w:pPr>
            <w:r>
              <w:rPr>
                <w:rFonts w:ascii="Arial" w:cs="Arial" w:eastAsia="Arial" w:hAnsi="Arial"/>
                <w:sz w:val="12"/>
                <w:szCs w:val="12"/>
                <w:color w:val="auto"/>
              </w:rPr>
              <w:t>Wisconsin Proppants High Roller</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38"/>
              <w:spacing w:after="0"/>
              <w:rPr>
                <w:sz w:val="20"/>
                <w:szCs w:val="20"/>
                <w:color w:val="auto"/>
              </w:rPr>
            </w:pPr>
            <w:r>
              <w:rPr>
                <w:rFonts w:ascii="Arial" w:cs="Arial" w:eastAsia="Arial" w:hAnsi="Arial"/>
                <w:sz w:val="12"/>
                <w:szCs w:val="12"/>
                <w:color w:val="auto"/>
              </w:rPr>
              <w:t>0</w:t>
            </w:r>
          </w:p>
        </w:tc>
        <w:tc>
          <w:tcPr>
            <w:tcW w:w="84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70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Sand Mine/4105321</w:t>
            </w: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left="560" w:right="220" w:hanging="461"/>
        <w:spacing w:after="0" w:line="329" w:lineRule="auto"/>
        <w:tabs>
          <w:tab w:leader="none" w:pos="5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September 30, 2018,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September 30, 2018 MSHA had not yet proposed an assessment for two non-</w:t>
      </w:r>
      <w:r>
        <w:rPr>
          <w:rFonts w:ascii="Arial" w:cs="Arial" w:eastAsia="Arial" w:hAnsi="Arial"/>
          <w:sz w:val="14"/>
          <w:szCs w:val="14"/>
          <w:color w:val="auto"/>
        </w:rPr>
        <w:t>S&amp;S citations at Greybull Milling Operations/4800602.</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September 30, 2018 MSHA had not yet proposed an assessment for two non-</w:t>
      </w:r>
      <w:r>
        <w:rPr>
          <w:rFonts w:ascii="Arial" w:cs="Arial" w:eastAsia="Arial" w:hAnsi="Arial"/>
          <w:sz w:val="14"/>
          <w:szCs w:val="14"/>
          <w:color w:val="auto"/>
        </w:rPr>
        <w:t>S&amp;S citations at Wisconsin Proppants Hixton Mine/ 4703742.</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*As of September 30, 2018 MSHA had not yet proposed an assessment for six </w:t>
      </w:r>
      <w:r>
        <w:rPr>
          <w:rFonts w:ascii="Arial" w:cs="Arial" w:eastAsia="Arial" w:hAnsi="Arial"/>
          <w:sz w:val="14"/>
          <w:szCs w:val="14"/>
          <w:color w:val="auto"/>
        </w:rPr>
        <w:t>citations, two of which are S&amp;S citations, at Wisconsin Proppants Monahans Mine/4105336.</w:t>
      </w:r>
    </w:p>
    <w:sectPr>
      <w:pgSz w:w="11900" w:h="16838" w:orient="portrait"/>
      <w:cols w:equalWidth="0" w:num="1">
        <w:col w:w="11420"/>
      </w:cols>
      <w:pgMar w:left="240" w:top="5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7"/>
    </w:lvl>
  </w:abstractNum>
  <w:abstractNum w:abstractNumId="13">
    <w:nsid w:val="75A2A8D4"/>
    <w:multiLevelType w:val="hybridMultilevel"/>
    <w:lvl w:ilvl="0">
      <w:lvlJc w:val="left"/>
      <w:lvlText w:val="%1."/>
      <w:numFmt w:val="decimal"/>
      <w:start w:val="8"/>
    </w:lvl>
  </w:abstractNum>
  <w:abstractNum w:abstractNumId="14">
    <w:nsid w:val="8EDBDAB"/>
    <w:multiLevelType w:val="hybridMultilevel"/>
    <w:lvl w:ilvl="0">
      <w:lvlJc w:val="left"/>
      <w:lvlText w:val="%1."/>
      <w:numFmt w:val="decimal"/>
      <w:start w:val="9"/>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7">
    <w:nsid w:val="B03E0C6"/>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8">
    <w:nsid w:val="189A769B"/>
    <w:multiLevelType w:val="hybridMultilevel"/>
    <w:lvl w:ilvl="0">
      <w:lvlJc w:val="left"/>
      <w:lvlText w:val="%1."/>
      <w:numFmt w:val="decimal"/>
      <w:start w:val="12"/>
    </w:lvl>
  </w:abstractNum>
  <w:abstractNum w:abstractNumId="19">
    <w:nsid w:val="54E49EB4"/>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0">
    <w:nsid w:val="71F32454"/>
    <w:multiLevelType w:val="hybridMultilevel"/>
    <w:lvl w:ilvl="0">
      <w:lvlJc w:val="left"/>
      <w:lvlText w:val="(%1)"/>
      <w:numFmt w:val="decimal"/>
      <w:start w:val="1"/>
    </w:lvl>
    <w:lvl w:ilvl="1">
      <w:lvlJc w:val="left"/>
      <w:lvlText w:val="(%2)"/>
      <w:numFmt w:val="decimal"/>
      <w:start w:val="2"/>
    </w:lvl>
  </w:abstractNum>
  <w:abstractNum w:abstractNumId="21">
    <w:nsid w:val="2CA88611"/>
    <w:multiLevelType w:val="hybridMultilevel"/>
    <w:lvl w:ilvl="0">
      <w:lvlJc w:val="left"/>
      <w:lvlText w:val="%1"/>
      <w:numFmt w:val="decimal"/>
      <w:start w:val="1"/>
    </w:lvl>
    <w:lvl w:ilvl="1">
      <w:lvlJc w:val="left"/>
      <w:lvlText w:val="(%2)"/>
      <w:numFmt w:val="decimal"/>
      <w:start w:val="3"/>
    </w:lvl>
  </w:abstractNum>
  <w:abstractNum w:abstractNumId="22">
    <w:nsid w:val="836C40E"/>
    <w:multiLevelType w:val="hybridMultilevel"/>
    <w:lvl w:ilvl="0">
      <w:lvlJc w:val="left"/>
      <w:lvlText w:val="(%1)"/>
      <w:numFmt w:val="decimal"/>
      <w:start w:val="4"/>
    </w:lvl>
    <w:lvl w:ilvl="1">
      <w:lvlJc w:val="left"/>
      <w:lvlText w:val="%2"/>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0" Type="http://schemas.openxmlformats.org/officeDocument/2006/relationships/hyperlink" Target="http://www.sec.gov/Archives/edgar/data/87347/000119312516532046/d176097dex31.htm" TargetMode="External"/><Relationship Id="rId51" Type="http://schemas.openxmlformats.org/officeDocument/2006/relationships/hyperlink" Target="http://www.sec.gov/Archives/edgar/data/87347/000119312517013293/d33316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2019-12-28T19:05:29Z</dcterms:created>
  <dcterms:modified xsi:type="dcterms:W3CDTF">2019-12-28T19:05:29Z</dcterms:modified>
</cp:coreProperties>
</file>