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9"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1700"/>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3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QUARTERLY REPORT UNDER SECTION 13 OR 15(d)</w:t>
      </w:r>
    </w:p>
    <w:p>
      <w:pPr>
        <w:spacing w:after="0" w:line="2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OF THE SECURITIES EXCHANGE ACT OF 1934</w:t>
      </w:r>
    </w:p>
    <w:p>
      <w:pPr>
        <w:ind w:left="14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23" w:right="1440" w:bottom="1440" w:gutter="0" w:footer="0" w:header="0"/>
        </w:sectPr>
      </w:pP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 ended:</w:t>
      </w:r>
    </w:p>
    <w:p>
      <w:pPr>
        <w:spacing w:after="0" w:line="2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June 30, 1996</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spacing w:after="0" w:line="29"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1-4601</w:t>
      </w: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140" w:space="720"/>
            <w:col w:w="5359"/>
          </w:cols>
          <w:pgMar w:left="240" w:top="623" w:right="1440" w:bottom="1440" w:gutter="0" w:footer="0" w:header="0"/>
          <w:type w:val="continuous"/>
        </w:sectPr>
      </w:pPr>
    </w:p>
    <w:p>
      <w:pPr>
        <w:spacing w:after="0" w:line="19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spacing w:after="0" w:line="2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(SCHLUMBERGER LIMITED)</w:t>
      </w:r>
    </w:p>
    <w:tbl>
      <w:tblPr>
        <w:tblLayout w:type="fixed"/>
        <w:tblInd w:w="0" w:type="dxa"/>
        <w:tblCellMar>
          <w:top w:w="0" w:type="dxa"/>
          <w:left w:w="0" w:type="dxa"/>
          <w:bottom w:w="0" w:type="dxa"/>
          <w:right w:w="0" w:type="dxa"/>
        </w:tblCellMar>
      </w:tblPr>
      <w:tr>
        <w:trPr>
          <w:trHeight w:val="171"/>
        </w:trPr>
        <w:tc>
          <w:tcPr>
            <w:tcW w:w="8020" w:type="dxa"/>
            <w:vAlign w:val="bottom"/>
            <w:gridSpan w:val="2"/>
          </w:tcPr>
          <w:p>
            <w:pPr>
              <w:jc w:val="right"/>
              <w:ind w:right="872"/>
              <w:spacing w:after="0" w:line="170"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02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(Exact name of registrant as specified in its charter)</w:t>
            </w:r>
          </w:p>
        </w:tc>
        <w:tc>
          <w:tcPr>
            <w:tcW w:w="0" w:type="dxa"/>
            <w:vAlign w:val="bottom"/>
          </w:tcPr>
          <w:p>
            <w:pPr>
              <w:spacing w:after="0"/>
              <w:rPr>
                <w:sz w:val="1"/>
                <w:szCs w:val="1"/>
                <w:color w:val="auto"/>
              </w:rPr>
            </w:pPr>
          </w:p>
        </w:tc>
      </w:tr>
      <w:tr>
        <w:trPr>
          <w:trHeight w:val="717"/>
        </w:trPr>
        <w:tc>
          <w:tcPr>
            <w:tcW w:w="4700" w:type="dxa"/>
            <w:vAlign w:val="bottom"/>
          </w:tcPr>
          <w:p>
            <w:pPr>
              <w:ind w:left="420"/>
              <w:spacing w:after="0"/>
              <w:rPr>
                <w:sz w:val="20"/>
                <w:szCs w:val="20"/>
                <w:color w:val="auto"/>
              </w:rPr>
            </w:pPr>
            <w:r>
              <w:rPr>
                <w:rFonts w:ascii="Courier New" w:cs="Courier New" w:eastAsia="Courier New" w:hAnsi="Courier New"/>
                <w:sz w:val="18"/>
                <w:szCs w:val="18"/>
                <w:color w:val="auto"/>
              </w:rPr>
              <w:t>NETHERLANDS ANTILLES</w:t>
            </w:r>
          </w:p>
        </w:tc>
        <w:tc>
          <w:tcPr>
            <w:tcW w:w="3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52-0684746</w:t>
            </w:r>
          </w:p>
        </w:tc>
        <w:tc>
          <w:tcPr>
            <w:tcW w:w="0" w:type="dxa"/>
            <w:vAlign w:val="bottom"/>
          </w:tcPr>
          <w:p>
            <w:pPr>
              <w:spacing w:after="0"/>
              <w:rPr>
                <w:sz w:val="1"/>
                <w:szCs w:val="1"/>
                <w:color w:val="auto"/>
              </w:rPr>
            </w:pPr>
          </w:p>
        </w:tc>
      </w:tr>
      <w:tr>
        <w:trPr>
          <w:trHeight w:val="203"/>
        </w:trPr>
        <w:tc>
          <w:tcPr>
            <w:tcW w:w="4700" w:type="dxa"/>
            <w:vAlign w:val="bottom"/>
            <w:vMerge w:val="restart"/>
          </w:tcPr>
          <w:p>
            <w:pPr>
              <w:spacing w:after="0"/>
              <w:rPr>
                <w:sz w:val="20"/>
                <w:szCs w:val="20"/>
                <w:color w:val="auto"/>
              </w:rPr>
            </w:pPr>
            <w:r>
              <w:rPr>
                <w:rFonts w:ascii="Courier New" w:cs="Courier New" w:eastAsia="Courier New" w:hAnsi="Courier New"/>
                <w:sz w:val="18"/>
                <w:szCs w:val="18"/>
                <w:color w:val="auto"/>
                <w:w w:val="80"/>
              </w:rPr>
              <w:t>(State</w:t>
            </w:r>
            <w:r>
              <w:rPr>
                <w:rFonts w:ascii="Courier New" w:cs="Courier New" w:eastAsia="Courier New" w:hAnsi="Courier New"/>
                <w:sz w:val="35"/>
                <w:szCs w:val="35"/>
                <w:color w:val="auto"/>
                <w:w w:val="80"/>
                <w:vertAlign w:val="superscript"/>
              </w:rPr>
              <w:t>--------------------</w:t>
            </w:r>
            <w:r>
              <w:rPr>
                <w:rFonts w:ascii="Courier New" w:cs="Courier New" w:eastAsia="Courier New" w:hAnsi="Courier New"/>
                <w:sz w:val="18"/>
                <w:szCs w:val="18"/>
                <w:color w:val="auto"/>
                <w:w w:val="80"/>
              </w:rPr>
              <w:t>orotherjurisdiction of</w:t>
            </w:r>
          </w:p>
        </w:tc>
        <w:tc>
          <w:tcPr>
            <w:tcW w:w="3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332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incorporation or organization)</w:t>
            </w:r>
          </w:p>
        </w:tc>
        <w:tc>
          <w:tcPr>
            <w:tcW w:w="3320" w:type="dxa"/>
            <w:vAlign w:val="bottom"/>
          </w:tcPr>
          <w:p>
            <w:pPr>
              <w:ind w:left="1200"/>
              <w:spacing w:after="0"/>
              <w:rPr>
                <w:sz w:val="20"/>
                <w:szCs w:val="20"/>
                <w:color w:val="auto"/>
              </w:rPr>
            </w:pPr>
            <w:r>
              <w:rPr>
                <w:rFonts w:ascii="Courier New" w:cs="Courier New" w:eastAsia="Courier New" w:hAnsi="Courier New"/>
                <w:sz w:val="18"/>
                <w:szCs w:val="18"/>
                <w:color w:val="auto"/>
              </w:rPr>
              <w:t>Identification No.)</w:t>
            </w:r>
          </w:p>
        </w:tc>
        <w:tc>
          <w:tcPr>
            <w:tcW w:w="0" w:type="dxa"/>
            <w:vAlign w:val="bottom"/>
          </w:tcPr>
          <w:p>
            <w:pPr>
              <w:spacing w:after="0"/>
              <w:rPr>
                <w:sz w:val="1"/>
                <w:szCs w:val="1"/>
                <w:color w:val="auto"/>
              </w:rPr>
            </w:pPr>
          </w:p>
        </w:tc>
      </w:tr>
      <w:tr>
        <w:trPr>
          <w:trHeight w:val="514"/>
        </w:trPr>
        <w:tc>
          <w:tcPr>
            <w:tcW w:w="4700" w:type="dxa"/>
            <w:vAlign w:val="bottom"/>
          </w:tcPr>
          <w:p>
            <w:pPr>
              <w:ind w:left="220"/>
              <w:spacing w:after="0"/>
              <w:rPr>
                <w:sz w:val="20"/>
                <w:szCs w:val="20"/>
                <w:color w:val="auto"/>
              </w:rPr>
            </w:pPr>
            <w:r>
              <w:rPr>
                <w:rFonts w:ascii="Courier New" w:cs="Courier New" w:eastAsia="Courier New" w:hAnsi="Courier New"/>
                <w:sz w:val="18"/>
                <w:szCs w:val="18"/>
                <w:color w:val="auto"/>
              </w:rPr>
              <w:t>277 PARK AVENUE</w:t>
            </w:r>
          </w:p>
        </w:tc>
        <w:tc>
          <w:tcPr>
            <w:tcW w:w="332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10172</w:t>
            </w:r>
          </w:p>
        </w:tc>
        <w:tc>
          <w:tcPr>
            <w:tcW w:w="0" w:type="dxa"/>
            <w:vAlign w:val="bottom"/>
          </w:tcPr>
          <w:p>
            <w:pPr>
              <w:spacing w:after="0"/>
              <w:rPr>
                <w:sz w:val="1"/>
                <w:szCs w:val="1"/>
                <w:color w:val="auto"/>
              </w:rPr>
            </w:pPr>
          </w:p>
        </w:tc>
      </w:tr>
      <w:tr>
        <w:trPr>
          <w:trHeight w:val="296"/>
        </w:trPr>
        <w:tc>
          <w:tcPr>
            <w:tcW w:w="4700" w:type="dxa"/>
            <w:vAlign w:val="bottom"/>
          </w:tcPr>
          <w:p>
            <w:pPr>
              <w:ind w:left="220"/>
              <w:spacing w:after="0"/>
              <w:rPr>
                <w:sz w:val="20"/>
                <w:szCs w:val="20"/>
                <w:color w:val="auto"/>
              </w:rPr>
            </w:pPr>
            <w:r>
              <w:rPr>
                <w:rFonts w:ascii="Courier New" w:cs="Courier New" w:eastAsia="Courier New" w:hAnsi="Courier New"/>
                <w:sz w:val="18"/>
                <w:szCs w:val="18"/>
                <w:color w:val="auto"/>
              </w:rPr>
              <w:t>NEW YORK, NEW YORK, U.S.A.</w:t>
            </w:r>
          </w:p>
        </w:tc>
        <w:tc>
          <w:tcPr>
            <w:tcW w:w="3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tcPr>
          <w:p>
            <w:pPr>
              <w:ind w:left="220"/>
              <w:spacing w:after="0"/>
              <w:rPr>
                <w:sz w:val="20"/>
                <w:szCs w:val="20"/>
                <w:color w:val="auto"/>
              </w:rPr>
            </w:pPr>
            <w:r>
              <w:rPr>
                <w:rFonts w:ascii="Courier New" w:cs="Courier New" w:eastAsia="Courier New" w:hAnsi="Courier New"/>
                <w:sz w:val="18"/>
                <w:szCs w:val="18"/>
                <w:color w:val="auto"/>
              </w:rPr>
              <w:t>42 RUE SAINT-DOMINIQUE</w:t>
            </w:r>
          </w:p>
        </w:tc>
        <w:tc>
          <w:tcPr>
            <w:tcW w:w="332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75007</w:t>
            </w:r>
          </w:p>
        </w:tc>
        <w:tc>
          <w:tcPr>
            <w:tcW w:w="0" w:type="dxa"/>
            <w:vAlign w:val="bottom"/>
          </w:tcPr>
          <w:p>
            <w:pPr>
              <w:spacing w:after="0"/>
              <w:rPr>
                <w:sz w:val="1"/>
                <w:szCs w:val="1"/>
                <w:color w:val="auto"/>
              </w:rPr>
            </w:pPr>
          </w:p>
        </w:tc>
      </w:tr>
      <w:tr>
        <w:trPr>
          <w:trHeight w:val="296"/>
        </w:trPr>
        <w:tc>
          <w:tcPr>
            <w:tcW w:w="4700" w:type="dxa"/>
            <w:vAlign w:val="bottom"/>
          </w:tcPr>
          <w:p>
            <w:pPr>
              <w:ind w:left="220"/>
              <w:spacing w:after="0"/>
              <w:rPr>
                <w:sz w:val="20"/>
                <w:szCs w:val="20"/>
                <w:color w:val="auto"/>
              </w:rPr>
            </w:pPr>
            <w:r>
              <w:rPr>
                <w:rFonts w:ascii="Courier New" w:cs="Courier New" w:eastAsia="Courier New" w:hAnsi="Courier New"/>
                <w:sz w:val="18"/>
                <w:szCs w:val="18"/>
                <w:color w:val="auto"/>
              </w:rPr>
              <w:t>PARIS, FRANCE</w:t>
            </w:r>
          </w:p>
        </w:tc>
        <w:tc>
          <w:tcPr>
            <w:tcW w:w="3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tcPr>
          <w:p>
            <w:pPr>
              <w:ind w:left="220"/>
              <w:spacing w:after="0"/>
              <w:rPr>
                <w:sz w:val="20"/>
                <w:szCs w:val="20"/>
                <w:color w:val="auto"/>
              </w:rPr>
            </w:pPr>
            <w:r>
              <w:rPr>
                <w:rFonts w:ascii="Courier New" w:cs="Courier New" w:eastAsia="Courier New" w:hAnsi="Courier New"/>
                <w:sz w:val="18"/>
                <w:szCs w:val="18"/>
                <w:color w:val="auto"/>
              </w:rPr>
              <w:t>LAAN VAN MEERDERVOORT 55</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HAGUE,</w:t>
            </w:r>
          </w:p>
        </w:tc>
        <w:tc>
          <w:tcPr>
            <w:tcW w:w="332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2517 AG</w:t>
            </w: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NETHERLANDS</w:t>
            </w: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(Addresses of principal executive</w:t>
            </w:r>
          </w:p>
        </w:tc>
        <w:tc>
          <w:tcPr>
            <w:tcW w:w="3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(Zip Codes)</w:t>
            </w:r>
          </w:p>
        </w:tc>
        <w:tc>
          <w:tcPr>
            <w:tcW w:w="0" w:type="dxa"/>
            <w:vAlign w:val="bottom"/>
          </w:tcPr>
          <w:p>
            <w:pPr>
              <w:spacing w:after="0"/>
              <w:rPr>
                <w:sz w:val="1"/>
                <w:szCs w:val="1"/>
                <w:color w:val="auto"/>
              </w:rPr>
            </w:pPr>
          </w:p>
        </w:tc>
      </w:tr>
      <w:tr>
        <w:trPr>
          <w:trHeight w:val="296"/>
        </w:trPr>
        <w:tc>
          <w:tcPr>
            <w:tcW w:w="4700" w:type="dxa"/>
            <w:vAlign w:val="bottom"/>
          </w:tcPr>
          <w:p>
            <w:pPr>
              <w:ind w:left="220"/>
              <w:spacing w:after="0"/>
              <w:rPr>
                <w:sz w:val="20"/>
                <w:szCs w:val="20"/>
                <w:color w:val="auto"/>
              </w:rPr>
            </w:pPr>
            <w:r>
              <w:rPr>
                <w:rFonts w:ascii="Courier New" w:cs="Courier New" w:eastAsia="Courier New" w:hAnsi="Courier New"/>
                <w:sz w:val="18"/>
                <w:szCs w:val="18"/>
                <w:color w:val="auto"/>
              </w:rPr>
              <w:t>offices)</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380" w:type="dxa"/>
            <w:vAlign w:val="bottom"/>
            <w:gridSpan w:val="4"/>
          </w:tcPr>
          <w:p>
            <w:pPr>
              <w:spacing w:after="0"/>
              <w:rPr>
                <w:sz w:val="20"/>
                <w:szCs w:val="20"/>
                <w:color w:val="auto"/>
              </w:rPr>
            </w:pPr>
            <w:r>
              <w:rPr>
                <w:rFonts w:ascii="Courier New" w:cs="Courier New" w:eastAsia="Courier New" w:hAnsi="Courier New"/>
                <w:sz w:val="18"/>
                <w:szCs w:val="18"/>
                <w:color w:val="auto"/>
                <w:w w:val="99"/>
              </w:rPr>
              <w:t>Registrant's telephone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number:</w:t>
            </w:r>
          </w:p>
        </w:tc>
        <w:tc>
          <w:tcPr>
            <w:tcW w:w="5160" w:type="dxa"/>
            <w:vAlign w:val="bottom"/>
          </w:tcPr>
          <w:p>
            <w:pPr>
              <w:spacing w:after="0"/>
              <w:rPr>
                <w:sz w:val="20"/>
                <w:szCs w:val="20"/>
                <w:color w:val="auto"/>
              </w:rPr>
            </w:pPr>
            <w:r>
              <w:rPr>
                <w:rFonts w:ascii="Courier New" w:cs="Courier New" w:eastAsia="Courier New" w:hAnsi="Courier New"/>
                <w:sz w:val="18"/>
                <w:szCs w:val="18"/>
                <w:color w:val="auto"/>
              </w:rPr>
              <w:t>(212) 350-9400</w:t>
            </w:r>
          </w:p>
        </w:tc>
      </w:tr>
      <w:tr>
        <w:trPr>
          <w:trHeight w:val="717"/>
        </w:trPr>
        <w:tc>
          <w:tcPr>
            <w:tcW w:w="2380" w:type="dxa"/>
            <w:vAlign w:val="bottom"/>
            <w:gridSpan w:val="4"/>
          </w:tcPr>
          <w:p>
            <w:pPr>
              <w:spacing w:after="0"/>
              <w:rPr>
                <w:sz w:val="20"/>
                <w:szCs w:val="20"/>
                <w:color w:val="auto"/>
              </w:rPr>
            </w:pPr>
            <w:r>
              <w:rPr>
                <w:rFonts w:ascii="Courier New" w:cs="Courier New" w:eastAsia="Courier New" w:hAnsi="Courier New"/>
                <w:sz w:val="18"/>
                <w:szCs w:val="18"/>
                <w:color w:val="auto"/>
                <w:w w:val="99"/>
              </w:rPr>
              <w:t>Indicate by check mark</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whether</w:t>
            </w:r>
          </w:p>
        </w:tc>
        <w:tc>
          <w:tcPr>
            <w:tcW w:w="5160" w:type="dxa"/>
            <w:vAlign w:val="bottom"/>
          </w:tcPr>
          <w:p>
            <w:pPr>
              <w:spacing w:after="0"/>
              <w:rPr>
                <w:sz w:val="20"/>
                <w:szCs w:val="20"/>
                <w:color w:val="auto"/>
              </w:rPr>
            </w:pPr>
            <w:r>
              <w:rPr>
                <w:rFonts w:ascii="Courier New" w:cs="Courier New" w:eastAsia="Courier New" w:hAnsi="Courier New"/>
                <w:sz w:val="18"/>
                <w:szCs w:val="18"/>
                <w:color w:val="auto"/>
                <w:w w:val="99"/>
              </w:rPr>
              <w:t>Registrant (1) has filed all reports required to</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 filed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Section 13</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or 15(d)</w:t>
            </w: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Securities Exchange Act of 1934 during</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9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preceding 12 months and (2)</w:t>
            </w: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has been subject to such filing requirements for</w:t>
            </w:r>
          </w:p>
        </w:tc>
      </w:tr>
      <w:tr>
        <w:trPr>
          <w:trHeight w:val="296"/>
        </w:trPr>
        <w:tc>
          <w:tcPr>
            <w:tcW w:w="38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past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90</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days.</w:t>
            </w:r>
          </w:p>
        </w:tc>
        <w:tc>
          <w:tcPr>
            <w:tcW w:w="9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ind w:left="1160"/>
              <w:spacing w:after="0"/>
              <w:rPr>
                <w:sz w:val="20"/>
                <w:szCs w:val="20"/>
                <w:color w:val="auto"/>
              </w:rPr>
            </w:pPr>
            <w:r>
              <w:rPr>
                <w:rFonts w:ascii="Courier New" w:cs="Courier New" w:eastAsia="Courier New" w:hAnsi="Courier New"/>
                <w:sz w:val="18"/>
                <w:szCs w:val="18"/>
                <w:color w:val="auto"/>
              </w:rPr>
              <w:t>YES</w:t>
            </w:r>
          </w:p>
        </w:tc>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X</w:t>
            </w:r>
          </w:p>
        </w:tc>
        <w:tc>
          <w:tcPr>
            <w:tcW w:w="2740" w:type="dxa"/>
            <w:vAlign w:val="bottom"/>
          </w:tcPr>
          <w:p>
            <w:pPr>
              <w:ind w:left="2480"/>
              <w:spacing w:after="0"/>
              <w:rPr>
                <w:sz w:val="20"/>
                <w:szCs w:val="20"/>
                <w:color w:val="auto"/>
              </w:rPr>
            </w:pPr>
            <w:r>
              <w:rPr>
                <w:rFonts w:ascii="Courier New" w:cs="Courier New" w:eastAsia="Courier New" w:hAnsi="Courier New"/>
                <w:sz w:val="18"/>
                <w:szCs w:val="18"/>
                <w:color w:val="auto"/>
              </w:rPr>
              <w:t>NO</w:t>
            </w:r>
          </w:p>
        </w:tc>
        <w:tc>
          <w:tcPr>
            <w:tcW w:w="32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274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440" w:type="dxa"/>
            <w:vAlign w:val="bottom"/>
            <w:gridSpan w:val="4"/>
          </w:tcPr>
          <w:p>
            <w:pPr>
              <w:spacing w:after="0"/>
              <w:rPr>
                <w:sz w:val="20"/>
                <w:szCs w:val="20"/>
                <w:color w:val="auto"/>
              </w:rPr>
            </w:pPr>
            <w:r>
              <w:rPr>
                <w:rFonts w:ascii="Courier New" w:cs="Courier New" w:eastAsia="Courier New" w:hAnsi="Courier New"/>
                <w:sz w:val="18"/>
                <w:szCs w:val="18"/>
                <w:color w:val="auto"/>
              </w:rPr>
              <w:t>Indicate the number of shares outstanding of each of the issuer's classes of</w:t>
            </w:r>
          </w:p>
        </w:tc>
        <w:tc>
          <w:tcPr>
            <w:tcW w:w="0" w:type="dxa"/>
            <w:vAlign w:val="bottom"/>
          </w:tcPr>
          <w:p>
            <w:pPr>
              <w:spacing w:after="0"/>
              <w:rPr>
                <w:sz w:val="1"/>
                <w:szCs w:val="1"/>
                <w:color w:val="auto"/>
              </w:rPr>
            </w:pPr>
          </w:p>
        </w:tc>
      </w:tr>
      <w:tr>
        <w:trPr>
          <w:trHeight w:val="296"/>
        </w:trPr>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w w:val="99"/>
              </w:rPr>
              <w:t>common stock, as of the</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latest practicable date.</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00" w:type="dxa"/>
            <w:vAlign w:val="bottom"/>
          </w:tcPr>
          <w:p>
            <w:pPr>
              <w:ind w:left="640"/>
              <w:spacing w:after="0"/>
              <w:rPr>
                <w:sz w:val="20"/>
                <w:szCs w:val="20"/>
                <w:color w:val="auto"/>
              </w:rPr>
            </w:pPr>
            <w:r>
              <w:rPr>
                <w:rFonts w:ascii="Courier New" w:cs="Courier New" w:eastAsia="Courier New" w:hAnsi="Courier New"/>
                <w:sz w:val="18"/>
                <w:szCs w:val="18"/>
                <w:color w:val="auto"/>
              </w:rPr>
              <w:t>Class</w:t>
            </w:r>
          </w:p>
        </w:tc>
        <w:tc>
          <w:tcPr>
            <w:tcW w:w="4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Outstanding at July 31, 1996</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0"/>
                <w:szCs w:val="20"/>
                <w:color w:val="auto"/>
              </w:rPr>
            </w:pPr>
            <w:r>
              <w:rPr>
                <w:rFonts w:ascii="Courier New" w:cs="Courier New" w:eastAsia="Courier New" w:hAnsi="Courier New"/>
                <w:sz w:val="18"/>
                <w:szCs w:val="18"/>
                <w:color w:val="auto"/>
                <w:w w:val="96"/>
              </w:rPr>
              <w:t>- -----------------</w:t>
            </w:r>
          </w:p>
        </w:tc>
        <w:tc>
          <w:tcPr>
            <w:tcW w:w="4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w w:val="96"/>
              </w:rPr>
              <w:t>COMMON STOCK, $0.01</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PAR</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VALUE</w:t>
            </w:r>
          </w:p>
        </w:tc>
        <w:tc>
          <w:tcPr>
            <w:tcW w:w="32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244,966,036</w:t>
            </w:r>
          </w:p>
        </w:tc>
        <w:tc>
          <w:tcPr>
            <w:tcW w:w="0" w:type="dxa"/>
            <w:vAlign w:val="bottom"/>
          </w:tcPr>
          <w:p>
            <w:pPr>
              <w:spacing w:after="0"/>
              <w:rPr>
                <w:sz w:val="1"/>
                <w:szCs w:val="1"/>
                <w:color w:val="auto"/>
              </w:rPr>
            </w:pPr>
          </w:p>
        </w:tc>
      </w:tr>
    </w:tbl>
    <w:p>
      <w:pPr>
        <w:sectPr>
          <w:pgSz w:w="11900" w:h="16838" w:orient="portrait"/>
          <w:cols w:equalWidth="0" w:num="1">
            <w:col w:w="10219"/>
          </w:cols>
          <w:pgMar w:left="240" w:top="623" w:right="1440" w:bottom="1440"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PART I. FINANCIAL INFORMATION</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 Financial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SCHLUMBERGER LIMITED</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8" w:lineRule="auto"/>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779"/>
        <w:spacing w:after="0"/>
        <w:rPr>
          <w:sz w:val="20"/>
          <w:szCs w:val="20"/>
          <w:color w:val="auto"/>
        </w:rPr>
      </w:pPr>
      <w:r>
        <w:rPr>
          <w:rFonts w:ascii="Courier New" w:cs="Courier New" w:eastAsia="Courier New" w:hAnsi="Courier New"/>
          <w:sz w:val="18"/>
          <w:szCs w:val="18"/>
          <w:color w:val="auto"/>
        </w:rPr>
        <w:t>and Subsidiary Companies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CONSOLIDATED STATEMENT OF INCOME</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Periods Ended</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June 30,</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57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0" w:type="dxa"/>
            <w:vAlign w:val="bottom"/>
            <w:gridSpan w:val="3"/>
          </w:tcPr>
          <w:p>
            <w:pPr>
              <w:jc w:val="right"/>
              <w:ind w:right="712"/>
              <w:spacing w:after="0" w:line="203" w:lineRule="exact"/>
              <w:rPr>
                <w:sz w:val="20"/>
                <w:szCs w:val="20"/>
                <w:color w:val="auto"/>
              </w:rPr>
            </w:pPr>
            <w:r>
              <w:rPr>
                <w:rFonts w:ascii="Courier New" w:cs="Courier New" w:eastAsia="Courier New" w:hAnsi="Courier New"/>
                <w:sz w:val="18"/>
                <w:szCs w:val="18"/>
                <w:color w:val="auto"/>
              </w:rPr>
              <w:t>Second Quarter</w:t>
            </w:r>
          </w:p>
        </w:tc>
        <w:tc>
          <w:tcPr>
            <w:tcW w:w="160" w:type="dxa"/>
            <w:vAlign w:val="bottom"/>
          </w:tcPr>
          <w:p>
            <w:pPr>
              <w:spacing w:after="0"/>
              <w:rPr>
                <w:sz w:val="17"/>
                <w:szCs w:val="17"/>
                <w:color w:val="auto"/>
              </w:rPr>
            </w:pPr>
          </w:p>
        </w:tc>
        <w:tc>
          <w:tcPr>
            <w:tcW w:w="222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Six Months</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5"/>
                <w:szCs w:val="5"/>
                <w:color w:val="auto"/>
                <w:w w:val="71"/>
              </w:rPr>
              <w:t>--------------------------</w:t>
            </w:r>
          </w:p>
        </w:tc>
        <w:tc>
          <w:tcPr>
            <w:tcW w:w="11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1996</w:t>
            </w:r>
          </w:p>
        </w:tc>
        <w:tc>
          <w:tcPr>
            <w:tcW w:w="540" w:type="dxa"/>
            <w:vAlign w:val="bottom"/>
          </w:tcPr>
          <w:p>
            <w:pPr>
              <w:spacing w:after="0"/>
              <w:rPr>
                <w:sz w:val="17"/>
                <w:szCs w:val="17"/>
                <w:color w:val="auto"/>
              </w:rPr>
            </w:pPr>
          </w:p>
        </w:tc>
        <w:tc>
          <w:tcPr>
            <w:tcW w:w="110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1995</w:t>
            </w:r>
          </w:p>
        </w:tc>
        <w:tc>
          <w:tcPr>
            <w:tcW w:w="2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7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0" w:type="dxa"/>
            <w:vAlign w:val="bottom"/>
            <w:gridSpan w:val="4"/>
          </w:tcPr>
          <w:p>
            <w:pPr>
              <w:ind w:left="220"/>
              <w:spacing w:after="0"/>
              <w:rPr>
                <w:sz w:val="20"/>
                <w:szCs w:val="20"/>
                <w:color w:val="auto"/>
              </w:rPr>
            </w:pPr>
            <w:r>
              <w:rPr>
                <w:rFonts w:ascii="Courier New" w:cs="Courier New" w:eastAsia="Courier New" w:hAnsi="Courier New"/>
                <w:sz w:val="18"/>
                <w:szCs w:val="18"/>
                <w:color w:val="auto"/>
              </w:rPr>
              <w:t>(Dollars in thousands)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6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1740" w:type="dxa"/>
            <w:vAlign w:val="bottom"/>
            <w:gridSpan w:val="2"/>
            <w:vMerge w:val="restart"/>
          </w:tcPr>
          <w:p>
            <w:pPr>
              <w:jc w:val="right"/>
              <w:ind w:right="112"/>
              <w:spacing w:after="0"/>
              <w:rPr>
                <w:sz w:val="20"/>
                <w:szCs w:val="20"/>
                <w:color w:val="auto"/>
              </w:rPr>
            </w:pPr>
            <w:r>
              <w:rPr>
                <w:rFonts w:ascii="Courier New" w:cs="Courier New" w:eastAsia="Courier New" w:hAnsi="Courier New"/>
                <w:sz w:val="18"/>
                <w:szCs w:val="18"/>
                <w:color w:val="auto"/>
              </w:rPr>
              <w:t>$2,150,790</w:t>
            </w:r>
          </w:p>
        </w:tc>
        <w:tc>
          <w:tcPr>
            <w:tcW w:w="164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rPr>
              <w:t>$1,877,081</w:t>
            </w:r>
          </w:p>
        </w:tc>
        <w:tc>
          <w:tcPr>
            <w:tcW w:w="11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9"/>
              </w:rPr>
              <w:t>$4,178,618</w:t>
            </w: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$3,639,378</w:t>
            </w: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w:t>
            </w:r>
          </w:p>
        </w:tc>
        <w:tc>
          <w:tcPr>
            <w:tcW w:w="1740" w:type="dxa"/>
            <w:vAlign w:val="bottom"/>
            <w:gridSpan w:val="2"/>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other income</w:t>
            </w:r>
          </w:p>
        </w:tc>
        <w:tc>
          <w:tcPr>
            <w:tcW w:w="5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16,067</w:t>
            </w:r>
          </w:p>
        </w:tc>
        <w:tc>
          <w:tcPr>
            <w:tcW w:w="5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22,181</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33,437</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46,059</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3"/>
                <w:szCs w:val="13"/>
                <w:color w:val="auto"/>
                <w:w w:val="71"/>
              </w:rPr>
              <w:t>----------</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2,166,857</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1,899,262</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4,212,055</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3,685,437</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7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416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580" w:type="dxa"/>
            <w:vAlign w:val="bottom"/>
          </w:tcPr>
          <w:p>
            <w:pPr>
              <w:spacing w:after="0"/>
              <w:rPr>
                <w:sz w:val="24"/>
                <w:szCs w:val="24"/>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1,631,997</w:t>
            </w:r>
          </w:p>
        </w:tc>
        <w:tc>
          <w:tcPr>
            <w:tcW w:w="540" w:type="dxa"/>
            <w:vAlign w:val="bottom"/>
          </w:tcPr>
          <w:p>
            <w:pPr>
              <w:spacing w:after="0"/>
              <w:rPr>
                <w:sz w:val="24"/>
                <w:szCs w:val="24"/>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4"/>
              </w:rPr>
              <w:t>1,417,745</w:t>
            </w:r>
          </w:p>
        </w:tc>
        <w:tc>
          <w:tcPr>
            <w:tcW w:w="16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3,181,600</w:t>
            </w:r>
          </w:p>
        </w:tc>
        <w:tc>
          <w:tcPr>
            <w:tcW w:w="2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2,754,207</w:t>
            </w: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goods sold and services</w:t>
            </w:r>
          </w:p>
        </w:tc>
        <w:tc>
          <w:tcPr>
            <w:tcW w:w="5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&amp; engineering</w:t>
            </w:r>
          </w:p>
        </w:tc>
        <w:tc>
          <w:tcPr>
            <w:tcW w:w="5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114,740</w:t>
            </w:r>
          </w:p>
        </w:tc>
        <w:tc>
          <w:tcPr>
            <w:tcW w:w="5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104,947</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225,539</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208,232</w:t>
            </w: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Marketing</w:t>
            </w:r>
          </w:p>
        </w:tc>
        <w:tc>
          <w:tcPr>
            <w:tcW w:w="5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75,334</w:t>
            </w:r>
          </w:p>
        </w:tc>
        <w:tc>
          <w:tcPr>
            <w:tcW w:w="5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69,428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148,524</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135,351</w:t>
            </w: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w:t>
            </w:r>
          </w:p>
        </w:tc>
        <w:tc>
          <w:tcPr>
            <w:tcW w:w="5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88,683</w:t>
            </w:r>
          </w:p>
        </w:tc>
        <w:tc>
          <w:tcPr>
            <w:tcW w:w="5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88,487</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173,942</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174,089</w:t>
            </w: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w:t>
            </w:r>
          </w:p>
        </w:tc>
        <w:tc>
          <w:tcPr>
            <w:tcW w:w="5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18,120</w:t>
            </w:r>
          </w:p>
        </w:tc>
        <w:tc>
          <w:tcPr>
            <w:tcW w:w="5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21,472</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35,463</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41,998</w:t>
            </w: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on income</w:t>
            </w:r>
          </w:p>
        </w:tc>
        <w:tc>
          <w:tcPr>
            <w:tcW w:w="5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41,265</w:t>
            </w:r>
          </w:p>
        </w:tc>
        <w:tc>
          <w:tcPr>
            <w:tcW w:w="5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30,329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79,402</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57,897</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3"/>
                <w:szCs w:val="13"/>
                <w:color w:val="auto"/>
                <w:w w:val="71"/>
              </w:rPr>
              <w:t>----------</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1,970,139</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1,732,408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3,844,470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3,371,774</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7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1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196,718</w:t>
            </w:r>
          </w:p>
        </w:tc>
        <w:tc>
          <w:tcPr>
            <w:tcW w:w="540" w:type="dxa"/>
            <w:vAlign w:val="bottom"/>
          </w:tcPr>
          <w:p>
            <w:pPr>
              <w:ind w:left="42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166,854</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367,585</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313,663</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7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416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0.80</w:t>
            </w:r>
          </w:p>
        </w:tc>
        <w:tc>
          <w:tcPr>
            <w:tcW w:w="540" w:type="dxa"/>
            <w:vAlign w:val="bottom"/>
          </w:tcPr>
          <w:p>
            <w:pPr>
              <w:ind w:left="42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0.69</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1.50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1.30</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7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4160" w:type="dxa"/>
            <w:vAlign w:val="bottom"/>
          </w:tcPr>
          <w:p>
            <w:pPr>
              <w:spacing w:after="0"/>
              <w:rPr>
                <w:sz w:val="20"/>
                <w:szCs w:val="20"/>
                <w:color w:val="auto"/>
              </w:rPr>
            </w:pPr>
            <w:r>
              <w:rPr>
                <w:rFonts w:ascii="Courier New" w:cs="Courier New" w:eastAsia="Courier New" w:hAnsi="Courier New"/>
                <w:sz w:val="18"/>
                <w:szCs w:val="18"/>
                <w:color w:val="auto"/>
              </w:rPr>
              <w:t>Avg. shares outstanding (thousands)</w:t>
            </w:r>
          </w:p>
        </w:tc>
        <w:tc>
          <w:tcPr>
            <w:tcW w:w="58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244,670</w:t>
            </w:r>
          </w:p>
        </w:tc>
        <w:tc>
          <w:tcPr>
            <w:tcW w:w="54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241,887</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244,014</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241,970</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7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160" w:type="dxa"/>
            <w:vAlign w:val="bottom"/>
          </w:tcPr>
          <w:p>
            <w:pPr>
              <w:spacing w:after="0"/>
              <w:rPr>
                <w:sz w:val="20"/>
                <w:szCs w:val="20"/>
                <w:color w:val="auto"/>
              </w:rPr>
            </w:pPr>
            <w:r>
              <w:rPr>
                <w:rFonts w:ascii="Courier New" w:cs="Courier New" w:eastAsia="Courier New" w:hAnsi="Courier New"/>
                <w:sz w:val="18"/>
                <w:szCs w:val="18"/>
                <w:color w:val="auto"/>
              </w:rPr>
              <w:t>Dividends declared per share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0.375</w:t>
            </w:r>
          </w:p>
        </w:tc>
        <w:tc>
          <w:tcPr>
            <w:tcW w:w="540" w:type="dxa"/>
            <w:vAlign w:val="bottom"/>
          </w:tcPr>
          <w:p>
            <w:pPr>
              <w:ind w:left="42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0.375</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0.750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0.675</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7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8"/>
          <w:szCs w:val="18"/>
          <w:color w:val="auto"/>
        </w:rPr>
        <w:t>SCHLUMBERGER LIMITED</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8" w:lineRule="auto"/>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779"/>
        <w:spacing w:after="0"/>
        <w:rPr>
          <w:sz w:val="20"/>
          <w:szCs w:val="20"/>
          <w:color w:val="auto"/>
        </w:rPr>
      </w:pPr>
      <w:r>
        <w:rPr>
          <w:rFonts w:ascii="Courier New" w:cs="Courier New" w:eastAsia="Courier New" w:hAnsi="Courier New"/>
          <w:sz w:val="18"/>
          <w:szCs w:val="18"/>
          <w:color w:val="auto"/>
        </w:rPr>
        <w:t>and Subsidiary Companies</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CONSOLIDATED BALANCE SHEET</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96"/>
        </w:trPr>
        <w:tc>
          <w:tcPr>
            <w:tcW w:w="5860" w:type="dxa"/>
            <w:vAlign w:val="bottom"/>
          </w:tcPr>
          <w:p>
            <w:pPr>
              <w:ind w:left="3580"/>
              <w:spacing w:after="0"/>
              <w:rPr>
                <w:sz w:val="20"/>
                <w:szCs w:val="20"/>
                <w:color w:val="auto"/>
              </w:rPr>
            </w:pPr>
            <w:r>
              <w:rPr>
                <w:rFonts w:ascii="Courier New" w:cs="Courier New" w:eastAsia="Courier New" w:hAnsi="Courier New"/>
                <w:sz w:val="18"/>
                <w:szCs w:val="18"/>
                <w:color w:val="auto"/>
              </w:rPr>
              <w:t>(Unaudited)</w:t>
            </w: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5860" w:type="dxa"/>
            <w:vAlign w:val="bottom"/>
          </w:tcPr>
          <w:p>
            <w:pPr>
              <w:spacing w:after="0"/>
              <w:rPr>
                <w:sz w:val="24"/>
                <w:szCs w:val="24"/>
                <w:color w:val="auto"/>
              </w:rPr>
            </w:pPr>
          </w:p>
        </w:tc>
        <w:tc>
          <w:tcPr>
            <w:tcW w:w="2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Jun. 30,</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Dec. 31,</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03"/>
        </w:trPr>
        <w:tc>
          <w:tcPr>
            <w:tcW w:w="5860" w:type="dxa"/>
            <w:vAlign w:val="bottom"/>
            <w:vMerge w:val="restart"/>
          </w:tcPr>
          <w:p>
            <w:pPr>
              <w:spacing w:after="0"/>
              <w:rPr>
                <w:sz w:val="20"/>
                <w:szCs w:val="20"/>
                <w:color w:val="auto"/>
              </w:rPr>
            </w:pPr>
            <w:r>
              <w:rPr>
                <w:rFonts w:ascii="Courier New" w:cs="Courier New" w:eastAsia="Courier New" w:hAnsi="Courier New"/>
                <w:sz w:val="18"/>
                <w:szCs w:val="18"/>
                <w:color w:val="auto"/>
              </w:rPr>
              <w:t>ASSETS</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vMerge w:val="continue"/>
          </w:tcPr>
          <w:p>
            <w:pPr>
              <w:spacing w:after="0"/>
              <w:rPr>
                <w:sz w:val="17"/>
                <w:szCs w:val="17"/>
                <w:color w:val="auto"/>
              </w:rPr>
            </w:pPr>
          </w:p>
        </w:tc>
        <w:tc>
          <w:tcPr>
            <w:tcW w:w="3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0" w:type="dxa"/>
            <w:vAlign w:val="bottom"/>
          </w:tcPr>
          <w:p>
            <w:pPr>
              <w:spacing w:after="0"/>
              <w:rPr>
                <w:sz w:val="1"/>
                <w:szCs w:val="1"/>
                <w:color w:val="auto"/>
              </w:rPr>
            </w:pPr>
          </w:p>
        </w:tc>
      </w:tr>
      <w:tr>
        <w:trPr>
          <w:trHeight w:val="296"/>
        </w:trPr>
        <w:tc>
          <w:tcPr>
            <w:tcW w:w="58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58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$ 1,157,535</w:t>
            </w:r>
          </w:p>
        </w:tc>
        <w:tc>
          <w:tcPr>
            <w:tcW w:w="1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$ 1,120,533</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short-term investments</w:t>
            </w:r>
          </w:p>
        </w:tc>
        <w:tc>
          <w:tcPr>
            <w:tcW w:w="2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 accounts</w:t>
            </w:r>
          </w:p>
        </w:tc>
        <w:tc>
          <w:tcPr>
            <w:tcW w:w="2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2,100,669</w:t>
            </w:r>
          </w:p>
        </w:tc>
        <w:tc>
          <w:tcPr>
            <w:tcW w:w="1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1,939,873</w:t>
            </w: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(1996 - $46,586; 1995 - $58,246)</w:t>
            </w:r>
          </w:p>
        </w:tc>
        <w:tc>
          <w:tcPr>
            <w:tcW w:w="2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914,117</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782,168</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207,139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181,129</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860" w:type="dxa"/>
            <w:vAlign w:val="bottom"/>
          </w:tcPr>
          <w:p>
            <w:pPr>
              <w:spacing w:after="0"/>
              <w:rPr>
                <w:sz w:val="24"/>
                <w:szCs w:val="24"/>
                <w:color w:val="auto"/>
              </w:rPr>
            </w:pP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4,379,460</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4,023,703</w:t>
            </w:r>
          </w:p>
        </w:tc>
        <w:tc>
          <w:tcPr>
            <w:tcW w:w="0" w:type="dxa"/>
            <w:vAlign w:val="bottom"/>
          </w:tcPr>
          <w:p>
            <w:pPr>
              <w:spacing w:after="0"/>
              <w:rPr>
                <w:sz w:val="1"/>
                <w:szCs w:val="1"/>
                <w:color w:val="auto"/>
              </w:rPr>
            </w:pP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LONG-TERM INVESTMENTS, HELD TO MATURITY</w:t>
            </w: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207,885</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279,950</w:t>
            </w:r>
          </w:p>
        </w:tc>
        <w:tc>
          <w:tcPr>
            <w:tcW w:w="0" w:type="dxa"/>
            <w:vAlign w:val="bottom"/>
          </w:tcPr>
          <w:p>
            <w:pPr>
              <w:spacing w:after="0"/>
              <w:rPr>
                <w:sz w:val="1"/>
                <w:szCs w:val="1"/>
                <w:color w:val="auto"/>
              </w:rPr>
            </w:pPr>
          </w:p>
        </w:tc>
      </w:tr>
      <w:tr>
        <w:trPr>
          <w:trHeight w:val="311"/>
        </w:trPr>
        <w:tc>
          <w:tcPr>
            <w:tcW w:w="5860" w:type="dxa"/>
            <w:vAlign w:val="bottom"/>
          </w:tcPr>
          <w:p>
            <w:pPr>
              <w:spacing w:after="0"/>
              <w:rPr>
                <w:sz w:val="20"/>
                <w:szCs w:val="20"/>
                <w:color w:val="auto"/>
              </w:rPr>
            </w:pPr>
            <w:r>
              <w:rPr>
                <w:rFonts w:ascii="Courier New" w:cs="Courier New" w:eastAsia="Courier New" w:hAnsi="Courier New"/>
                <w:sz w:val="18"/>
                <w:szCs w:val="18"/>
                <w:color w:val="auto"/>
              </w:rPr>
              <w:t>FIXED ASSETS:</w:t>
            </w:r>
          </w:p>
        </w:tc>
        <w:tc>
          <w:tcPr>
            <w:tcW w:w="2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9,315,445</w:t>
            </w:r>
          </w:p>
        </w:tc>
        <w:tc>
          <w:tcPr>
            <w:tcW w:w="1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9,108,107</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2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(6,157,159)</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(5,989,649)</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860" w:type="dxa"/>
            <w:vAlign w:val="bottom"/>
            <w:vMerge w:val="restart"/>
          </w:tcPr>
          <w:p>
            <w:pPr>
              <w:spacing w:after="0"/>
              <w:rPr>
                <w:sz w:val="20"/>
                <w:szCs w:val="20"/>
                <w:color w:val="auto"/>
              </w:rPr>
            </w:pPr>
            <w:r>
              <w:rPr>
                <w:rFonts w:ascii="Courier New" w:cs="Courier New" w:eastAsia="Courier New" w:hAnsi="Courier New"/>
                <w:sz w:val="18"/>
                <w:szCs w:val="18"/>
                <w:color w:val="auto"/>
              </w:rPr>
              <w:t>EXCESS OF INVESTMENT OVER NET ASSETS OF</w:t>
            </w: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3,158,286</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3,118,458</w:t>
            </w:r>
          </w:p>
        </w:tc>
        <w:tc>
          <w:tcPr>
            <w:tcW w:w="0" w:type="dxa"/>
            <w:vAlign w:val="bottom"/>
          </w:tcPr>
          <w:p>
            <w:pPr>
              <w:spacing w:after="0"/>
              <w:rPr>
                <w:sz w:val="1"/>
                <w:szCs w:val="1"/>
                <w:color w:val="auto"/>
              </w:rPr>
            </w:pPr>
          </w:p>
        </w:tc>
      </w:tr>
      <w:tr>
        <w:trPr>
          <w:trHeight w:val="109"/>
        </w:trPr>
        <w:tc>
          <w:tcPr>
            <w:tcW w:w="5860" w:type="dxa"/>
            <w:vAlign w:val="bottom"/>
            <w:vMerge w:val="continue"/>
          </w:tcPr>
          <w:p>
            <w:pPr>
              <w:spacing w:after="0"/>
              <w:rPr>
                <w:sz w:val="9"/>
                <w:szCs w:val="9"/>
                <w:color w:val="auto"/>
              </w:rPr>
            </w:pPr>
          </w:p>
        </w:tc>
        <w:tc>
          <w:tcPr>
            <w:tcW w:w="2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1,294,555</w:t>
            </w:r>
          </w:p>
        </w:tc>
        <w:tc>
          <w:tcPr>
            <w:tcW w:w="1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1,330,490</w:t>
            </w:r>
          </w:p>
        </w:tc>
        <w:tc>
          <w:tcPr>
            <w:tcW w:w="0" w:type="dxa"/>
            <w:vAlign w:val="bottom"/>
          </w:tcPr>
          <w:p>
            <w:pPr>
              <w:spacing w:after="0"/>
              <w:rPr>
                <w:sz w:val="1"/>
                <w:szCs w:val="1"/>
                <w:color w:val="auto"/>
              </w:rPr>
            </w:pPr>
          </w:p>
        </w:tc>
      </w:tr>
      <w:tr>
        <w:trPr>
          <w:trHeight w:val="203"/>
        </w:trPr>
        <w:tc>
          <w:tcPr>
            <w:tcW w:w="58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COMPANIES PURCHASED, less amortization</w:t>
            </w:r>
          </w:p>
        </w:tc>
        <w:tc>
          <w:tcPr>
            <w:tcW w:w="2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166,950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157,499</w:t>
            </w:r>
          </w:p>
        </w:tc>
        <w:tc>
          <w:tcPr>
            <w:tcW w:w="0" w:type="dxa"/>
            <w:vAlign w:val="bottom"/>
          </w:tcPr>
          <w:p>
            <w:pPr>
              <w:spacing w:after="0"/>
              <w:rPr>
                <w:sz w:val="1"/>
                <w:szCs w:val="1"/>
                <w:color w:val="auto"/>
              </w:rPr>
            </w:pPr>
          </w:p>
        </w:tc>
      </w:tr>
      <w:tr>
        <w:trPr>
          <w:trHeight w:val="296"/>
        </w:trPr>
        <w:tc>
          <w:tcPr>
            <w:tcW w:w="5860" w:type="dxa"/>
            <w:vAlign w:val="bottom"/>
          </w:tcPr>
          <w:p>
            <w:pPr>
              <w:spacing w:after="0"/>
              <w:rPr>
                <w:sz w:val="24"/>
                <w:szCs w:val="24"/>
                <w:color w:val="auto"/>
              </w:rPr>
            </w:pP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860" w:type="dxa"/>
            <w:vAlign w:val="bottom"/>
          </w:tcPr>
          <w:p>
            <w:pPr>
              <w:spacing w:after="0"/>
              <w:rPr>
                <w:sz w:val="24"/>
                <w:szCs w:val="24"/>
                <w:color w:val="auto"/>
              </w:rPr>
            </w:pP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$ 9,207,136</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$ 8,910,100</w:t>
            </w:r>
          </w:p>
        </w:tc>
        <w:tc>
          <w:tcPr>
            <w:tcW w:w="0" w:type="dxa"/>
            <w:vAlign w:val="bottom"/>
          </w:tcPr>
          <w:p>
            <w:pPr>
              <w:spacing w:after="0"/>
              <w:rPr>
                <w:sz w:val="1"/>
                <w:szCs w:val="1"/>
                <w:color w:val="auto"/>
              </w:rPr>
            </w:pPr>
          </w:p>
        </w:tc>
      </w:tr>
      <w:tr>
        <w:trPr>
          <w:trHeight w:val="296"/>
        </w:trPr>
        <w:tc>
          <w:tcPr>
            <w:tcW w:w="5860" w:type="dxa"/>
            <w:vAlign w:val="bottom"/>
          </w:tcPr>
          <w:p>
            <w:pPr>
              <w:spacing w:after="0"/>
              <w:rPr>
                <w:sz w:val="24"/>
                <w:szCs w:val="24"/>
                <w:color w:val="auto"/>
              </w:rPr>
            </w:pP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860" w:type="dxa"/>
            <w:vAlign w:val="bottom"/>
          </w:tcPr>
          <w:p>
            <w:pPr>
              <w:spacing w:after="0"/>
              <w:rPr>
                <w:sz w:val="20"/>
                <w:szCs w:val="20"/>
                <w:color w:val="auto"/>
              </w:rPr>
            </w:pPr>
            <w:r>
              <w:rPr>
                <w:rFonts w:ascii="Courier New" w:cs="Courier New" w:eastAsia="Courier New" w:hAnsi="Courier New"/>
                <w:sz w:val="18"/>
                <w:szCs w:val="18"/>
                <w:color w:val="auto"/>
              </w:rPr>
              <w:t>LIABILITIES &amp; STOCKHOLDERS' EQUITY</w:t>
            </w: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8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8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$ 1,790,105</w:t>
            </w:r>
          </w:p>
        </w:tc>
        <w:tc>
          <w:tcPr>
            <w:tcW w:w="1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$ 1,773,605</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2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 liability for taxes on income</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273,384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299,841</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loans</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595,043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515,703</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payable</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92,238</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91,706</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due within one year</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88,829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83,417</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860" w:type="dxa"/>
            <w:vAlign w:val="bottom"/>
          </w:tcPr>
          <w:p>
            <w:pPr>
              <w:spacing w:after="0"/>
              <w:rPr>
                <w:sz w:val="24"/>
                <w:szCs w:val="24"/>
                <w:color w:val="auto"/>
              </w:rPr>
            </w:pP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2,839,599</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2,764,272</w:t>
            </w:r>
          </w:p>
        </w:tc>
        <w:tc>
          <w:tcPr>
            <w:tcW w:w="0" w:type="dxa"/>
            <w:vAlign w:val="bottom"/>
          </w:tcPr>
          <w:p>
            <w:pPr>
              <w:spacing w:after="0"/>
              <w:rPr>
                <w:sz w:val="1"/>
                <w:szCs w:val="1"/>
                <w:color w:val="auto"/>
              </w:rPr>
            </w:pPr>
          </w:p>
        </w:tc>
      </w:tr>
      <w:tr>
        <w:trPr>
          <w:trHeight w:val="311"/>
        </w:trPr>
        <w:tc>
          <w:tcPr>
            <w:tcW w:w="58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577,051</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613,404</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370,740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354,830</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187,822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213,577</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3,975,212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3,946,083</w:t>
            </w:r>
          </w:p>
        </w:tc>
        <w:tc>
          <w:tcPr>
            <w:tcW w:w="0" w:type="dxa"/>
            <w:vAlign w:val="bottom"/>
          </w:tcPr>
          <w:p>
            <w:pPr>
              <w:spacing w:after="0"/>
              <w:rPr>
                <w:sz w:val="1"/>
                <w:szCs w:val="1"/>
                <w:color w:val="auto"/>
              </w:rPr>
            </w:pPr>
          </w:p>
        </w:tc>
      </w:tr>
      <w:tr>
        <w:trPr>
          <w:trHeight w:val="296"/>
        </w:trPr>
        <w:tc>
          <w:tcPr>
            <w:tcW w:w="5860" w:type="dxa"/>
            <w:vAlign w:val="bottom"/>
          </w:tcPr>
          <w:p>
            <w:pPr>
              <w:spacing w:after="0"/>
              <w:rPr>
                <w:sz w:val="24"/>
                <w:szCs w:val="24"/>
                <w:color w:val="auto"/>
              </w:rPr>
            </w:pP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8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763,120</w:t>
            </w:r>
          </w:p>
        </w:tc>
        <w:tc>
          <w:tcPr>
            <w:tcW w:w="1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737,328</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2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retained for use in the business</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6,838,462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6,654,072</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(2,348,706)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(2,414,577)</w:t>
            </w: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Translation adjustment</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(20,952)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(12,806)</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5,231,924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4,964,017</w:t>
            </w:r>
          </w:p>
        </w:tc>
        <w:tc>
          <w:tcPr>
            <w:tcW w:w="0" w:type="dxa"/>
            <w:vAlign w:val="bottom"/>
          </w:tcPr>
          <w:p>
            <w:pPr>
              <w:spacing w:after="0"/>
              <w:rPr>
                <w:sz w:val="1"/>
                <w:szCs w:val="1"/>
                <w:color w:val="auto"/>
              </w:rPr>
            </w:pPr>
          </w:p>
        </w:tc>
      </w:tr>
      <w:tr>
        <w:trPr>
          <w:trHeight w:val="296"/>
        </w:trPr>
        <w:tc>
          <w:tcPr>
            <w:tcW w:w="5860" w:type="dxa"/>
            <w:vAlign w:val="bottom"/>
          </w:tcPr>
          <w:p>
            <w:pPr>
              <w:spacing w:after="0"/>
              <w:rPr>
                <w:sz w:val="24"/>
                <w:szCs w:val="24"/>
                <w:color w:val="auto"/>
              </w:rPr>
            </w:pP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860" w:type="dxa"/>
            <w:vAlign w:val="bottom"/>
          </w:tcPr>
          <w:p>
            <w:pPr>
              <w:spacing w:after="0"/>
              <w:rPr>
                <w:sz w:val="24"/>
                <w:szCs w:val="24"/>
                <w:color w:val="auto"/>
              </w:rPr>
            </w:pP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$ 9,207,136</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$ 8,910,100</w:t>
            </w:r>
          </w:p>
        </w:tc>
        <w:tc>
          <w:tcPr>
            <w:tcW w:w="0" w:type="dxa"/>
            <w:vAlign w:val="bottom"/>
          </w:tcPr>
          <w:p>
            <w:pPr>
              <w:spacing w:after="0"/>
              <w:rPr>
                <w:sz w:val="1"/>
                <w:szCs w:val="1"/>
                <w:color w:val="auto"/>
              </w:rPr>
            </w:pPr>
          </w:p>
        </w:tc>
      </w:tr>
      <w:tr>
        <w:trPr>
          <w:trHeight w:val="296"/>
        </w:trPr>
        <w:tc>
          <w:tcPr>
            <w:tcW w:w="5860" w:type="dxa"/>
            <w:vAlign w:val="bottom"/>
          </w:tcPr>
          <w:p>
            <w:pPr>
              <w:spacing w:after="0"/>
              <w:rPr>
                <w:sz w:val="24"/>
                <w:szCs w:val="24"/>
                <w:color w:val="auto"/>
              </w:rPr>
            </w:pP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0" w:gutter="0" w:footer="0" w:header="0"/>
        </w:sectPr>
      </w:pPr>
    </w:p>
    <w:bookmarkStart w:id="3" w:name="page4"/>
    <w:bookmarkEnd w:id="3"/>
    <w:p>
      <w:pPr>
        <w:ind w:left="3160"/>
        <w:spacing w:after="0"/>
        <w:rPr>
          <w:sz w:val="20"/>
          <w:szCs w:val="20"/>
          <w:color w:val="auto"/>
        </w:rPr>
      </w:pPr>
      <w:r>
        <w:rPr>
          <w:rFonts w:ascii="Courier New" w:cs="Courier New" w:eastAsia="Courier New" w:hAnsi="Courier New"/>
          <w:sz w:val="18"/>
          <w:szCs w:val="18"/>
          <w:color w:val="auto"/>
        </w:rPr>
        <w:t>SCHLUMBERGER LIMITED</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8" w:lineRule="auto"/>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779"/>
        <w:spacing w:after="0"/>
        <w:rPr>
          <w:sz w:val="20"/>
          <w:szCs w:val="20"/>
          <w:color w:val="auto"/>
        </w:rPr>
      </w:pPr>
      <w:r>
        <w:rPr>
          <w:rFonts w:ascii="Courier New" w:cs="Courier New" w:eastAsia="Courier New" w:hAnsi="Courier New"/>
          <w:sz w:val="18"/>
          <w:szCs w:val="18"/>
          <w:color w:val="auto"/>
        </w:rPr>
        <w:t>and Subsidiary Companies</w:t>
      </w:r>
    </w:p>
    <w:p>
      <w:pPr>
        <w:spacing w:after="0" w:line="16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CONSOLIDATED STATEMENT OF CASH FLOWS</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700" w:type="dxa"/>
            <w:vAlign w:val="bottom"/>
          </w:tcPr>
          <w:p>
            <w:pPr>
              <w:spacing w:after="0"/>
              <w:rPr>
                <w:sz w:val="24"/>
                <w:szCs w:val="24"/>
                <w:color w:val="auto"/>
              </w:rPr>
            </w:pPr>
          </w:p>
        </w:tc>
        <w:tc>
          <w:tcPr>
            <w:tcW w:w="2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(Dollars in thousands)</w:t>
            </w:r>
          </w:p>
        </w:tc>
        <w:tc>
          <w:tcPr>
            <w:tcW w:w="0" w:type="dxa"/>
            <w:vAlign w:val="bottom"/>
          </w:tcPr>
          <w:p>
            <w:pPr>
              <w:spacing w:after="0"/>
              <w:rPr>
                <w:sz w:val="1"/>
                <w:szCs w:val="1"/>
                <w:color w:val="auto"/>
              </w:rPr>
            </w:pPr>
          </w:p>
        </w:tc>
      </w:tr>
      <w:tr>
        <w:trPr>
          <w:trHeight w:val="311"/>
        </w:trPr>
        <w:tc>
          <w:tcPr>
            <w:tcW w:w="5700" w:type="dxa"/>
            <w:vAlign w:val="bottom"/>
          </w:tcPr>
          <w:p>
            <w:pPr>
              <w:spacing w:after="0"/>
              <w:rPr>
                <w:sz w:val="24"/>
                <w:szCs w:val="24"/>
                <w:color w:val="auto"/>
              </w:rPr>
            </w:pPr>
          </w:p>
        </w:tc>
        <w:tc>
          <w:tcPr>
            <w:tcW w:w="29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Six Months Ended</w:t>
            </w:r>
          </w:p>
        </w:tc>
        <w:tc>
          <w:tcPr>
            <w:tcW w:w="0" w:type="dxa"/>
            <w:vAlign w:val="bottom"/>
          </w:tcPr>
          <w:p>
            <w:pPr>
              <w:spacing w:after="0"/>
              <w:rPr>
                <w:sz w:val="1"/>
                <w:szCs w:val="1"/>
                <w:color w:val="auto"/>
              </w:rPr>
            </w:pPr>
          </w:p>
        </w:tc>
      </w:tr>
      <w:tr>
        <w:trPr>
          <w:trHeight w:val="203"/>
        </w:trPr>
        <w:tc>
          <w:tcPr>
            <w:tcW w:w="5700" w:type="dxa"/>
            <w:vAlign w:val="bottom"/>
          </w:tcPr>
          <w:p>
            <w:pPr>
              <w:spacing w:after="0"/>
              <w:rPr>
                <w:sz w:val="17"/>
                <w:szCs w:val="17"/>
                <w:color w:val="auto"/>
              </w:rPr>
            </w:pPr>
          </w:p>
        </w:tc>
        <w:tc>
          <w:tcPr>
            <w:tcW w:w="294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June 30,</w:t>
            </w:r>
          </w:p>
        </w:tc>
        <w:tc>
          <w:tcPr>
            <w:tcW w:w="0" w:type="dxa"/>
            <w:vAlign w:val="bottom"/>
          </w:tcPr>
          <w:p>
            <w:pPr>
              <w:spacing w:after="0"/>
              <w:rPr>
                <w:sz w:val="1"/>
                <w:szCs w:val="1"/>
                <w:color w:val="auto"/>
              </w:rPr>
            </w:pPr>
          </w:p>
        </w:tc>
      </w:tr>
      <w:tr>
        <w:trPr>
          <w:trHeight w:val="203"/>
        </w:trPr>
        <w:tc>
          <w:tcPr>
            <w:tcW w:w="570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96"/>
        </w:trPr>
        <w:tc>
          <w:tcPr>
            <w:tcW w:w="5700" w:type="dxa"/>
            <w:vAlign w:val="bottom"/>
          </w:tcPr>
          <w:p>
            <w:pPr>
              <w:spacing w:after="0"/>
              <w:rPr>
                <w:sz w:val="24"/>
                <w:szCs w:val="24"/>
                <w:color w:val="auto"/>
              </w:rPr>
            </w:pP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7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$ 367,585</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$ 313,663</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7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17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436,682</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402,643</w:t>
            </w:r>
          </w:p>
        </w:tc>
        <w:tc>
          <w:tcPr>
            <w:tcW w:w="0" w:type="dxa"/>
            <w:vAlign w:val="bottom"/>
          </w:tcPr>
          <w:p>
            <w:pPr>
              <w:spacing w:after="0"/>
              <w:rPr>
                <w:sz w:val="1"/>
                <w:szCs w:val="1"/>
                <w:color w:val="auto"/>
              </w:rPr>
            </w:pPr>
          </w:p>
        </w:tc>
      </w:tr>
      <w:tr>
        <w:trPr>
          <w:trHeight w:val="203"/>
        </w:trPr>
        <w:tc>
          <w:tcPr>
            <w:tcW w:w="5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7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Earnings of companies carried at equity,</w:t>
            </w: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dividends received (Dividends:</w:t>
            </w:r>
          </w:p>
        </w:tc>
        <w:tc>
          <w:tcPr>
            <w:tcW w:w="17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2,743</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(5,240)</w:t>
            </w:r>
          </w:p>
        </w:tc>
        <w:tc>
          <w:tcPr>
            <w:tcW w:w="0" w:type="dxa"/>
            <w:vAlign w:val="bottom"/>
          </w:tcPr>
          <w:p>
            <w:pPr>
              <w:spacing w:after="0"/>
              <w:rPr>
                <w:sz w:val="1"/>
                <w:szCs w:val="1"/>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1996 - $133 ; 1995 - $0)</w:t>
            </w:r>
          </w:p>
        </w:tc>
        <w:tc>
          <w:tcPr>
            <w:tcW w:w="17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Provision for losses on accounts receivable</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7,922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3,859</w:t>
            </w:r>
          </w:p>
        </w:tc>
        <w:tc>
          <w:tcPr>
            <w:tcW w:w="0" w:type="dxa"/>
            <w:vAlign w:val="bottom"/>
          </w:tcPr>
          <w:p>
            <w:pPr>
              <w:spacing w:after="0"/>
              <w:rPr>
                <w:sz w:val="1"/>
                <w:szCs w:val="1"/>
                <w:color w:val="auto"/>
              </w:rPr>
            </w:pPr>
          </w:p>
        </w:tc>
      </w:tr>
      <w:tr>
        <w:trPr>
          <w:trHeight w:val="203"/>
        </w:trPr>
        <w:tc>
          <w:tcPr>
            <w:tcW w:w="5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adjustments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(1,622)</w:t>
            </w:r>
          </w:p>
        </w:tc>
        <w:tc>
          <w:tcPr>
            <w:tcW w:w="0" w:type="dxa"/>
            <w:vAlign w:val="bottom"/>
          </w:tcPr>
          <w:p>
            <w:pPr>
              <w:spacing w:after="0"/>
              <w:rPr>
                <w:sz w:val="1"/>
                <w:szCs w:val="1"/>
                <w:color w:val="auto"/>
              </w:rPr>
            </w:pPr>
          </w:p>
        </w:tc>
      </w:tr>
      <w:tr>
        <w:trPr>
          <w:trHeight w:val="203"/>
        </w:trPr>
        <w:tc>
          <w:tcPr>
            <w:tcW w:w="5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 in operating assets and liabilities:</w:t>
            </w:r>
          </w:p>
        </w:tc>
        <w:tc>
          <w:tcPr>
            <w:tcW w:w="1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(185,987)</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18,396</w:t>
            </w:r>
          </w:p>
        </w:tc>
        <w:tc>
          <w:tcPr>
            <w:tcW w:w="0" w:type="dxa"/>
            <w:vAlign w:val="bottom"/>
          </w:tcPr>
          <w:p>
            <w:pPr>
              <w:spacing w:after="0"/>
              <w:rPr>
                <w:sz w:val="1"/>
                <w:szCs w:val="1"/>
                <w:color w:val="auto"/>
              </w:rPr>
            </w:pPr>
          </w:p>
        </w:tc>
      </w:tr>
      <w:tr>
        <w:trPr>
          <w:trHeight w:val="203"/>
        </w:trPr>
        <w:tc>
          <w:tcPr>
            <w:tcW w:w="5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decrease in receivables</w:t>
            </w:r>
          </w:p>
        </w:tc>
        <w:tc>
          <w:tcPr>
            <w:tcW w:w="17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(145,519)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(73,060)</w:t>
            </w:r>
          </w:p>
        </w:tc>
        <w:tc>
          <w:tcPr>
            <w:tcW w:w="0" w:type="dxa"/>
            <w:vAlign w:val="bottom"/>
          </w:tcPr>
          <w:p>
            <w:pPr>
              <w:spacing w:after="0"/>
              <w:rPr>
                <w:sz w:val="1"/>
                <w:szCs w:val="1"/>
                <w:color w:val="auto"/>
              </w:rPr>
            </w:pPr>
          </w:p>
        </w:tc>
      </w:tr>
      <w:tr>
        <w:trPr>
          <w:trHeight w:val="203"/>
        </w:trPr>
        <w:tc>
          <w:tcPr>
            <w:tcW w:w="5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(decrease) in accounts payable</w:t>
            </w:r>
          </w:p>
        </w:tc>
        <w:tc>
          <w:tcPr>
            <w:tcW w:w="17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13,411</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(64,696)</w:t>
            </w:r>
          </w:p>
        </w:tc>
        <w:tc>
          <w:tcPr>
            <w:tcW w:w="0" w:type="dxa"/>
            <w:vAlign w:val="bottom"/>
          </w:tcPr>
          <w:p>
            <w:pPr>
              <w:spacing w:after="0"/>
              <w:rPr>
                <w:sz w:val="1"/>
                <w:szCs w:val="1"/>
                <w:color w:val="auto"/>
              </w:rPr>
            </w:pPr>
          </w:p>
        </w:tc>
      </w:tr>
      <w:tr>
        <w:trPr>
          <w:trHeight w:val="203"/>
        </w:trPr>
        <w:tc>
          <w:tcPr>
            <w:tcW w:w="57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and accrued liabilities</w:t>
            </w:r>
          </w:p>
        </w:tc>
        <w:tc>
          <w:tcPr>
            <w:tcW w:w="17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(Decrease) increase in estimated</w:t>
            </w:r>
          </w:p>
        </w:tc>
        <w:tc>
          <w:tcPr>
            <w:tcW w:w="1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(25,208)</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5,882</w:t>
            </w:r>
          </w:p>
        </w:tc>
        <w:tc>
          <w:tcPr>
            <w:tcW w:w="0" w:type="dxa"/>
            <w:vAlign w:val="bottom"/>
          </w:tcPr>
          <w:p>
            <w:pPr>
              <w:spacing w:after="0"/>
              <w:rPr>
                <w:sz w:val="1"/>
                <w:szCs w:val="1"/>
                <w:color w:val="auto"/>
              </w:rPr>
            </w:pPr>
          </w:p>
        </w:tc>
      </w:tr>
      <w:tr>
        <w:trPr>
          <w:trHeight w:val="203"/>
        </w:trPr>
        <w:tc>
          <w:tcPr>
            <w:tcW w:w="57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liability for taxes on income</w:t>
            </w:r>
          </w:p>
        </w:tc>
        <w:tc>
          <w:tcPr>
            <w:tcW w:w="17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 net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(47,353)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(40,863)</w:t>
            </w:r>
          </w:p>
        </w:tc>
        <w:tc>
          <w:tcPr>
            <w:tcW w:w="0" w:type="dxa"/>
            <w:vAlign w:val="bottom"/>
          </w:tcPr>
          <w:p>
            <w:pPr>
              <w:spacing w:after="0"/>
              <w:rPr>
                <w:sz w:val="1"/>
                <w:szCs w:val="1"/>
                <w:color w:val="auto"/>
              </w:rPr>
            </w:pPr>
          </w:p>
        </w:tc>
      </w:tr>
      <w:tr>
        <w:trPr>
          <w:trHeight w:val="203"/>
        </w:trPr>
        <w:tc>
          <w:tcPr>
            <w:tcW w:w="570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422,978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558,962</w:t>
            </w:r>
          </w:p>
        </w:tc>
        <w:tc>
          <w:tcPr>
            <w:tcW w:w="0" w:type="dxa"/>
            <w:vAlign w:val="bottom"/>
          </w:tcPr>
          <w:p>
            <w:pPr>
              <w:spacing w:after="0"/>
              <w:rPr>
                <w:sz w:val="1"/>
                <w:szCs w:val="1"/>
                <w:color w:val="auto"/>
              </w:rPr>
            </w:pPr>
          </w:p>
        </w:tc>
      </w:tr>
      <w:tr>
        <w:trPr>
          <w:trHeight w:val="296"/>
        </w:trPr>
        <w:tc>
          <w:tcPr>
            <w:tcW w:w="5700" w:type="dxa"/>
            <w:vAlign w:val="bottom"/>
          </w:tcPr>
          <w:p>
            <w:pPr>
              <w:spacing w:after="0"/>
              <w:rPr>
                <w:sz w:val="24"/>
                <w:szCs w:val="24"/>
                <w:color w:val="auto"/>
              </w:rPr>
            </w:pP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(499,484)</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(447,158)</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fixed assets</w:t>
            </w:r>
          </w:p>
        </w:tc>
        <w:tc>
          <w:tcPr>
            <w:tcW w:w="17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Sales/retirements of fixed assets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39,629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30,708</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investments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45,903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8,207</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for purchase of businesses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(6,050)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(55,749)</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other assets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11,648</w:t>
            </w:r>
          </w:p>
        </w:tc>
        <w:tc>
          <w:tcPr>
            <w:tcW w:w="0" w:type="dxa"/>
            <w:vAlign w:val="bottom"/>
          </w:tcPr>
          <w:p>
            <w:pPr>
              <w:spacing w:after="0"/>
              <w:rPr>
                <w:sz w:val="1"/>
                <w:szCs w:val="1"/>
                <w:color w:val="auto"/>
              </w:rPr>
            </w:pPr>
          </w:p>
        </w:tc>
      </w:tr>
      <w:tr>
        <w:trPr>
          <w:trHeight w:val="203"/>
        </w:trPr>
        <w:tc>
          <w:tcPr>
            <w:tcW w:w="570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Net cash used in investing activities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(420,209)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(452,344)</w:t>
            </w:r>
          </w:p>
        </w:tc>
        <w:tc>
          <w:tcPr>
            <w:tcW w:w="0" w:type="dxa"/>
            <w:vAlign w:val="bottom"/>
          </w:tcPr>
          <w:p>
            <w:pPr>
              <w:spacing w:after="0"/>
              <w:rPr>
                <w:sz w:val="1"/>
                <w:szCs w:val="1"/>
                <w:color w:val="auto"/>
              </w:rPr>
            </w:pPr>
          </w:p>
        </w:tc>
      </w:tr>
      <w:tr>
        <w:trPr>
          <w:trHeight w:val="296"/>
        </w:trPr>
        <w:tc>
          <w:tcPr>
            <w:tcW w:w="5700" w:type="dxa"/>
            <w:vAlign w:val="bottom"/>
          </w:tcPr>
          <w:p>
            <w:pPr>
              <w:spacing w:after="0"/>
              <w:rPr>
                <w:sz w:val="24"/>
                <w:szCs w:val="24"/>
                <w:color w:val="auto"/>
              </w:rPr>
            </w:pP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(182,519)</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(145,437)</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17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 stock options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92,122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10,493</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employee stock purchase plan</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25,193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23,500</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treasury shares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(37,400)</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40,978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122,580</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of principal on long-term debt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(52,152)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(113,642)</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increase in short-term debt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85,738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32,116</w:t>
            </w:r>
          </w:p>
        </w:tc>
        <w:tc>
          <w:tcPr>
            <w:tcW w:w="0" w:type="dxa"/>
            <w:vAlign w:val="bottom"/>
          </w:tcPr>
          <w:p>
            <w:pPr>
              <w:spacing w:after="0"/>
              <w:rPr>
                <w:sz w:val="1"/>
                <w:szCs w:val="1"/>
                <w:color w:val="auto"/>
              </w:rPr>
            </w:pPr>
          </w:p>
        </w:tc>
      </w:tr>
      <w:tr>
        <w:trPr>
          <w:trHeight w:val="296"/>
        </w:trPr>
        <w:tc>
          <w:tcPr>
            <w:tcW w:w="570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Net cash provided by (used in)</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700" w:type="dxa"/>
            <w:vAlign w:val="bottom"/>
            <w:vMerge w:val="continue"/>
          </w:tcPr>
          <w:p>
            <w:pPr>
              <w:spacing w:after="0"/>
              <w:rPr>
                <w:sz w:val="9"/>
                <w:szCs w:val="9"/>
                <w:color w:val="auto"/>
              </w:rPr>
            </w:pPr>
          </w:p>
        </w:tc>
        <w:tc>
          <w:tcPr>
            <w:tcW w:w="17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9,360</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(107,790)</w:t>
            </w:r>
          </w:p>
        </w:tc>
        <w:tc>
          <w:tcPr>
            <w:tcW w:w="0" w:type="dxa"/>
            <w:vAlign w:val="bottom"/>
          </w:tcPr>
          <w:p>
            <w:pPr>
              <w:spacing w:after="0"/>
              <w:rPr>
                <w:sz w:val="1"/>
                <w:szCs w:val="1"/>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7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700" w:type="dxa"/>
            <w:vAlign w:val="bottom"/>
          </w:tcPr>
          <w:p>
            <w:pPr>
              <w:spacing w:after="0"/>
              <w:rPr>
                <w:sz w:val="24"/>
                <w:szCs w:val="24"/>
                <w:color w:val="auto"/>
              </w:rPr>
            </w:pP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12,129</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(1,172)</w:t>
            </w:r>
          </w:p>
        </w:tc>
        <w:tc>
          <w:tcPr>
            <w:tcW w:w="0" w:type="dxa"/>
            <w:vAlign w:val="bottom"/>
          </w:tcPr>
          <w:p>
            <w:pPr>
              <w:spacing w:after="0"/>
              <w:rPr>
                <w:sz w:val="1"/>
                <w:szCs w:val="1"/>
                <w:color w:val="auto"/>
              </w:rPr>
            </w:pPr>
          </w:p>
        </w:tc>
      </w:tr>
      <w:tr>
        <w:trPr>
          <w:trHeight w:val="311"/>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beginning of period</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72,515</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57,671</w:t>
            </w:r>
          </w:p>
        </w:tc>
        <w:tc>
          <w:tcPr>
            <w:tcW w:w="0" w:type="dxa"/>
            <w:vAlign w:val="bottom"/>
          </w:tcPr>
          <w:p>
            <w:pPr>
              <w:spacing w:after="0"/>
              <w:rPr>
                <w:sz w:val="1"/>
                <w:szCs w:val="1"/>
                <w:color w:val="auto"/>
              </w:rPr>
            </w:pPr>
          </w:p>
        </w:tc>
      </w:tr>
      <w:tr>
        <w:trPr>
          <w:trHeight w:val="296"/>
        </w:trPr>
        <w:tc>
          <w:tcPr>
            <w:tcW w:w="5700" w:type="dxa"/>
            <w:vAlign w:val="bottom"/>
          </w:tcPr>
          <w:p>
            <w:pPr>
              <w:spacing w:after="0"/>
              <w:rPr>
                <w:sz w:val="24"/>
                <w:szCs w:val="24"/>
                <w:color w:val="auto"/>
              </w:rPr>
            </w:pP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end of period</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84,644</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56,499</w:t>
            </w:r>
          </w:p>
        </w:tc>
        <w:tc>
          <w:tcPr>
            <w:tcW w:w="0" w:type="dxa"/>
            <w:vAlign w:val="bottom"/>
          </w:tcPr>
          <w:p>
            <w:pPr>
              <w:spacing w:after="0"/>
              <w:rPr>
                <w:sz w:val="1"/>
                <w:szCs w:val="1"/>
                <w:color w:val="auto"/>
              </w:rPr>
            </w:pPr>
          </w:p>
        </w:tc>
      </w:tr>
      <w:tr>
        <w:trPr>
          <w:trHeight w:val="296"/>
        </w:trPr>
        <w:tc>
          <w:tcPr>
            <w:tcW w:w="5700" w:type="dxa"/>
            <w:vAlign w:val="bottom"/>
          </w:tcPr>
          <w:p>
            <w:pPr>
              <w:spacing w:after="0"/>
              <w:rPr>
                <w:sz w:val="24"/>
                <w:szCs w:val="24"/>
                <w:color w:val="auto"/>
              </w:rPr>
            </w:pP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notes to consolidated financial statements</w:t>
      </w:r>
    </w:p>
    <w:p>
      <w:pPr>
        <w:sectPr>
          <w:pgSz w:w="11900" w:h="16838" w:orient="portrait"/>
          <w:cols w:equalWidth="0" w:num="1">
            <w:col w:w="10219"/>
          </w:cols>
          <w:pgMar w:left="240" w:top="691" w:right="1440" w:bottom="0" w:gutter="0" w:footer="0" w:header="0"/>
        </w:sectPr>
      </w:pPr>
    </w:p>
    <w:bookmarkStart w:id="4" w:name="page5"/>
    <w:bookmarkEnd w:id="4"/>
    <w:p>
      <w:pPr>
        <w:ind w:left="2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12" w:right="1440" w:bottom="144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8"/>
          <w:szCs w:val="18"/>
          <w:color w:val="auto"/>
        </w:rPr>
        <w:t>SCHLUMBERGER LIMITED</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8" w:lineRule="auto"/>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779"/>
        <w:spacing w:after="0"/>
        <w:rPr>
          <w:sz w:val="20"/>
          <w:szCs w:val="20"/>
          <w:color w:val="auto"/>
        </w:rPr>
      </w:pPr>
      <w:r>
        <w:rPr>
          <w:rFonts w:ascii="Courier New" w:cs="Courier New" w:eastAsia="Courier New" w:hAnsi="Courier New"/>
          <w:sz w:val="18"/>
          <w:szCs w:val="18"/>
          <w:color w:val="auto"/>
        </w:rPr>
        <w:t>and Subsidiary Companies</w:t>
      </w:r>
    </w:p>
    <w:p>
      <w:pPr>
        <w:spacing w:after="0" w:line="16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372"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1995 Annual Report. These policies have been consistently applied during the interim period presented in this report. The results of operations for the three and six month periods ended June 30, 1996 are not necessarily indicative of the results of operations that may be expected for the entire year.</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 EXPENSE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and its subsidiaries operate in over 100 taxing jurisdictions.</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The Company's US consolidated group has a net operating loss carryforward of $470 million and net deductible temporary differences of $650 million at June 30, 1996. Significant temporary differences pertain to postretirement medical benefits, fixed assets and environmental remediation projects. Most of the carryforward will expire in the years 2002-2003.</w:t>
      </w:r>
    </w:p>
    <w:p>
      <w:pPr>
        <w:spacing w:after="0" w:line="90"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No deferred tax asset related to the carryforwards has been recorded as of June 30, 1996. The Company believed that a full valuation allowance remained appropriate.</w:t>
      </w:r>
    </w:p>
    <w:p>
      <w:pPr>
        <w:spacing w:after="0" w:line="66"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The effect of the US operating loss carryforward is a significant reconciling item between the US statutory federal tax rate (35%) and the Company's effective tax rate. The operating loss carryforward had the effect of reducing income tax expense by $20 million ($0.08 per share) and $13 million ($0.06 per share), respectively, in the three month periods ended June 30, 1996 and 1995.</w:t>
      </w:r>
    </w:p>
    <w:p>
      <w:pPr>
        <w:spacing w:after="0" w:line="4"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8"/>
          <w:szCs w:val="18"/>
          <w:color w:val="auto"/>
        </w:rPr>
        <w:t>Excluding the effect of the loss carryforward, the Company's effective tax rates would have been about 26% and 22% in the three month periods ended June 30, 1996 and 1995, respectively.</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CONTINGENCIES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accrued. However, in the opinion of management, such additional costs are not expected to be material relative to consolidated liquidity, financial position or future results of operations.</w:t>
      </w:r>
    </w:p>
    <w:p>
      <w:pPr>
        <w:spacing w:after="0" w:line="105"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In a case in Texas involving the validity of a 1988 settlement and release in connection with an incidental business venture, the trial court, in 1993, rendered a judgment notwithstanding the verdict of the jury, exonerating Schlumberger from any liability. In late 1994, a Texas Court of Appeals reversed the trial court judgment and reinstated the jury award of about $75 million against Schlumberger. The Texas Supreme Court granted the Schlumberger motion to hear the case. Oral argument was held before the Texas Supreme Court on October 11, 1995. Schlumberger and outside counsel believe the decision of the trial court was correct. Consequently, no provision has been made in the consolidated financial statements for this matter.</w:t>
      </w:r>
    </w:p>
    <w:p>
      <w:pPr>
        <w:spacing w:after="0" w:line="104"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In May 1996, in a case involving a $3 million contract dispute, the trial court in Johnson County, Texas, entered judgment on jury findings adverse to Schlumberger for $23 million in damages, which has been doubled, plus attorney's fees and interest. The Company and its outside counsel believe the findings and the judgment are not supported by the evidence and law, and will appeal. Accordingly, no provision has been made in the accompanying financial statement for this matter.</w:t>
      </w:r>
    </w:p>
    <w:p>
      <w:pPr>
        <w:spacing w:after="0" w:line="98"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7" w:name="page8"/>
    <w:bookmarkEnd w:id="7"/>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w:t>
      </w:r>
    </w:p>
    <w:p>
      <w:pPr>
        <w:spacing w:after="0" w:line="31"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Operations.</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Second Quarter 1996 Compared to Second Quarter 1995</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Second quarter net income of $197 million and earnings per share of $0.80 were 18% and 16% higher, respectively, than the same period last year.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revenue of $2.15 billion was 15% above second quarter 1995.</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Oilfield Services posted a 22% increase in revenue as rig count worldwide rose 7%. All product lines contributed significantly to this quarter's results, including a profitable contribution from Geco-Prakla.</w:t>
      </w:r>
    </w:p>
    <w:p>
      <w:pPr>
        <w:spacing w:after="0" w:line="66"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Measurement &amp; Systems revenue increased 2% compared to the same period last year, with strong growth from Electronic Transactions largely being offset by lower metering revenue.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BUSINESS</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REVIEW</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6"/>
          </w:tcPr>
          <w:p>
            <w:pPr>
              <w:jc w:val="right"/>
              <w:ind w:right="652"/>
              <w:spacing w:after="0"/>
              <w:rPr>
                <w:sz w:val="20"/>
                <w:szCs w:val="20"/>
                <w:color w:val="auto"/>
              </w:rPr>
            </w:pPr>
            <w:r>
              <w:rPr>
                <w:rFonts w:ascii="Courier New" w:cs="Courier New" w:eastAsia="Courier New" w:hAnsi="Courier New"/>
                <w:sz w:val="18"/>
                <w:szCs w:val="18"/>
                <w:color w:val="auto"/>
              </w:rPr>
              <w:t>(stated in millions)</w:t>
            </w:r>
          </w:p>
        </w:tc>
        <w:tc>
          <w:tcPr>
            <w:tcW w:w="0" w:type="dxa"/>
            <w:vAlign w:val="bottom"/>
          </w:tcPr>
          <w:p>
            <w:pPr>
              <w:spacing w:after="0"/>
              <w:rPr>
                <w:sz w:val="1"/>
                <w:szCs w:val="1"/>
                <w:color w:val="auto"/>
              </w:rPr>
            </w:pPr>
          </w:p>
        </w:tc>
      </w:tr>
      <w:tr>
        <w:trPr>
          <w:trHeight w:val="311"/>
        </w:trPr>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gridSpan w:val="5"/>
          </w:tcPr>
          <w:p>
            <w:pPr>
              <w:jc w:val="right"/>
              <w:ind w:right="432"/>
              <w:spacing w:after="0"/>
              <w:rPr>
                <w:sz w:val="20"/>
                <w:szCs w:val="20"/>
                <w:color w:val="auto"/>
              </w:rPr>
            </w:pPr>
            <w:r>
              <w:rPr>
                <w:rFonts w:ascii="Courier New" w:cs="Courier New" w:eastAsia="Courier New" w:hAnsi="Courier New"/>
                <w:sz w:val="18"/>
                <w:szCs w:val="18"/>
                <w:color w:val="auto"/>
              </w:rPr>
              <w:t>Oilfield Services</w:t>
            </w:r>
          </w:p>
        </w:tc>
        <w:tc>
          <w:tcPr>
            <w:tcW w:w="120" w:type="dxa"/>
            <w:vAlign w:val="bottom"/>
          </w:tcPr>
          <w:p>
            <w:pPr>
              <w:spacing w:after="0"/>
              <w:rPr>
                <w:sz w:val="24"/>
                <w:szCs w:val="24"/>
                <w:color w:val="auto"/>
              </w:rPr>
            </w:pPr>
          </w:p>
        </w:tc>
        <w:tc>
          <w:tcPr>
            <w:tcW w:w="2520" w:type="dxa"/>
            <w:vAlign w:val="bottom"/>
            <w:gridSpan w:val="4"/>
          </w:tcPr>
          <w:p>
            <w:pPr>
              <w:jc w:val="right"/>
              <w:ind w:right="232"/>
              <w:spacing w:after="0"/>
              <w:rPr>
                <w:sz w:val="20"/>
                <w:szCs w:val="20"/>
                <w:color w:val="auto"/>
              </w:rPr>
            </w:pPr>
            <w:r>
              <w:rPr>
                <w:rFonts w:ascii="Courier New" w:cs="Courier New" w:eastAsia="Courier New" w:hAnsi="Courier New"/>
                <w:sz w:val="18"/>
                <w:szCs w:val="18"/>
                <w:color w:val="auto"/>
                <w:w w:val="96"/>
              </w:rPr>
              <w:t>Measurement &amp; Systems</w:t>
            </w: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Second Quarter</w:t>
            </w:r>
          </w:p>
        </w:tc>
        <w:tc>
          <w:tcPr>
            <w:tcW w:w="20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8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1995</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8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change</w:t>
            </w:r>
          </w:p>
        </w:tc>
        <w:tc>
          <w:tcPr>
            <w:tcW w:w="120" w:type="dxa"/>
            <w:vAlign w:val="bottom"/>
          </w:tcPr>
          <w:p>
            <w:pPr>
              <w:spacing w:after="0"/>
              <w:rPr>
                <w:sz w:val="17"/>
                <w:szCs w:val="17"/>
                <w:color w:val="auto"/>
              </w:rPr>
            </w:pPr>
          </w:p>
        </w:tc>
        <w:tc>
          <w:tcPr>
            <w:tcW w:w="252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1996</w:t>
            </w:r>
          </w:p>
        </w:tc>
        <w:tc>
          <w:tcPr>
            <w:tcW w:w="1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1995</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 change</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w:t>
            </w:r>
          </w:p>
        </w:tc>
        <w:tc>
          <w:tcPr>
            <w:tcW w:w="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w:t>
            </w:r>
          </w:p>
        </w:tc>
        <w:tc>
          <w:tcPr>
            <w:tcW w:w="200" w:type="dxa"/>
            <w:vAlign w:val="bottom"/>
            <w:vMerge w:val="continue"/>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1,444</w:t>
            </w:r>
          </w:p>
        </w:tc>
        <w:tc>
          <w:tcPr>
            <w:tcW w:w="160" w:type="dxa"/>
            <w:vAlign w:val="bottom"/>
            <w:vMerge w:val="continue"/>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1,183</w:t>
            </w:r>
          </w:p>
        </w:tc>
        <w:tc>
          <w:tcPr>
            <w:tcW w:w="16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w:t>
            </w:r>
          </w:p>
        </w:tc>
        <w:tc>
          <w:tcPr>
            <w:tcW w:w="120" w:type="dxa"/>
            <w:vAlign w:val="bottom"/>
            <w:vMerge w:val="continue"/>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708</w:t>
            </w:r>
          </w:p>
        </w:tc>
        <w:tc>
          <w:tcPr>
            <w:tcW w:w="160" w:type="dxa"/>
            <w:vAlign w:val="bottom"/>
            <w:vMerge w:val="continue"/>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697</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2 %</w:t>
            </w:r>
          </w:p>
        </w:tc>
        <w:tc>
          <w:tcPr>
            <w:tcW w:w="0" w:type="dxa"/>
            <w:vAlign w:val="bottom"/>
          </w:tcPr>
          <w:p>
            <w:pPr>
              <w:spacing w:after="0"/>
              <w:rPr>
                <w:sz w:val="1"/>
                <w:szCs w:val="1"/>
                <w:color w:val="auto"/>
              </w:rPr>
            </w:pPr>
          </w:p>
        </w:tc>
      </w:t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Operating Income(1)</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164</w:t>
            </w:r>
          </w:p>
        </w:tc>
        <w:tc>
          <w:tcPr>
            <w:tcW w:w="160" w:type="dxa"/>
            <w:vAlign w:val="bottom"/>
          </w:tcPr>
          <w:p>
            <w:pPr>
              <w:spacing w:after="0"/>
              <w:rPr>
                <w:sz w:val="24"/>
                <w:szCs w:val="24"/>
                <w:color w:val="auto"/>
              </w:rPr>
            </w:pPr>
          </w:p>
        </w:tc>
        <w:tc>
          <w:tcPr>
            <w:tcW w:w="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32</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2839" w:hanging="427"/>
        <w:spacing w:after="0" w:line="34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 represents income before income taxes, excluding interest expense and interest and other income.</w:t>
      </w:r>
    </w:p>
    <w:p>
      <w:pPr>
        <w:spacing w:after="0" w:line="200" w:lineRule="exact"/>
        <w:rPr>
          <w:sz w:val="20"/>
          <w:szCs w:val="20"/>
          <w:color w:val="auto"/>
        </w:rPr>
      </w:pPr>
    </w:p>
    <w:p>
      <w:pPr>
        <w:spacing w:after="0" w:line="22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OILFIELD SERVICES</w:t>
      </w:r>
    </w:p>
    <w:p>
      <w:pPr>
        <w:spacing w:after="0" w:line="201" w:lineRule="exact"/>
        <w:rPr>
          <w:sz w:val="20"/>
          <w:szCs w:val="20"/>
          <w:color w:val="auto"/>
        </w:rPr>
      </w:pPr>
    </w:p>
    <w:p>
      <w:pPr>
        <w:ind w:left="220" w:right="1779"/>
        <w:spacing w:after="0" w:line="344" w:lineRule="auto"/>
        <w:rPr>
          <w:sz w:val="20"/>
          <w:szCs w:val="20"/>
          <w:color w:val="auto"/>
        </w:rPr>
      </w:pPr>
      <w:r>
        <w:rPr>
          <w:rFonts w:ascii="Courier New" w:cs="Courier New" w:eastAsia="Courier New" w:hAnsi="Courier New"/>
          <w:sz w:val="16"/>
          <w:szCs w:val="16"/>
          <w:color w:val="auto"/>
        </w:rPr>
        <w:t>Operating revenue for Oilfield Services was 22% above last year. North America and outside North America revenues were up 21% and 23%, respectively, and represented 18% and 50% of consolidated revenue, respectively.</w:t>
      </w:r>
    </w:p>
    <w:p>
      <w:pPr>
        <w:spacing w:after="0" w:line="31" w:lineRule="exact"/>
        <w:rPr>
          <w:sz w:val="20"/>
          <w:szCs w:val="20"/>
          <w:color w:val="auto"/>
        </w:rPr>
      </w:pPr>
    </w:p>
    <w:p>
      <w:pPr>
        <w:ind w:left="220" w:right="2619"/>
        <w:spacing w:after="0" w:line="292" w:lineRule="auto"/>
        <w:rPr>
          <w:sz w:val="20"/>
          <w:szCs w:val="20"/>
          <w:color w:val="auto"/>
        </w:rPr>
      </w:pPr>
      <w:r>
        <w:rPr>
          <w:rFonts w:ascii="Courier New" w:cs="Courier New" w:eastAsia="Courier New" w:hAnsi="Courier New"/>
          <w:sz w:val="18"/>
          <w:szCs w:val="18"/>
          <w:color w:val="auto"/>
        </w:rPr>
        <w:t>In North America, the most notable revenue increases were from Dowell, Wireline &amp; Testing and Geco-Prakla, which were 16%, 14% and 41%, respectively.</w:t>
      </w:r>
    </w:p>
    <w:p>
      <w:pPr>
        <w:spacing w:after="0" w:line="66" w:lineRule="exact"/>
        <w:rPr>
          <w:sz w:val="20"/>
          <w:szCs w:val="20"/>
          <w:color w:val="auto"/>
        </w:rPr>
      </w:pPr>
    </w:p>
    <w:p>
      <w:pPr>
        <w:ind w:left="220" w:right="1879"/>
        <w:spacing w:after="0" w:line="292" w:lineRule="auto"/>
        <w:rPr>
          <w:sz w:val="20"/>
          <w:szCs w:val="20"/>
          <w:color w:val="auto"/>
        </w:rPr>
      </w:pPr>
      <w:r>
        <w:rPr>
          <w:rFonts w:ascii="Courier New" w:cs="Courier New" w:eastAsia="Courier New" w:hAnsi="Courier New"/>
          <w:sz w:val="18"/>
          <w:szCs w:val="18"/>
          <w:color w:val="auto"/>
        </w:rPr>
        <w:t>Outside North America, revenue grew 15% at Wireline &amp; Testing and 18% at Dowell. Also significant, revenue at Geco-Prakla and Sedco Forex rose 34% and 28%, respectively.</w:t>
      </w:r>
    </w:p>
    <w:p>
      <w:pPr>
        <w:spacing w:after="0" w:line="66" w:lineRule="exact"/>
        <w:rPr>
          <w:sz w:val="20"/>
          <w:szCs w:val="20"/>
          <w:color w:val="auto"/>
        </w:rPr>
      </w:pPr>
    </w:p>
    <w:p>
      <w:pPr>
        <w:ind w:left="220" w:right="2199"/>
        <w:spacing w:after="0" w:line="292" w:lineRule="auto"/>
        <w:rPr>
          <w:sz w:val="20"/>
          <w:szCs w:val="20"/>
          <w:color w:val="auto"/>
        </w:rPr>
      </w:pPr>
      <w:r>
        <w:rPr>
          <w:rFonts w:ascii="Courier New" w:cs="Courier New" w:eastAsia="Courier New" w:hAnsi="Courier New"/>
          <w:sz w:val="18"/>
          <w:szCs w:val="18"/>
          <w:color w:val="auto"/>
        </w:rPr>
        <w:t>Operating income increased $13 million in North America and $43 million outside North America. The quarter included a profitable contribution from Geco-Prakla.</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America</w:t>
      </w:r>
    </w:p>
    <w:p>
      <w:pPr>
        <w:spacing w:after="0" w:line="201" w:lineRule="exact"/>
        <w:rPr>
          <w:sz w:val="20"/>
          <w:szCs w:val="20"/>
          <w:color w:val="auto"/>
        </w:rPr>
      </w:pPr>
    </w:p>
    <w:p>
      <w:pPr>
        <w:ind w:left="220" w:right="2099"/>
        <w:spacing w:after="0" w:line="347" w:lineRule="auto"/>
        <w:rPr>
          <w:sz w:val="20"/>
          <w:szCs w:val="20"/>
          <w:color w:val="auto"/>
        </w:rPr>
      </w:pPr>
      <w:r>
        <w:rPr>
          <w:rFonts w:ascii="Courier New" w:cs="Courier New" w:eastAsia="Courier New" w:hAnsi="Courier New"/>
          <w:sz w:val="18"/>
          <w:szCs w:val="18"/>
          <w:color w:val="auto"/>
        </w:rPr>
        <w:t>Rig count increased 9% for the quarter. Activity increased significantly in the Gulf of Mexico, positively impacting all product lines.</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8" w:name="page9"/>
    <w:bookmarkEnd w:id="8"/>
    <w:p>
      <w:pPr>
        <w:ind w:left="220" w:right="1779"/>
        <w:spacing w:after="0" w:line="285" w:lineRule="auto"/>
        <w:rPr>
          <w:sz w:val="20"/>
          <w:szCs w:val="20"/>
          <w:color w:val="auto"/>
        </w:rPr>
      </w:pPr>
      <w:r>
        <w:rPr>
          <w:rFonts w:ascii="Courier New" w:cs="Courier New" w:eastAsia="Courier New" w:hAnsi="Courier New"/>
          <w:sz w:val="16"/>
          <w:szCs w:val="16"/>
          <w:color w:val="auto"/>
        </w:rPr>
        <w:t>The new DeepSEA EXPRES* cementing technology was successfully introduced. This unique system improves the cementing of casing strings for subsea completions. The resulting reduction of downtime on floating drilling structures yields substantial savings for the client. The Laffit Pincay, a semisubmersible rig, completed its first full quarter of activity under Sedco Forex management following the completion of drilling-make-ready modifications. Information Technology and Data Management Services grew 39% compared to last year. In the latter, a significant three-year service contract with a major US oil company was secured to provide integrated information technology and data management for their exploration and production activities.</w:t>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Outside North America</w:t>
      </w:r>
    </w:p>
    <w:p>
      <w:pPr>
        <w:spacing w:after="0" w:line="201" w:lineRule="exact"/>
        <w:rPr>
          <w:sz w:val="20"/>
          <w:szCs w:val="20"/>
          <w:color w:val="auto"/>
        </w:rPr>
      </w:pPr>
    </w:p>
    <w:p>
      <w:pPr>
        <w:ind w:left="220" w:right="2199"/>
        <w:spacing w:after="0" w:line="347" w:lineRule="auto"/>
        <w:rPr>
          <w:sz w:val="20"/>
          <w:szCs w:val="20"/>
          <w:color w:val="auto"/>
        </w:rPr>
      </w:pPr>
      <w:r>
        <w:rPr>
          <w:rFonts w:ascii="Courier New" w:cs="Courier New" w:eastAsia="Courier New" w:hAnsi="Courier New"/>
          <w:sz w:val="18"/>
          <w:szCs w:val="18"/>
          <w:color w:val="auto"/>
        </w:rPr>
        <w:t>Key contributions to growth came from West Africa, the North Sea and Latin America. Rig count for the quarter rose 4%.</w:t>
      </w:r>
    </w:p>
    <w:p>
      <w:pPr>
        <w:spacing w:after="0" w:line="18" w:lineRule="exact"/>
        <w:rPr>
          <w:sz w:val="20"/>
          <w:szCs w:val="20"/>
          <w:color w:val="auto"/>
        </w:rPr>
      </w:pPr>
    </w:p>
    <w:p>
      <w:pPr>
        <w:ind w:left="220" w:right="1779"/>
        <w:spacing w:after="0" w:line="246" w:lineRule="auto"/>
        <w:rPr>
          <w:sz w:val="20"/>
          <w:szCs w:val="20"/>
          <w:color w:val="auto"/>
        </w:rPr>
      </w:pPr>
      <w:r>
        <w:rPr>
          <w:rFonts w:ascii="Courier New" w:cs="Courier New" w:eastAsia="Courier New" w:hAnsi="Courier New"/>
          <w:sz w:val="18"/>
          <w:szCs w:val="18"/>
          <w:color w:val="auto"/>
        </w:rPr>
        <w:t>The successful deployment of PLATFORM EXPRESS* technology continued. Also being aggressively introduced is the Modular Configuration MAXIS* surface acquisition system. By combining this surface system with downhole wireline logging suites, including PLATFORM EXPRESS technology, we offer a complete and customized wireline logging system, setting a new standard for wellsite efficiency, reliability and data quality. During the quarter, a significant contract was secured in Norway, which includes measurements while drilling (MWD), logging while drilling (LWD), directional drilling, cementing, drilling and completion fluids services, coiled tubing and wireline logging services. In our seismic activities, we launched the new Quantified Quality Assurance (QQA) system, the first system to provide seismic quality control based on geophysical criteria. Additionally, major Land seismic contracts were successfully completed in Kazakhstan, France and Kuwait, and backlog in crew months increased 40%.</w:t>
      </w:r>
    </w:p>
    <w:p>
      <w:pPr>
        <w:spacing w:after="0" w:line="113" w:lineRule="exact"/>
        <w:rPr>
          <w:sz w:val="20"/>
          <w:szCs w:val="20"/>
          <w:color w:val="auto"/>
        </w:rPr>
      </w:pPr>
    </w:p>
    <w:p>
      <w:pPr>
        <w:ind w:left="220" w:right="1779"/>
        <w:spacing w:after="0" w:line="298" w:lineRule="auto"/>
        <w:rPr>
          <w:sz w:val="20"/>
          <w:szCs w:val="20"/>
          <w:color w:val="auto"/>
        </w:rPr>
      </w:pPr>
      <w:r>
        <w:rPr>
          <w:rFonts w:ascii="Courier New" w:cs="Courier New" w:eastAsia="Courier New" w:hAnsi="Courier New"/>
          <w:sz w:val="16"/>
          <w:szCs w:val="16"/>
          <w:color w:val="auto"/>
        </w:rPr>
        <w:t>Compared to the second quarter of 1995, our average offshore rig utilization rate increased from 88% to 94%, driven by a 100% utilization of jack-up rigs. The improvement in results was due to the increase in rig utilization, continued strengthening of offshore dayrates and fleet expansion. At June 30, 1996, our fleet consisted of 79 rigs: 33 land and 46 offshore, including three chartered semisubmersibles and two lake barges under management contract.</w:t>
      </w:r>
    </w:p>
    <w:p>
      <w:pPr>
        <w:spacing w:after="0" w:line="68" w:lineRule="exact"/>
        <w:rPr>
          <w:sz w:val="20"/>
          <w:szCs w:val="20"/>
          <w:color w:val="auto"/>
        </w:rPr>
      </w:pPr>
    </w:p>
    <w:p>
      <w:pPr>
        <w:ind w:left="220" w:right="1779"/>
        <w:spacing w:after="0" w:line="287" w:lineRule="auto"/>
        <w:rPr>
          <w:sz w:val="20"/>
          <w:szCs w:val="20"/>
          <w:color w:val="auto"/>
        </w:rPr>
      </w:pPr>
      <w:r>
        <w:rPr>
          <w:rFonts w:ascii="Courier New" w:cs="Courier New" w:eastAsia="Courier New" w:hAnsi="Courier New"/>
          <w:sz w:val="16"/>
          <w:szCs w:val="16"/>
          <w:color w:val="auto"/>
        </w:rPr>
        <w:t>RAPID* Reentry and Production Improvement Drilling services were formally introduced during the quarter. These services range from economic analysis for identifying wells that are suitable candidates for production improvement to providing the people, technology, tools and systems needed for well preparation, sidetracking, short- and medium-radius drilling, coiled tubing drilling and completion. During the quarter, a significant five-year agreement was signed for a customer's operations in London, Aberdeen and Copenhagen, for software and services, including installation of the Finder* data management system and the GeoFrame* integrated reservoir characterization system.</w:t>
      </w:r>
    </w:p>
    <w:p>
      <w:pPr>
        <w:spacing w:after="0" w:line="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9" w:name="page10"/>
    <w:bookmarkEnd w:id="9"/>
    <w:p>
      <w:pPr>
        <w:jc w:val="center"/>
        <w:ind w:right="1879"/>
        <w:spacing w:after="0"/>
        <w:rPr>
          <w:sz w:val="20"/>
          <w:szCs w:val="20"/>
          <w:color w:val="auto"/>
        </w:rPr>
      </w:pPr>
      <w:r>
        <w:rPr>
          <w:rFonts w:ascii="Courier New" w:cs="Courier New" w:eastAsia="Courier New" w:hAnsi="Courier New"/>
          <w:sz w:val="18"/>
          <w:szCs w:val="18"/>
          <w:color w:val="auto"/>
        </w:rPr>
        <w:t>MEASUREMENT &amp; SYSTEMS</w:t>
      </w:r>
    </w:p>
    <w:p>
      <w:pPr>
        <w:spacing w:after="0" w:line="201" w:lineRule="exact"/>
        <w:rPr>
          <w:sz w:val="20"/>
          <w:szCs w:val="20"/>
          <w:color w:val="auto"/>
        </w:rPr>
      </w:pPr>
    </w:p>
    <w:p>
      <w:pPr>
        <w:ind w:left="220" w:right="1779"/>
        <w:spacing w:after="0" w:line="265" w:lineRule="auto"/>
        <w:rPr>
          <w:sz w:val="20"/>
          <w:szCs w:val="20"/>
          <w:color w:val="auto"/>
        </w:rPr>
      </w:pPr>
      <w:r>
        <w:rPr>
          <w:rFonts w:ascii="Courier New" w:cs="Courier New" w:eastAsia="Courier New" w:hAnsi="Courier New"/>
          <w:sz w:val="18"/>
          <w:szCs w:val="18"/>
          <w:color w:val="auto"/>
        </w:rPr>
        <w:t>Revenue increased 2% from last year as continued strong growth at Electronic Transactions, particularly reflecting high demand for smart cards, was largely offset by a decline in the metering business. Orders were down 1% due to lower orders at Automatic Test Equipment and the weakening of most European currencies against the US dollar.</w:t>
      </w:r>
    </w:p>
    <w:p>
      <w:pPr>
        <w:spacing w:after="0" w:line="90" w:lineRule="exact"/>
        <w:rPr>
          <w:sz w:val="20"/>
          <w:szCs w:val="20"/>
          <w:color w:val="auto"/>
        </w:rPr>
      </w:pPr>
    </w:p>
    <w:p>
      <w:pPr>
        <w:ind w:left="220" w:right="1779"/>
        <w:spacing w:after="0" w:line="274" w:lineRule="auto"/>
        <w:rPr>
          <w:sz w:val="20"/>
          <w:szCs w:val="20"/>
          <w:color w:val="auto"/>
        </w:rPr>
      </w:pPr>
      <w:r>
        <w:rPr>
          <w:rFonts w:ascii="Courier New" w:cs="Courier New" w:eastAsia="Courier New" w:hAnsi="Courier New"/>
          <w:sz w:val="18"/>
          <w:szCs w:val="18"/>
          <w:color w:val="auto"/>
        </w:rPr>
        <w:t>Measurement &amp; Systems operating income declined from last year principally due to changing market conditions which have severely impacted margins in the metering business, higher research and engineering expenses at ATE and costs associated with expansion into new areas.</w:t>
      </w:r>
    </w:p>
    <w:p>
      <w:pPr>
        <w:spacing w:after="0" w:line="82" w:lineRule="exact"/>
        <w:rPr>
          <w:sz w:val="20"/>
          <w:szCs w:val="20"/>
          <w:color w:val="auto"/>
        </w:rPr>
      </w:pPr>
    </w:p>
    <w:p>
      <w:pPr>
        <w:ind w:left="220" w:right="1779"/>
        <w:spacing w:after="0" w:line="245" w:lineRule="auto"/>
        <w:rPr>
          <w:sz w:val="20"/>
          <w:szCs w:val="20"/>
          <w:color w:val="auto"/>
        </w:rPr>
      </w:pPr>
      <w:r>
        <w:rPr>
          <w:rFonts w:ascii="Courier New" w:cs="Courier New" w:eastAsia="Courier New" w:hAnsi="Courier New"/>
          <w:sz w:val="18"/>
          <w:szCs w:val="18"/>
          <w:color w:val="auto"/>
        </w:rPr>
        <w:t>Electronic Transactions revenue was up 18% from the same period last year, reflecting 54% growth in smart cards, including shipments of electronic payment systems to the Atlanta Olympics. In addition, strong demand for subscriber identity module (SIM) cards in China continued. Orders increased 19%, reflecting large requests for payphone equipment in Europe and South America along with expanded card demand. ATE revenue increased 4%, driven by stronger sales at Diagnostic Systems, particularly of the IDS 5000HX*, and at Automated Systems. Orders deteriorated 35% from the same period last year on a slowdown in semiconductor capital equipment spending. Revenue in the Electricity Management, Water Management and Gas Management business decreased 2%. The decline was due to softening of market conditions in Germany, lower demand in the UK for prepayment meters and strong pricing pressures. Orders were flat. The deregulation of electricity and gas utilities in Europe has greatly affected the metering business. Changes in metering technology, uncertainty in the market place and pricing pressures have significantly offset the growth experienced by Electronic Transactions.</w:t>
      </w:r>
    </w:p>
    <w:p>
      <w:pPr>
        <w:spacing w:after="0" w:line="316"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Interest and other income decreased $6 million from the second quarter of 1995 primarily due to lower investment balances as well as lower investment returns. Gross margin of 24% remained flat compared with the same quarter last year. Research and engineering expense increased 9% from last year but decreased to 5.3% of operating revenue from 5.6% in 1995. Marketing expense was up 9% but decreased to 3.5% of operating revenue from 3.7% in 1995. General expense, expressed as a percentage of operating revenue, decreased from 4.7% to 4.1%. Interest expense decreased $3 million from the second quarter last year due to sharply lower average borrowing rates.</w:t>
      </w:r>
    </w:p>
    <w:p>
      <w:pPr>
        <w:spacing w:after="0" w:line="9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10" w:name="page11"/>
    <w:bookmarkEnd w:id="10"/>
    <w:p>
      <w:pPr>
        <w:ind w:left="1900"/>
        <w:spacing w:after="0"/>
        <w:rPr>
          <w:sz w:val="20"/>
          <w:szCs w:val="20"/>
          <w:color w:val="auto"/>
        </w:rPr>
      </w:pPr>
      <w:r>
        <w:rPr>
          <w:rFonts w:ascii="Courier New" w:cs="Courier New" w:eastAsia="Courier New" w:hAnsi="Courier New"/>
          <w:sz w:val="18"/>
          <w:szCs w:val="18"/>
          <w:color w:val="auto"/>
        </w:rPr>
        <w:t>First Half 1996 Compared to First Half 1995</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Income for the first six months of $368 million and earnings per share of $1.50 were 17% and 15% higher, respectively, than the same period last year.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revenue for the first six months was $4.18 billion, up 15% from 1995.</w:t>
      </w:r>
    </w:p>
    <w:p>
      <w:pPr>
        <w:spacing w:after="0" w:line="224"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Oilfield Services posted a 22% increase in revenue as rig count worldwide rose 5%.</w:t>
      </w:r>
    </w:p>
    <w:p>
      <w:pPr>
        <w:spacing w:after="0" w:line="18"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Measurement &amp; Systems revenue increased 3% compared to the same period last year mainly due to strong growth from Electronic Transactions.</w:t>
      </w: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BUSINESS REVIEW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rPr>
              <w:t>(Stated in millions)</w:t>
            </w:r>
          </w:p>
        </w:tc>
        <w:tc>
          <w:tcPr>
            <w:tcW w:w="0" w:type="dxa"/>
            <w:vAlign w:val="bottom"/>
          </w:tcPr>
          <w:p>
            <w:pPr>
              <w:spacing w:after="0"/>
              <w:rPr>
                <w:sz w:val="1"/>
                <w:szCs w:val="1"/>
                <w:color w:val="auto"/>
              </w:rPr>
            </w:pPr>
          </w:p>
        </w:tc>
      </w:tr>
      <w:tr>
        <w:trPr>
          <w:trHeight w:val="279"/>
        </w:trPr>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4"/>
          </w:tcPr>
          <w:p>
            <w:pPr>
              <w:jc w:val="right"/>
              <w:ind w:right="272"/>
              <w:spacing w:after="0"/>
              <w:rPr>
                <w:sz w:val="20"/>
                <w:szCs w:val="20"/>
                <w:color w:val="auto"/>
              </w:rPr>
            </w:pPr>
            <w:r>
              <w:rPr>
                <w:rFonts w:ascii="Courier New" w:cs="Courier New" w:eastAsia="Courier New" w:hAnsi="Courier New"/>
                <w:sz w:val="18"/>
                <w:szCs w:val="18"/>
                <w:color w:val="auto"/>
              </w:rPr>
              <w:t>Oilfield Services</w:t>
            </w:r>
          </w:p>
        </w:tc>
        <w:tc>
          <w:tcPr>
            <w:tcW w:w="220" w:type="dxa"/>
            <w:vAlign w:val="bottom"/>
          </w:tcPr>
          <w:p>
            <w:pPr>
              <w:spacing w:after="0"/>
              <w:rPr>
                <w:sz w:val="24"/>
                <w:szCs w:val="24"/>
                <w:color w:val="auto"/>
              </w:rPr>
            </w:pPr>
          </w:p>
        </w:tc>
        <w:tc>
          <w:tcPr>
            <w:tcW w:w="258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rPr>
              <w:t>Measurement &amp; Systems</w:t>
            </w: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Six Months</w:t>
            </w:r>
          </w:p>
        </w:tc>
        <w:tc>
          <w:tcPr>
            <w:tcW w:w="260" w:type="dxa"/>
            <w:vAlign w:val="bottom"/>
          </w:tcPr>
          <w:p>
            <w:pPr>
              <w:spacing w:after="0"/>
              <w:rPr>
                <w:sz w:val="17"/>
                <w:szCs w:val="17"/>
                <w:color w:val="auto"/>
              </w:rPr>
            </w:pPr>
          </w:p>
        </w:tc>
        <w:tc>
          <w:tcPr>
            <w:tcW w:w="5320" w:type="dxa"/>
            <w:vAlign w:val="bottom"/>
            <w:gridSpan w:val="9"/>
          </w:tcPr>
          <w:p>
            <w:pPr>
              <w:jc w:val="right"/>
              <w:ind w:right="13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change</w:t>
            </w:r>
          </w:p>
        </w:tc>
        <w:tc>
          <w:tcPr>
            <w:tcW w:w="2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2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change</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w:t>
            </w:r>
          </w:p>
        </w:tc>
        <w:tc>
          <w:tcPr>
            <w:tcW w:w="260" w:type="dxa"/>
            <w:vAlign w:val="bottom"/>
            <w:vMerge w:val="continue"/>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2,797</w:t>
            </w:r>
          </w:p>
        </w:tc>
        <w:tc>
          <w:tcPr>
            <w:tcW w:w="160" w:type="dxa"/>
            <w:vAlign w:val="bottom"/>
            <w:vMerge w:val="continue"/>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2,301</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1,343</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3 %</w:t>
            </w:r>
          </w:p>
        </w:tc>
        <w:tc>
          <w:tcPr>
            <w:tcW w:w="0" w:type="dxa"/>
            <w:vAlign w:val="bottom"/>
          </w:tcPr>
          <w:p>
            <w:pPr>
              <w:spacing w:after="0"/>
              <w:rPr>
                <w:sz w:val="1"/>
                <w:szCs w:val="1"/>
                <w:color w:val="auto"/>
              </w:rPr>
            </w:pPr>
          </w:p>
        </w:tc>
      </w:t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Operating Income(1)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392</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301</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64</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72</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right="2839" w:hanging="427"/>
        <w:spacing w:after="0" w:line="34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 represents income before income taxes, excluding interest expense and interest and other income.</w:t>
      </w:r>
    </w:p>
    <w:p>
      <w:pPr>
        <w:spacing w:after="0" w:line="22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OILFIELD SERVICES</w:t>
      </w:r>
    </w:p>
    <w:p>
      <w:pPr>
        <w:spacing w:after="0" w:line="201" w:lineRule="exact"/>
        <w:rPr>
          <w:sz w:val="20"/>
          <w:szCs w:val="20"/>
          <w:color w:val="auto"/>
        </w:rPr>
      </w:pPr>
    </w:p>
    <w:p>
      <w:pPr>
        <w:ind w:left="220" w:right="1779"/>
        <w:spacing w:after="0" w:line="344" w:lineRule="auto"/>
        <w:rPr>
          <w:sz w:val="20"/>
          <w:szCs w:val="20"/>
          <w:color w:val="auto"/>
        </w:rPr>
      </w:pPr>
      <w:r>
        <w:rPr>
          <w:rFonts w:ascii="Courier New" w:cs="Courier New" w:eastAsia="Courier New" w:hAnsi="Courier New"/>
          <w:sz w:val="16"/>
          <w:szCs w:val="16"/>
          <w:color w:val="auto"/>
        </w:rPr>
        <w:t>Operating revenue for Oilfield Services was 22% above last year. North America and outside North America revenues were up 13% and 25%, respectively, and represented 18% and 50% of consolidated revenue, respectively.</w:t>
      </w:r>
    </w:p>
    <w:p>
      <w:pPr>
        <w:spacing w:after="0" w:line="31" w:lineRule="exact"/>
        <w:rPr>
          <w:sz w:val="20"/>
          <w:szCs w:val="20"/>
          <w:color w:val="auto"/>
        </w:rPr>
      </w:pPr>
    </w:p>
    <w:p>
      <w:pPr>
        <w:ind w:left="220" w:right="1879"/>
        <w:spacing w:after="0" w:line="402" w:lineRule="auto"/>
        <w:rPr>
          <w:sz w:val="20"/>
          <w:szCs w:val="20"/>
          <w:color w:val="auto"/>
        </w:rPr>
      </w:pPr>
      <w:r>
        <w:rPr>
          <w:rFonts w:ascii="Courier New" w:cs="Courier New" w:eastAsia="Courier New" w:hAnsi="Courier New"/>
          <w:sz w:val="16"/>
          <w:szCs w:val="16"/>
          <w:color w:val="auto"/>
        </w:rPr>
        <w:t>In North America, the most notable revenue increases were from Dowell, Wireline &amp; Testing and Geco-Prakla, which were 9%, 11% and 16%, respectively.</w:t>
      </w:r>
    </w:p>
    <w:p>
      <w:pPr>
        <w:spacing w:after="0" w:line="1" w:lineRule="exact"/>
        <w:rPr>
          <w:sz w:val="20"/>
          <w:szCs w:val="20"/>
          <w:color w:val="auto"/>
        </w:rPr>
      </w:pPr>
    </w:p>
    <w:p>
      <w:pPr>
        <w:ind w:left="220" w:right="1879"/>
        <w:spacing w:after="0" w:line="292" w:lineRule="auto"/>
        <w:rPr>
          <w:sz w:val="20"/>
          <w:szCs w:val="20"/>
          <w:color w:val="auto"/>
        </w:rPr>
      </w:pPr>
      <w:r>
        <w:rPr>
          <w:rFonts w:ascii="Courier New" w:cs="Courier New" w:eastAsia="Courier New" w:hAnsi="Courier New"/>
          <w:sz w:val="18"/>
          <w:szCs w:val="18"/>
          <w:color w:val="auto"/>
        </w:rPr>
        <w:t>Outside North America, revenue grew 15% at Wireline &amp; Testing and 24% at Dowell. Also significant, revenue at Geco-Prakla and Sedco Forex rose 29% and 34%, respectively.</w:t>
      </w:r>
    </w:p>
    <w:p>
      <w:pPr>
        <w:spacing w:after="0" w:line="66" w:lineRule="exact"/>
        <w:rPr>
          <w:sz w:val="20"/>
          <w:szCs w:val="20"/>
          <w:color w:val="auto"/>
        </w:rPr>
      </w:pPr>
    </w:p>
    <w:p>
      <w:pPr>
        <w:ind w:left="220" w:right="1779"/>
        <w:spacing w:after="0" w:line="347" w:lineRule="auto"/>
        <w:rPr>
          <w:sz w:val="20"/>
          <w:szCs w:val="20"/>
          <w:color w:val="auto"/>
        </w:rPr>
      </w:pPr>
      <w:r>
        <w:rPr>
          <w:rFonts w:ascii="Courier New" w:cs="Courier New" w:eastAsia="Courier New" w:hAnsi="Courier New"/>
          <w:sz w:val="18"/>
          <w:szCs w:val="18"/>
          <w:color w:val="auto"/>
        </w:rPr>
        <w:t>Operating income increased $8 million in North America and $91 million outside North America.</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America</w:t>
      </w:r>
    </w:p>
    <w:p>
      <w:pPr>
        <w:spacing w:after="0" w:line="201" w:lineRule="exact"/>
        <w:rPr>
          <w:sz w:val="20"/>
          <w:szCs w:val="20"/>
          <w:color w:val="auto"/>
        </w:rPr>
      </w:pPr>
    </w:p>
    <w:p>
      <w:pPr>
        <w:ind w:left="220" w:right="2099"/>
        <w:spacing w:after="0" w:line="347" w:lineRule="auto"/>
        <w:rPr>
          <w:sz w:val="20"/>
          <w:szCs w:val="20"/>
          <w:color w:val="auto"/>
        </w:rPr>
      </w:pPr>
      <w:r>
        <w:rPr>
          <w:rFonts w:ascii="Courier New" w:cs="Courier New" w:eastAsia="Courier New" w:hAnsi="Courier New"/>
          <w:sz w:val="18"/>
          <w:szCs w:val="18"/>
          <w:color w:val="auto"/>
        </w:rPr>
        <w:t>Rig count increased 5% over 1995. Activity increased in the Gulf of Mexico, positively impacting all product lines.</w:t>
      </w:r>
    </w:p>
    <w:p>
      <w:pPr>
        <w:spacing w:after="0" w:line="18" w:lineRule="exact"/>
        <w:rPr>
          <w:sz w:val="20"/>
          <w:szCs w:val="20"/>
          <w:color w:val="auto"/>
        </w:rPr>
      </w:pPr>
    </w:p>
    <w:p>
      <w:pPr>
        <w:ind w:left="220" w:right="1779"/>
        <w:spacing w:after="0" w:line="260" w:lineRule="auto"/>
        <w:rPr>
          <w:sz w:val="20"/>
          <w:szCs w:val="20"/>
          <w:color w:val="auto"/>
        </w:rPr>
      </w:pPr>
      <w:r>
        <w:rPr>
          <w:rFonts w:ascii="Courier New" w:cs="Courier New" w:eastAsia="Courier New" w:hAnsi="Courier New"/>
          <w:sz w:val="18"/>
          <w:szCs w:val="18"/>
          <w:color w:val="auto"/>
        </w:rPr>
        <w:t>Rapid deployment of PLATFORM EXPRESS* wireline logging technology continued, and the GeoSteering* tool was introduced in Canada with great success. The new DeepSEA EXPRES* cementing technology, a unique system improving the cementing of casing strings for subsea completions, was successfully introduced. The resulting reduction of downtime on floating drilling structures yields substantial savings</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11" w:name="page12"/>
    <w:bookmarkEnd w:id="11"/>
    <w:p>
      <w:pPr>
        <w:ind w:left="220" w:right="1779"/>
        <w:spacing w:after="0" w:line="274" w:lineRule="auto"/>
        <w:rPr>
          <w:sz w:val="20"/>
          <w:szCs w:val="20"/>
          <w:color w:val="auto"/>
        </w:rPr>
      </w:pPr>
      <w:r>
        <w:rPr>
          <w:rFonts w:ascii="Courier New" w:cs="Courier New" w:eastAsia="Courier New" w:hAnsi="Courier New"/>
          <w:sz w:val="18"/>
          <w:szCs w:val="18"/>
          <w:color w:val="auto"/>
        </w:rPr>
        <w:t>for the client. Data Management Services secured a significant three-year service contract with a major US oil company to provide integrated information technology and data management for their exploration and production activities.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Outside North America</w:t>
      </w:r>
    </w:p>
    <w:p>
      <w:pPr>
        <w:spacing w:after="0" w:line="201" w:lineRule="exact"/>
        <w:rPr>
          <w:sz w:val="20"/>
          <w:szCs w:val="20"/>
          <w:color w:val="auto"/>
        </w:rPr>
      </w:pPr>
    </w:p>
    <w:p>
      <w:pPr>
        <w:ind w:left="220" w:right="1999"/>
        <w:spacing w:after="0" w:line="292" w:lineRule="auto"/>
        <w:rPr>
          <w:sz w:val="20"/>
          <w:szCs w:val="20"/>
          <w:color w:val="auto"/>
        </w:rPr>
      </w:pPr>
      <w:r>
        <w:rPr>
          <w:rFonts w:ascii="Courier New" w:cs="Courier New" w:eastAsia="Courier New" w:hAnsi="Courier New"/>
          <w:sz w:val="18"/>
          <w:szCs w:val="18"/>
          <w:color w:val="auto"/>
        </w:rPr>
        <w:t>Key contributions to growth came from Africa, particularly West Africa, the North Sea, Europe and Latin America. Rig count for the first six months rose 4%.</w:t>
      </w:r>
    </w:p>
    <w:p>
      <w:pPr>
        <w:spacing w:after="0" w:line="66" w:lineRule="exact"/>
        <w:rPr>
          <w:sz w:val="20"/>
          <w:szCs w:val="20"/>
          <w:color w:val="auto"/>
        </w:rPr>
      </w:pPr>
    </w:p>
    <w:p>
      <w:pPr>
        <w:ind w:left="220" w:right="2099"/>
        <w:spacing w:after="0" w:line="260" w:lineRule="auto"/>
        <w:rPr>
          <w:sz w:val="20"/>
          <w:szCs w:val="20"/>
          <w:color w:val="auto"/>
        </w:rPr>
      </w:pPr>
      <w:r>
        <w:rPr>
          <w:rFonts w:ascii="Courier New" w:cs="Courier New" w:eastAsia="Courier New" w:hAnsi="Courier New"/>
          <w:sz w:val="18"/>
          <w:szCs w:val="18"/>
          <w:color w:val="auto"/>
        </w:rPr>
        <w:t>The successful deployment of PLATFORM EXPRESS* technology continued. The Modular Configuration MAXIS* surface acquisition system was aggressively introduced. By combining this surface system with downhole wireline logging suites, including PLATFORM EXPRESS technology, we offer a complete and customized wireline logging system, setting a new standard for wellsite efficiency, reliability and data quality.</w:t>
      </w:r>
    </w:p>
    <w:p>
      <w:pPr>
        <w:spacing w:after="0" w:line="93" w:lineRule="exact"/>
        <w:rPr>
          <w:sz w:val="20"/>
          <w:szCs w:val="20"/>
          <w:color w:val="auto"/>
        </w:rPr>
      </w:pPr>
    </w:p>
    <w:p>
      <w:pPr>
        <w:ind w:left="220" w:right="1779"/>
        <w:spacing w:after="0" w:line="289" w:lineRule="auto"/>
        <w:rPr>
          <w:sz w:val="20"/>
          <w:szCs w:val="20"/>
          <w:color w:val="auto"/>
        </w:rPr>
      </w:pPr>
      <w:r>
        <w:rPr>
          <w:rFonts w:ascii="Courier New" w:cs="Courier New" w:eastAsia="Courier New" w:hAnsi="Courier New"/>
          <w:sz w:val="16"/>
          <w:szCs w:val="16"/>
          <w:color w:val="auto"/>
        </w:rPr>
        <w:t>Logging while drilling (LWD) and Measurements-while-drilling (MWD) technologies continued their strong growth. Drilling fluids continued to generate superior results while gaining wide client acceptance with VISPLEX* and ULTIDRILL* fluids. A significant contract was secured in Norway, which includes MWD, LWD, directional drilling, cementing, drilling and completion fluids services, coiled tubing and wireline logging services. In our seismic activities, we launched the new Quantified Quality Assurance (QQA) system, the first system to provide seismic quality control based on geophysical criteria.</w:t>
      </w:r>
    </w:p>
    <w:p>
      <w:pPr>
        <w:spacing w:after="0" w:line="77" w:lineRule="exact"/>
        <w:rPr>
          <w:sz w:val="20"/>
          <w:szCs w:val="20"/>
          <w:color w:val="auto"/>
        </w:rPr>
      </w:pPr>
    </w:p>
    <w:p>
      <w:pPr>
        <w:ind w:left="220" w:right="1879"/>
        <w:spacing w:after="0" w:line="260" w:lineRule="auto"/>
        <w:rPr>
          <w:sz w:val="20"/>
          <w:szCs w:val="20"/>
          <w:color w:val="auto"/>
        </w:rPr>
      </w:pPr>
      <w:r>
        <w:rPr>
          <w:rFonts w:ascii="Courier New" w:cs="Courier New" w:eastAsia="Courier New" w:hAnsi="Courier New"/>
          <w:sz w:val="18"/>
          <w:szCs w:val="18"/>
          <w:color w:val="auto"/>
        </w:rPr>
        <w:t>RAPID* Reentry and Production Improvement Drilling services were formally introduced. These services range from economic analysis for identifying wells that are suitable candidates for production improvement to providing the people, technology, tools and systems needed for well preparation, sidetracking, short- and medium-radius drilling, coiled tubing drilling and completion.</w:t>
      </w: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MEASUREMENT &amp; SYSTEMS</w:t>
      </w:r>
    </w:p>
    <w:p>
      <w:pPr>
        <w:spacing w:after="0" w:line="201" w:lineRule="exact"/>
        <w:rPr>
          <w:sz w:val="20"/>
          <w:szCs w:val="20"/>
          <w:color w:val="auto"/>
        </w:rPr>
      </w:pPr>
    </w:p>
    <w:p>
      <w:pPr>
        <w:ind w:left="220" w:right="1779"/>
        <w:spacing w:after="0" w:line="265" w:lineRule="auto"/>
        <w:rPr>
          <w:sz w:val="20"/>
          <w:szCs w:val="20"/>
          <w:color w:val="auto"/>
        </w:rPr>
      </w:pPr>
      <w:r>
        <w:rPr>
          <w:rFonts w:ascii="Courier New" w:cs="Courier New" w:eastAsia="Courier New" w:hAnsi="Courier New"/>
          <w:sz w:val="18"/>
          <w:szCs w:val="18"/>
          <w:color w:val="auto"/>
        </w:rPr>
        <w:t>Revenue increased 3% from last year due to continued strong growth at Electronic Transactions, particularly reflecting high demand for smart cards. Orders were down 1% due to lower orders at Automatic Test Equipment and the metering business and the weakening of most European currencies against the US dollar.</w:t>
      </w:r>
    </w:p>
    <w:p>
      <w:pPr>
        <w:spacing w:after="0" w:line="90" w:lineRule="exact"/>
        <w:rPr>
          <w:sz w:val="20"/>
          <w:szCs w:val="20"/>
          <w:color w:val="auto"/>
        </w:rPr>
      </w:pPr>
    </w:p>
    <w:p>
      <w:pPr>
        <w:ind w:left="220" w:right="1779"/>
        <w:spacing w:after="0" w:line="274" w:lineRule="auto"/>
        <w:rPr>
          <w:sz w:val="20"/>
          <w:szCs w:val="20"/>
          <w:color w:val="auto"/>
        </w:rPr>
      </w:pPr>
      <w:r>
        <w:rPr>
          <w:rFonts w:ascii="Courier New" w:cs="Courier New" w:eastAsia="Courier New" w:hAnsi="Courier New"/>
          <w:sz w:val="18"/>
          <w:szCs w:val="18"/>
          <w:color w:val="auto"/>
        </w:rPr>
        <w:t>Measurement &amp; Systems operating income declined from last year principally due to changing market conditions which have severely impacted margins in the metering business, higher research and engineering expenses especially at ATE, and costs associated with the expansion into new markets.</w:t>
      </w:r>
    </w:p>
    <w:p>
      <w:pPr>
        <w:spacing w:after="0" w:line="82" w:lineRule="exact"/>
        <w:rPr>
          <w:sz w:val="20"/>
          <w:szCs w:val="20"/>
          <w:color w:val="auto"/>
        </w:rPr>
      </w:pPr>
    </w:p>
    <w:p>
      <w:pPr>
        <w:ind w:left="220" w:right="1779"/>
        <w:spacing w:after="0" w:line="265" w:lineRule="auto"/>
        <w:rPr>
          <w:sz w:val="20"/>
          <w:szCs w:val="20"/>
          <w:color w:val="auto"/>
        </w:rPr>
      </w:pPr>
      <w:r>
        <w:rPr>
          <w:rFonts w:ascii="Courier New" w:cs="Courier New" w:eastAsia="Courier New" w:hAnsi="Courier New"/>
          <w:sz w:val="18"/>
          <w:szCs w:val="18"/>
          <w:color w:val="auto"/>
        </w:rPr>
        <w:t>Electronic Transactions revenue was up 17% from the same period last year reflecting strong growth in smart cards. Strong demand for subscriber identity module (SIM) cards in China continued. Orders increased 16%, reflecting expanded card demand and large requests for payphone equipment in Europe and South America.</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12" w:name="page13"/>
    <w:bookmarkEnd w:id="12"/>
    <w:p>
      <w:pPr>
        <w:ind w:left="220" w:right="1999"/>
        <w:spacing w:after="0" w:line="248" w:lineRule="auto"/>
        <w:rPr>
          <w:sz w:val="20"/>
          <w:szCs w:val="20"/>
          <w:color w:val="auto"/>
        </w:rPr>
      </w:pPr>
      <w:r>
        <w:rPr>
          <w:rFonts w:ascii="Courier New" w:cs="Courier New" w:eastAsia="Courier New" w:hAnsi="Courier New"/>
          <w:sz w:val="18"/>
          <w:szCs w:val="18"/>
          <w:color w:val="auto"/>
        </w:rPr>
        <w:t>Ate revenue increased 4%, driven by stronger sales at Diagnostic Systems, particularly of the IDS 5000HX* and IDS 10000*, and at Automated Systems. Orders deteriorated 12% from the same period last year on a slowdown in semiconductor capital equipment spending. Revenue in the Electricity Management, Water Management and Gas Management business was flat, due to softening of market conditions in Germany, lower demand in the UK for prepayment meters and strong pricing pressures. Orders decreased 2% from the same period last year. The deregulation of electricity and gas utilities in Europe has greatly affected the metering business. Changes in metering technology, uncertainty in the market place and pricing pressures have significantly offset the growth experienced by Electronic Transactions and ATE.</w:t>
      </w:r>
    </w:p>
    <w:p>
      <w:pPr>
        <w:spacing w:after="0" w:line="308"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Interest and other income decreased $13 million from the same period last year primarily due to lower investment balances as well as lower investment returns. Gross margin of 24% remained flat compared with last year. Research and engineering expense increased 8% from last year but decreased to 5.4% of operating revenue from 5.7% in 1995. Marketing expense was up 10% but decreased to 3.6% of operating revenue from 3.7% last year. General expense, expressed as a percentage of operating revenue, decreased from 4.8% to 4.2%. Interest expense decreased $7 million from the same period last year due to sharply lower average borrowing rates.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of Schlumberger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13" w:name="page14"/>
    <w:bookmarkEnd w:id="13"/>
    <w:p>
      <w:pPr>
        <w:ind w:left="2740"/>
        <w:spacing w:after="0"/>
        <w:tabs>
          <w:tab w:leader="none" w:pos="37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Item 6 : Exhibits and Reports on Form 8-K</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1280"/>
        <w:spacing w:after="0"/>
        <w:tabs>
          <w:tab w:leader="none" w:pos="2940" w:val="left"/>
        </w:tabs>
        <w:rPr>
          <w:sz w:val="20"/>
          <w:szCs w:val="20"/>
          <w:color w:val="auto"/>
        </w:rPr>
      </w:pPr>
      <w:r>
        <w:rPr>
          <w:rFonts w:ascii="Courier New" w:cs="Courier New" w:eastAsia="Courier New" w:hAnsi="Courier New"/>
          <w:sz w:val="18"/>
          <w:szCs w:val="18"/>
          <w:color w:val="auto"/>
        </w:rPr>
        <w:t>(a) Exhibits :</w:t>
      </w:r>
      <w:r>
        <w:rPr>
          <w:sz w:val="20"/>
          <w:szCs w:val="20"/>
          <w:color w:val="auto"/>
        </w:rPr>
        <w:tab/>
      </w: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4" w:lineRule="exact"/>
        <w:rPr>
          <w:sz w:val="20"/>
          <w:szCs w:val="20"/>
          <w:color w:val="auto"/>
        </w:rPr>
      </w:pPr>
    </w:p>
    <w:p>
      <w:pPr>
        <w:ind w:left="1280"/>
        <w:spacing w:after="0"/>
        <w:tabs>
          <w:tab w:leader="none" w:pos="4100" w:val="left"/>
        </w:tabs>
        <w:rPr>
          <w:sz w:val="20"/>
          <w:szCs w:val="20"/>
          <w:color w:val="auto"/>
        </w:rPr>
      </w:pPr>
      <w:r>
        <w:rPr>
          <w:rFonts w:ascii="Courier New" w:cs="Courier New" w:eastAsia="Courier New" w:hAnsi="Courier New"/>
          <w:sz w:val="18"/>
          <w:szCs w:val="18"/>
          <w:color w:val="auto"/>
        </w:rPr>
        <w:t>(b) Reports on Form 8-K :</w:t>
      </w:r>
      <w:r>
        <w:rPr>
          <w:sz w:val="20"/>
          <w:szCs w:val="20"/>
          <w:color w:val="auto"/>
        </w:rPr>
        <w:tab/>
      </w: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tbl>
      <w:tblPr>
        <w:tblLayout w:type="fixed"/>
        <w:tblInd w:w="0" w:type="dxa"/>
        <w:tblCellMar>
          <w:top w:w="0" w:type="dxa"/>
          <w:left w:w="0" w:type="dxa"/>
          <w:bottom w:w="0" w:type="dxa"/>
          <w:right w:w="0" w:type="dxa"/>
        </w:tblCellMar>
      </w:tblPr>
      <w:tr>
        <w:trPr>
          <w:trHeight w:val="201"/>
        </w:trPr>
        <w:tc>
          <w:tcPr>
            <w:tcW w:w="7700" w:type="dxa"/>
            <w:vAlign w:val="bottom"/>
            <w:gridSpan w:val="2"/>
          </w:tcPr>
          <w:p>
            <w:pPr>
              <w:jc w:val="right"/>
              <w:ind w:right="12"/>
              <w:spacing w:after="0" w:line="201" w:lineRule="exact"/>
              <w:rPr>
                <w:sz w:val="20"/>
                <w:szCs w:val="20"/>
                <w:color w:val="auto"/>
              </w:rPr>
            </w:pPr>
            <w:r>
              <w:rPr>
                <w:rFonts w:ascii="Courier New" w:cs="Courier New" w:eastAsia="Courier New" w:hAnsi="Courier New"/>
                <w:sz w:val="18"/>
                <w:szCs w:val="18"/>
                <w:color w:val="auto"/>
              </w:rPr>
              <w:t>the Registrant has duly caused this report to be signed on its behalf</w:t>
            </w:r>
          </w:p>
        </w:tc>
        <w:tc>
          <w:tcPr>
            <w:tcW w:w="740" w:type="dxa"/>
            <w:vAlign w:val="bottom"/>
          </w:tcPr>
          <w:p>
            <w:pPr>
              <w:spacing w:after="0" w:line="201" w:lineRule="exact"/>
              <w:rPr>
                <w:sz w:val="20"/>
                <w:szCs w:val="20"/>
                <w:color w:val="auto"/>
              </w:rPr>
            </w:pPr>
            <w:r>
              <w:rPr>
                <w:rFonts w:ascii="Courier New" w:cs="Courier New" w:eastAsia="Courier New" w:hAnsi="Courier New"/>
                <w:sz w:val="18"/>
                <w:szCs w:val="18"/>
                <w:color w:val="auto"/>
              </w:rPr>
              <w:t>by the</w:t>
            </w:r>
          </w:p>
        </w:tc>
        <w:tc>
          <w:tcPr>
            <w:tcW w:w="0" w:type="dxa"/>
            <w:vAlign w:val="bottom"/>
          </w:tcPr>
          <w:p>
            <w:pPr>
              <w:spacing w:after="0"/>
              <w:rPr>
                <w:sz w:val="1"/>
                <w:szCs w:val="1"/>
                <w:color w:val="auto"/>
              </w:rPr>
            </w:pPr>
          </w:p>
        </w:tc>
      </w:tr>
      <w:tr>
        <w:trPr>
          <w:trHeight w:val="203"/>
        </w:trPr>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undersigned thereunto duly authorized and in his capacity as principal</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financial officer.</w:t>
            </w:r>
          </w:p>
        </w:tc>
        <w:tc>
          <w:tcPr>
            <w:tcW w:w="4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3120" w:type="dxa"/>
            <w:vAlign w:val="bottom"/>
          </w:tcPr>
          <w:p>
            <w:pPr>
              <w:spacing w:after="0"/>
              <w:rPr>
                <w:sz w:val="24"/>
                <w:szCs w:val="24"/>
                <w:color w:val="auto"/>
              </w:rPr>
            </w:pPr>
          </w:p>
        </w:tc>
        <w:tc>
          <w:tcPr>
            <w:tcW w:w="4580" w:type="dxa"/>
            <w:vAlign w:val="bottom"/>
          </w:tcPr>
          <w:p>
            <w:pPr>
              <w:ind w:left="2260"/>
              <w:spacing w:after="0"/>
              <w:rPr>
                <w:sz w:val="20"/>
                <w:szCs w:val="20"/>
                <w:color w:val="auto"/>
              </w:rPr>
            </w:pPr>
            <w:r>
              <w:rPr>
                <w:rFonts w:ascii="Courier New" w:cs="Courier New" w:eastAsia="Courier New" w:hAnsi="Courier New"/>
                <w:sz w:val="18"/>
                <w:szCs w:val="18"/>
                <w:color w:val="auto"/>
              </w:rPr>
              <w:t>Schlumberger Limited</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4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(Registrant)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312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6"/>
              </w:rPr>
              <w:t>Date: August 14, 1996</w:t>
            </w:r>
          </w:p>
        </w:tc>
        <w:tc>
          <w:tcPr>
            <w:tcW w:w="4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 Arthur Lindenauer</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4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4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Arthur Lindenauer</w:t>
            </w:r>
          </w:p>
        </w:tc>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Finance</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4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Executive Vice President -</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5320" w:type="dxa"/>
            <w:vAlign w:val="bottom"/>
            <w:gridSpan w:val="2"/>
          </w:tcPr>
          <w:p>
            <w:pPr>
              <w:ind w:left="2260"/>
              <w:spacing w:after="0"/>
              <w:rPr>
                <w:sz w:val="20"/>
                <w:szCs w:val="20"/>
                <w:color w:val="auto"/>
              </w:rPr>
            </w:pPr>
            <w:r>
              <w:rPr>
                <w:rFonts w:ascii="Courier New" w:cs="Courier New" w:eastAsia="Courier New" w:hAnsi="Courier New"/>
                <w:sz w:val="18"/>
                <w:szCs w:val="18"/>
                <w:color w:val="auto"/>
              </w:rPr>
              <w:t>and Chief Financial Officer</w:t>
            </w:r>
          </w:p>
        </w:tc>
        <w:tc>
          <w:tcPr>
            <w:tcW w:w="0" w:type="dxa"/>
            <w:vAlign w:val="bottom"/>
          </w:tcPr>
          <w:p>
            <w:pPr>
              <w:spacing w:after="0"/>
              <w:rPr>
                <w:sz w:val="1"/>
                <w:szCs w:val="1"/>
                <w:color w:val="auto"/>
              </w:rPr>
            </w:pPr>
          </w:p>
        </w:tc>
      </w:tr>
      <w:tr>
        <w:trPr>
          <w:trHeight w:val="405"/>
        </w:trPr>
        <w:tc>
          <w:tcPr>
            <w:tcW w:w="3120" w:type="dxa"/>
            <w:vAlign w:val="bottom"/>
          </w:tcPr>
          <w:p>
            <w:pPr>
              <w:spacing w:after="0"/>
              <w:rPr>
                <w:sz w:val="24"/>
                <w:szCs w:val="24"/>
                <w:color w:val="auto"/>
              </w:rPr>
            </w:pPr>
          </w:p>
        </w:tc>
        <w:tc>
          <w:tcPr>
            <w:tcW w:w="4580" w:type="dxa"/>
            <w:vAlign w:val="bottom"/>
          </w:tcPr>
          <w:p>
            <w:pPr>
              <w:jc w:val="right"/>
              <w:ind w:right="3172"/>
              <w:spacing w:after="0"/>
              <w:rPr>
                <w:sz w:val="20"/>
                <w:szCs w:val="20"/>
                <w:color w:val="auto"/>
              </w:rPr>
            </w:pPr>
            <w:r>
              <w:rPr>
                <w:rFonts w:ascii="Courier New" w:cs="Courier New" w:eastAsia="Courier New" w:hAnsi="Courier New"/>
                <w:sz w:val="18"/>
                <w:szCs w:val="18"/>
                <w:color w:val="auto"/>
              </w:rPr>
              <w:t>-13-</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left="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right="2079"/>
        <w:spacing w:after="0" w:line="402" w:lineRule="auto"/>
        <w:rPr>
          <w:sz w:val="20"/>
          <w:szCs w:val="20"/>
          <w:color w:val="auto"/>
        </w:rPr>
      </w:pPr>
      <w:r>
        <w:rPr>
          <w:rFonts w:ascii="Courier New" w:cs="Courier New" w:eastAsia="Courier New" w:hAnsi="Courier New"/>
          <w:sz w:val="16"/>
          <w:szCs w:val="16"/>
          <w:color w:val="auto"/>
        </w:rPr>
        <w:t>THIS SCHEDULE CONTAINS SUMMARY FINANCIAL INFORMATION EXTRACTED FROM FORM 10-Q AND IS QUALIFIED IN ITS ENTIRETY BY REFERENCE TO SUCH FINANCIAL STATEMENTS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spacing w:after="0" w:line="29"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DEC-31-1996</w:t>
      </w:r>
    </w:p>
    <w:p>
      <w:pPr>
        <w:ind w:left="3020"/>
        <w:spacing w:after="0" w:line="238" w:lineRule="auto"/>
        <w:rPr>
          <w:sz w:val="20"/>
          <w:szCs w:val="20"/>
          <w:color w:val="auto"/>
        </w:rPr>
      </w:pPr>
      <w:r>
        <w:rPr>
          <w:rFonts w:ascii="Courier New" w:cs="Courier New" w:eastAsia="Courier New" w:hAnsi="Courier New"/>
          <w:sz w:val="18"/>
          <w:szCs w:val="18"/>
          <w:color w:val="auto"/>
        </w:rPr>
        <w:t>JAN-01-1996</w:t>
      </w:r>
    </w:p>
    <w:p>
      <w:pPr>
        <w:ind w:left="3240"/>
        <w:spacing w:after="0"/>
        <w:rPr>
          <w:sz w:val="20"/>
          <w:szCs w:val="20"/>
          <w:color w:val="auto"/>
        </w:rPr>
      </w:pPr>
      <w:r>
        <w:rPr>
          <w:rFonts w:ascii="Courier New" w:cs="Courier New" w:eastAsia="Courier New" w:hAnsi="Courier New"/>
          <w:sz w:val="18"/>
          <w:szCs w:val="18"/>
          <w:color w:val="auto"/>
        </w:rPr>
        <w:t>JUN-30-1996</w:t>
      </w:r>
    </w:p>
    <w:p>
      <w:pPr>
        <w:ind w:left="4280"/>
        <w:spacing w:after="0" w:line="238" w:lineRule="auto"/>
        <w:rPr>
          <w:sz w:val="20"/>
          <w:szCs w:val="20"/>
          <w:color w:val="auto"/>
        </w:rPr>
      </w:pPr>
      <w:r>
        <w:rPr>
          <w:rFonts w:ascii="Courier New" w:cs="Courier New" w:eastAsia="Courier New" w:hAnsi="Courier New"/>
          <w:sz w:val="18"/>
          <w:szCs w:val="18"/>
          <w:color w:val="auto"/>
        </w:rPr>
        <w:t>1157535</w:t>
      </w:r>
    </w:p>
    <w:p>
      <w:pPr>
        <w:ind w:left="4280"/>
        <w:spacing w:after="0"/>
        <w:rPr>
          <w:sz w:val="20"/>
          <w:szCs w:val="20"/>
          <w:color w:val="auto"/>
        </w:rPr>
      </w:pPr>
      <w:r>
        <w:rPr>
          <w:rFonts w:ascii="Courier New" w:cs="Courier New" w:eastAsia="Courier New" w:hAnsi="Courier New"/>
          <w:sz w:val="18"/>
          <w:szCs w:val="18"/>
          <w:color w:val="auto"/>
        </w:rPr>
        <w:t>0</w:t>
      </w:r>
    </w:p>
    <w:p>
      <w:pPr>
        <w:ind w:left="3540"/>
        <w:spacing w:after="0" w:line="238" w:lineRule="auto"/>
        <w:rPr>
          <w:sz w:val="20"/>
          <w:szCs w:val="20"/>
          <w:color w:val="auto"/>
        </w:rPr>
      </w:pPr>
      <w:r>
        <w:rPr>
          <w:rFonts w:ascii="Courier New" w:cs="Courier New" w:eastAsia="Courier New" w:hAnsi="Courier New"/>
          <w:sz w:val="18"/>
          <w:szCs w:val="18"/>
          <w:color w:val="auto"/>
        </w:rPr>
        <w:t>2147255</w:t>
      </w:r>
    </w:p>
    <w:p>
      <w:pPr>
        <w:ind w:left="3660"/>
        <w:spacing w:after="0"/>
        <w:rPr>
          <w:sz w:val="20"/>
          <w:szCs w:val="20"/>
          <w:color w:val="auto"/>
        </w:rPr>
      </w:pPr>
      <w:r>
        <w:rPr>
          <w:rFonts w:ascii="Courier New" w:cs="Courier New" w:eastAsia="Courier New" w:hAnsi="Courier New"/>
          <w:sz w:val="18"/>
          <w:szCs w:val="18"/>
          <w:color w:val="auto"/>
        </w:rPr>
        <w:t>(46586)</w:t>
      </w:r>
    </w:p>
    <w:p>
      <w:pPr>
        <w:ind w:left="3860"/>
        <w:spacing w:after="0" w:line="238" w:lineRule="auto"/>
        <w:rPr>
          <w:sz w:val="20"/>
          <w:szCs w:val="20"/>
          <w:color w:val="auto"/>
        </w:rPr>
      </w:pPr>
      <w:r>
        <w:rPr>
          <w:rFonts w:ascii="Courier New" w:cs="Courier New" w:eastAsia="Courier New" w:hAnsi="Courier New"/>
          <w:sz w:val="18"/>
          <w:szCs w:val="18"/>
          <w:color w:val="auto"/>
        </w:rPr>
        <w:t>914117</w:t>
      </w:r>
    </w:p>
    <w:p>
      <w:pPr>
        <w:ind w:left="3240"/>
        <w:spacing w:after="0"/>
        <w:rPr>
          <w:sz w:val="20"/>
          <w:szCs w:val="20"/>
          <w:color w:val="auto"/>
        </w:rPr>
      </w:pPr>
      <w:r>
        <w:rPr>
          <w:rFonts w:ascii="Courier New" w:cs="Courier New" w:eastAsia="Courier New" w:hAnsi="Courier New"/>
          <w:sz w:val="18"/>
          <w:szCs w:val="18"/>
          <w:color w:val="auto"/>
        </w:rPr>
        <w:t>4379460</w:t>
      </w:r>
    </w:p>
    <w:p>
      <w:pPr>
        <w:ind w:left="4280"/>
        <w:spacing w:after="0" w:line="238" w:lineRule="auto"/>
        <w:rPr>
          <w:sz w:val="20"/>
          <w:szCs w:val="20"/>
          <w:color w:val="auto"/>
        </w:rPr>
      </w:pPr>
      <w:r>
        <w:rPr>
          <w:rFonts w:ascii="Courier New" w:cs="Courier New" w:eastAsia="Courier New" w:hAnsi="Courier New"/>
          <w:sz w:val="18"/>
          <w:szCs w:val="18"/>
          <w:color w:val="auto"/>
        </w:rPr>
        <w:t>9315445</w:t>
      </w:r>
    </w:p>
    <w:p>
      <w:pPr>
        <w:jc w:val="right"/>
        <w:ind w:right="5999"/>
        <w:spacing w:after="0"/>
        <w:rPr>
          <w:sz w:val="20"/>
          <w:szCs w:val="20"/>
          <w:color w:val="auto"/>
        </w:rPr>
      </w:pPr>
      <w:r>
        <w:rPr>
          <w:rFonts w:ascii="Courier New" w:cs="Courier New" w:eastAsia="Courier New" w:hAnsi="Courier New"/>
          <w:sz w:val="18"/>
          <w:szCs w:val="18"/>
          <w:color w:val="auto"/>
        </w:rPr>
        <w:t>(6157159)</w:t>
      </w:r>
    </w:p>
    <w:p>
      <w:pPr>
        <w:jc w:val="right"/>
        <w:ind w:right="5999"/>
        <w:spacing w:after="0" w:line="238" w:lineRule="auto"/>
        <w:rPr>
          <w:sz w:val="20"/>
          <w:szCs w:val="20"/>
          <w:color w:val="auto"/>
        </w:rPr>
      </w:pPr>
      <w:r>
        <w:rPr>
          <w:rFonts w:ascii="Courier New" w:cs="Courier New" w:eastAsia="Courier New" w:hAnsi="Courier New"/>
          <w:sz w:val="18"/>
          <w:szCs w:val="18"/>
          <w:color w:val="auto"/>
        </w:rPr>
        <w:t>9207136</w:t>
      </w:r>
    </w:p>
    <w:p>
      <w:pPr>
        <w:ind w:left="2700"/>
        <w:spacing w:after="0"/>
        <w:rPr>
          <w:sz w:val="20"/>
          <w:szCs w:val="20"/>
          <w:color w:val="auto"/>
        </w:rPr>
      </w:pPr>
      <w:r>
        <w:rPr>
          <w:rFonts w:ascii="Courier New" w:cs="Courier New" w:eastAsia="Courier New" w:hAnsi="Courier New"/>
          <w:sz w:val="18"/>
          <w:szCs w:val="18"/>
          <w:color w:val="auto"/>
        </w:rPr>
        <w:t>2839599</w:t>
      </w:r>
    </w:p>
    <w:p>
      <w:pPr>
        <w:jc w:val="center"/>
        <w:ind w:right="459"/>
        <w:spacing w:after="0" w:line="238" w:lineRule="auto"/>
        <w:rPr>
          <w:sz w:val="20"/>
          <w:szCs w:val="20"/>
          <w:color w:val="auto"/>
        </w:rPr>
      </w:pPr>
      <w:r>
        <w:rPr>
          <w:rFonts w:ascii="Courier New" w:cs="Courier New" w:eastAsia="Courier New" w:hAnsi="Courier New"/>
          <w:sz w:val="18"/>
          <w:szCs w:val="18"/>
          <w:color w:val="auto"/>
        </w:rPr>
        <w:t>0</w:t>
      </w:r>
    </w:p>
    <w:p>
      <w:pPr>
        <w:ind w:left="2820"/>
        <w:spacing w:after="0"/>
        <w:rPr>
          <w:sz w:val="20"/>
          <w:szCs w:val="20"/>
          <w:color w:val="auto"/>
        </w:rPr>
      </w:pPr>
      <w:r>
        <w:rPr>
          <w:rFonts w:ascii="Courier New" w:cs="Courier New" w:eastAsia="Courier New" w:hAnsi="Courier New"/>
          <w:sz w:val="18"/>
          <w:szCs w:val="18"/>
          <w:color w:val="auto"/>
        </w:rPr>
        <w:t>763120</w:t>
      </w:r>
    </w:p>
    <w:p>
      <w:pPr>
        <w:ind w:left="4400"/>
        <w:spacing w:after="0" w:line="238" w:lineRule="auto"/>
        <w:rPr>
          <w:sz w:val="20"/>
          <w:szCs w:val="20"/>
          <w:color w:val="auto"/>
        </w:rPr>
      </w:pPr>
      <w:r>
        <w:rPr>
          <w:rFonts w:ascii="Courier New" w:cs="Courier New" w:eastAsia="Courier New" w:hAnsi="Courier New"/>
          <w:sz w:val="18"/>
          <w:szCs w:val="18"/>
          <w:color w:val="auto"/>
        </w:rPr>
        <w:t>0</w:t>
      </w:r>
    </w:p>
    <w:p>
      <w:pPr>
        <w:ind w:left="4700"/>
        <w:spacing w:after="0"/>
        <w:rPr>
          <w:sz w:val="20"/>
          <w:szCs w:val="20"/>
          <w:color w:val="auto"/>
        </w:rPr>
      </w:pPr>
      <w:r>
        <w:rPr>
          <w:rFonts w:ascii="Courier New" w:cs="Courier New" w:eastAsia="Courier New" w:hAnsi="Courier New"/>
          <w:sz w:val="18"/>
          <w:szCs w:val="18"/>
          <w:color w:val="auto"/>
        </w:rPr>
        <w:t>0</w:t>
      </w:r>
    </w:p>
    <w:p>
      <w:pPr>
        <w:ind w:left="3860"/>
        <w:spacing w:after="0" w:line="238" w:lineRule="auto"/>
        <w:rPr>
          <w:sz w:val="20"/>
          <w:szCs w:val="20"/>
          <w:color w:val="auto"/>
        </w:rPr>
      </w:pPr>
      <w:r>
        <w:rPr>
          <w:rFonts w:ascii="Courier New" w:cs="Courier New" w:eastAsia="Courier New" w:hAnsi="Courier New"/>
          <w:sz w:val="18"/>
          <w:szCs w:val="18"/>
          <w:color w:val="auto"/>
        </w:rPr>
        <w:t>4468804</w:t>
      </w:r>
    </w:p>
    <w:p>
      <w:pPr>
        <w:ind w:left="1960"/>
        <w:spacing w:after="0"/>
        <w:rPr>
          <w:sz w:val="20"/>
          <w:szCs w:val="20"/>
          <w:color w:val="auto"/>
        </w:rPr>
      </w:pPr>
      <w:r>
        <w:rPr>
          <w:rFonts w:ascii="Courier New" w:cs="Courier New" w:eastAsia="Courier New" w:hAnsi="Courier New"/>
          <w:sz w:val="18"/>
          <w:szCs w:val="18"/>
          <w:color w:val="auto"/>
        </w:rPr>
        <w:t>9207136</w:t>
      </w:r>
    </w:p>
    <w:p>
      <w:pPr>
        <w:ind w:left="4180"/>
        <w:spacing w:after="0" w:line="238" w:lineRule="auto"/>
        <w:rPr>
          <w:sz w:val="20"/>
          <w:szCs w:val="20"/>
          <w:color w:val="auto"/>
        </w:rPr>
      </w:pPr>
      <w:r>
        <w:rPr>
          <w:rFonts w:ascii="Courier New" w:cs="Courier New" w:eastAsia="Courier New" w:hAnsi="Courier New"/>
          <w:sz w:val="18"/>
          <w:szCs w:val="18"/>
          <w:color w:val="auto"/>
        </w:rPr>
        <w:t>1189322</w:t>
      </w:r>
    </w:p>
    <w:p>
      <w:pPr>
        <w:ind w:left="3240"/>
        <w:spacing w:after="0"/>
        <w:rPr>
          <w:sz w:val="20"/>
          <w:szCs w:val="20"/>
          <w:color w:val="auto"/>
        </w:rPr>
      </w:pPr>
      <w:r>
        <w:rPr>
          <w:rFonts w:ascii="Courier New" w:cs="Courier New" w:eastAsia="Courier New" w:hAnsi="Courier New"/>
          <w:sz w:val="18"/>
          <w:szCs w:val="18"/>
          <w:color w:val="auto"/>
        </w:rPr>
        <w:t>4212055</w:t>
      </w:r>
    </w:p>
    <w:p>
      <w:pPr>
        <w:ind w:left="4500"/>
        <w:spacing w:after="0" w:line="238" w:lineRule="auto"/>
        <w:rPr>
          <w:sz w:val="20"/>
          <w:szCs w:val="20"/>
          <w:color w:val="auto"/>
        </w:rPr>
      </w:pPr>
      <w:r>
        <w:rPr>
          <w:rFonts w:ascii="Courier New" w:cs="Courier New" w:eastAsia="Courier New" w:hAnsi="Courier New"/>
          <w:sz w:val="18"/>
          <w:szCs w:val="18"/>
          <w:color w:val="auto"/>
        </w:rPr>
        <w:t>817640</w:t>
      </w:r>
    </w:p>
    <w:p>
      <w:pPr>
        <w:ind w:left="3540"/>
        <w:spacing w:after="0"/>
        <w:rPr>
          <w:sz w:val="20"/>
          <w:szCs w:val="20"/>
          <w:color w:val="auto"/>
        </w:rPr>
      </w:pPr>
      <w:r>
        <w:rPr>
          <w:rFonts w:ascii="Courier New" w:cs="Courier New" w:eastAsia="Courier New" w:hAnsi="Courier New"/>
          <w:sz w:val="18"/>
          <w:szCs w:val="18"/>
          <w:color w:val="auto"/>
        </w:rPr>
        <w:t>2363960</w:t>
      </w:r>
    </w:p>
    <w:p>
      <w:pPr>
        <w:ind w:left="3340"/>
        <w:spacing w:after="0" w:line="238" w:lineRule="auto"/>
        <w:rPr>
          <w:sz w:val="20"/>
          <w:szCs w:val="20"/>
          <w:color w:val="auto"/>
        </w:rPr>
      </w:pPr>
      <w:r>
        <w:rPr>
          <w:rFonts w:ascii="Courier New" w:cs="Courier New" w:eastAsia="Courier New" w:hAnsi="Courier New"/>
          <w:sz w:val="18"/>
          <w:szCs w:val="18"/>
          <w:color w:val="auto"/>
        </w:rPr>
        <w:t>548005</w:t>
      </w:r>
    </w:p>
    <w:p>
      <w:pPr>
        <w:ind w:left="3540"/>
        <w:spacing w:after="0"/>
        <w:rPr>
          <w:sz w:val="20"/>
          <w:szCs w:val="20"/>
          <w:color w:val="auto"/>
        </w:rPr>
      </w:pPr>
      <w:r>
        <w:rPr>
          <w:rFonts w:ascii="Courier New" w:cs="Courier New" w:eastAsia="Courier New" w:hAnsi="Courier New"/>
          <w:sz w:val="18"/>
          <w:szCs w:val="18"/>
          <w:color w:val="auto"/>
        </w:rPr>
        <w:t>7922</w:t>
      </w:r>
    </w:p>
    <w:p>
      <w:pPr>
        <w:ind w:left="3240"/>
        <w:spacing w:after="0" w:line="238" w:lineRule="auto"/>
        <w:rPr>
          <w:sz w:val="20"/>
          <w:szCs w:val="20"/>
          <w:color w:val="auto"/>
        </w:rPr>
      </w:pPr>
      <w:r>
        <w:rPr>
          <w:rFonts w:ascii="Courier New" w:cs="Courier New" w:eastAsia="Courier New" w:hAnsi="Courier New"/>
          <w:sz w:val="18"/>
          <w:szCs w:val="18"/>
          <w:color w:val="auto"/>
        </w:rPr>
        <w:t>35463</w:t>
      </w:r>
    </w:p>
    <w:p>
      <w:pPr>
        <w:ind w:left="3440"/>
        <w:spacing w:after="0"/>
        <w:rPr>
          <w:sz w:val="20"/>
          <w:szCs w:val="20"/>
          <w:color w:val="auto"/>
        </w:rPr>
      </w:pPr>
      <w:r>
        <w:rPr>
          <w:rFonts w:ascii="Courier New" w:cs="Courier New" w:eastAsia="Courier New" w:hAnsi="Courier New"/>
          <w:sz w:val="18"/>
          <w:szCs w:val="18"/>
          <w:color w:val="auto"/>
        </w:rPr>
        <w:t>446987</w:t>
      </w:r>
    </w:p>
    <w:p>
      <w:pPr>
        <w:ind w:left="3860"/>
        <w:spacing w:after="0" w:line="238" w:lineRule="auto"/>
        <w:rPr>
          <w:sz w:val="20"/>
          <w:szCs w:val="20"/>
          <w:color w:val="auto"/>
        </w:rPr>
      </w:pPr>
      <w:r>
        <w:rPr>
          <w:rFonts w:ascii="Courier New" w:cs="Courier New" w:eastAsia="Courier New" w:hAnsi="Courier New"/>
          <w:sz w:val="18"/>
          <w:szCs w:val="18"/>
          <w:color w:val="auto"/>
        </w:rPr>
        <w:t>79402</w:t>
      </w:r>
    </w:p>
    <w:p>
      <w:pPr>
        <w:ind w:left="3020"/>
        <w:spacing w:after="0"/>
        <w:rPr>
          <w:sz w:val="20"/>
          <w:szCs w:val="20"/>
          <w:color w:val="auto"/>
        </w:rPr>
      </w:pPr>
      <w:r>
        <w:rPr>
          <w:rFonts w:ascii="Courier New" w:cs="Courier New" w:eastAsia="Courier New" w:hAnsi="Courier New"/>
          <w:sz w:val="18"/>
          <w:szCs w:val="18"/>
          <w:color w:val="auto"/>
        </w:rPr>
        <w:t>367585</w:t>
      </w:r>
    </w:p>
    <w:p>
      <w:pPr>
        <w:ind w:left="4080"/>
        <w:spacing w:after="0" w:line="238"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8" w:lineRule="auto"/>
        <w:rPr>
          <w:sz w:val="20"/>
          <w:szCs w:val="20"/>
          <w:color w:val="auto"/>
        </w:rPr>
      </w:pPr>
      <w:r>
        <w:rPr>
          <w:rFonts w:ascii="Courier New" w:cs="Courier New" w:eastAsia="Courier New" w:hAnsi="Courier New"/>
          <w:sz w:val="18"/>
          <w:szCs w:val="18"/>
          <w:color w:val="auto"/>
        </w:rPr>
        <w:t>0</w:t>
      </w:r>
    </w:p>
    <w:p>
      <w:pPr>
        <w:jc w:val="center"/>
        <w:ind w:right="2039"/>
        <w:spacing w:after="0"/>
        <w:rPr>
          <w:sz w:val="20"/>
          <w:szCs w:val="20"/>
          <w:color w:val="auto"/>
        </w:rPr>
      </w:pPr>
      <w:r>
        <w:rPr>
          <w:rFonts w:ascii="Courier New" w:cs="Courier New" w:eastAsia="Courier New" w:hAnsi="Courier New"/>
          <w:sz w:val="18"/>
          <w:szCs w:val="18"/>
          <w:color w:val="auto"/>
        </w:rPr>
        <w:t>367585</w:t>
      </w:r>
    </w:p>
    <w:p>
      <w:pPr>
        <w:jc w:val="center"/>
        <w:ind w:right="2039"/>
        <w:spacing w:after="0" w:line="238" w:lineRule="auto"/>
        <w:rPr>
          <w:sz w:val="20"/>
          <w:szCs w:val="20"/>
          <w:color w:val="auto"/>
        </w:rPr>
      </w:pPr>
      <w:r>
        <w:rPr>
          <w:rFonts w:ascii="Courier New" w:cs="Courier New" w:eastAsia="Courier New" w:hAnsi="Courier New"/>
          <w:sz w:val="18"/>
          <w:szCs w:val="18"/>
          <w:color w:val="auto"/>
        </w:rPr>
        <w:t>1.50</w:t>
      </w:r>
    </w:p>
    <w:p>
      <w:pPr>
        <w:jc w:val="center"/>
        <w:ind w:right="2039"/>
        <w:spacing w:after="0"/>
        <w:rPr>
          <w:sz w:val="20"/>
          <w:szCs w:val="20"/>
          <w:color w:val="auto"/>
        </w:rPr>
      </w:pPr>
      <w:r>
        <w:rPr>
          <w:rFonts w:ascii="Courier New" w:cs="Courier New" w:eastAsia="Courier New" w:hAnsi="Courier New"/>
          <w:sz w:val="18"/>
          <w:szCs w:val="18"/>
          <w:color w:val="auto"/>
        </w:rPr>
        <w:t>1.50</w:t>
      </w:r>
    </w:p>
    <w:sectPr>
      <w:pgSz w:w="11900" w:h="16838" w:orient="portrait"/>
      <w:cols w:equalWidth="0" w:num="1">
        <w:col w:w="10179"/>
      </w:cols>
      <w:pgMar w:left="28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2019-12-13T06:38:08Z</dcterms:created>
  <dcterms:modified xsi:type="dcterms:W3CDTF">2019-12-13T06:38:08Z</dcterms:modified>
</cp:coreProperties>
</file>