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(SCHLUMBERGER LIMITED)</w:t>
      </w: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3940" w:type="dxa"/>
            <w:vAlign w:val="bottom"/>
          </w:tcPr>
          <w:p>
            <w:pPr>
              <w:jc w:val="center"/>
              <w:ind w:right="1954"/>
              <w:spacing w:after="0"/>
              <w:rPr>
                <w:sz w:val="20"/>
                <w:szCs w:val="20"/>
                <w:color w:val="auto"/>
              </w:rPr>
            </w:pPr>
            <w:r>
              <w:rPr>
                <w:rFonts w:ascii="Arial" w:cs="Arial" w:eastAsia="Arial" w:hAnsi="Arial"/>
                <w:sz w:val="18"/>
                <w:szCs w:val="18"/>
                <w:b w:val="1"/>
                <w:bCs w:val="1"/>
                <w:color w:val="auto"/>
                <w:w w:val="91"/>
              </w:rPr>
              <w:t>Curaçao</w:t>
            </w:r>
          </w:p>
        </w:tc>
        <w:tc>
          <w:tcPr>
            <w:tcW w:w="2300" w:type="dxa"/>
            <w:vAlign w:val="bottom"/>
          </w:tcPr>
          <w:p>
            <w:pPr>
              <w:jc w:val="center"/>
              <w:ind w:right="422"/>
              <w:spacing w:after="0"/>
              <w:rPr>
                <w:sz w:val="20"/>
                <w:szCs w:val="20"/>
                <w:color w:val="auto"/>
              </w:rPr>
            </w:pPr>
            <w:r>
              <w:rPr>
                <w:rFonts w:ascii="Arial" w:cs="Arial" w:eastAsia="Arial" w:hAnsi="Arial"/>
                <w:sz w:val="18"/>
                <w:szCs w:val="18"/>
                <w:b w:val="1"/>
                <w:bCs w:val="1"/>
                <w:color w:val="auto"/>
                <w:w w:val="92"/>
              </w:rPr>
              <w:t>1-4601</w:t>
            </w:r>
          </w:p>
        </w:tc>
        <w:tc>
          <w:tcPr>
            <w:tcW w:w="2920" w:type="dxa"/>
            <w:vAlign w:val="bottom"/>
          </w:tcPr>
          <w:p>
            <w:pPr>
              <w:jc w:val="center"/>
              <w:ind w:left="1717"/>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3940" w:type="dxa"/>
            <w:vAlign w:val="bottom"/>
          </w:tcPr>
          <w:p>
            <w:pPr>
              <w:jc w:val="center"/>
              <w:ind w:right="197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00" w:type="dxa"/>
            <w:vAlign w:val="bottom"/>
          </w:tcPr>
          <w:p>
            <w:pPr>
              <w:jc w:val="center"/>
              <w:ind w:right="42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920" w:type="dxa"/>
            <w:vAlign w:val="bottom"/>
          </w:tcPr>
          <w:p>
            <w:pPr>
              <w:jc w:val="center"/>
              <w:ind w:left="171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974"/>
              <w:spacing w:after="0"/>
              <w:rPr>
                <w:sz w:val="20"/>
                <w:szCs w:val="20"/>
                <w:color w:val="auto"/>
              </w:rPr>
            </w:pPr>
            <w:r>
              <w:rPr>
                <w:rFonts w:ascii="Arial" w:cs="Arial" w:eastAsia="Arial" w:hAnsi="Arial"/>
                <w:sz w:val="14"/>
                <w:szCs w:val="14"/>
                <w:b w:val="1"/>
                <w:bCs w:val="1"/>
                <w:color w:val="auto"/>
                <w:w w:val="94"/>
              </w:rPr>
              <w:t>incorporation or organization)</w:t>
            </w:r>
          </w:p>
        </w:tc>
        <w:tc>
          <w:tcPr>
            <w:tcW w:w="2300" w:type="dxa"/>
            <w:vAlign w:val="bottom"/>
          </w:tcPr>
          <w:p>
            <w:pPr>
              <w:jc w:val="center"/>
              <w:ind w:right="422"/>
              <w:spacing w:after="0"/>
              <w:rPr>
                <w:sz w:val="20"/>
                <w:szCs w:val="20"/>
                <w:color w:val="auto"/>
              </w:rPr>
            </w:pPr>
            <w:r>
              <w:rPr>
                <w:rFonts w:ascii="Arial" w:cs="Arial" w:eastAsia="Arial" w:hAnsi="Arial"/>
                <w:sz w:val="14"/>
                <w:szCs w:val="14"/>
                <w:b w:val="1"/>
                <w:bCs w:val="1"/>
                <w:color w:val="auto"/>
                <w:w w:val="98"/>
              </w:rPr>
              <w:t>File Number)</w:t>
            </w:r>
          </w:p>
        </w:tc>
        <w:tc>
          <w:tcPr>
            <w:tcW w:w="2920" w:type="dxa"/>
            <w:vAlign w:val="bottom"/>
          </w:tcPr>
          <w:p>
            <w:pPr>
              <w:jc w:val="center"/>
              <w:ind w:left="1717"/>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940" w:type="dxa"/>
            <w:vAlign w:val="bottom"/>
          </w:tcPr>
          <w:p>
            <w:pPr>
              <w:jc w:val="center"/>
              <w:ind w:right="74"/>
              <w:spacing w:after="0"/>
              <w:rPr>
                <w:sz w:val="20"/>
                <w:szCs w:val="20"/>
                <w:color w:val="auto"/>
              </w:rPr>
            </w:pPr>
            <w:r>
              <w:rPr>
                <w:rFonts w:ascii="Arial" w:cs="Arial" w:eastAsia="Arial" w:hAnsi="Arial"/>
                <w:sz w:val="18"/>
                <w:szCs w:val="18"/>
                <w:b w:val="1"/>
                <w:bCs w:val="1"/>
                <w:color w:val="auto"/>
                <w:w w:val="92"/>
              </w:rPr>
              <w:t>42, rue Saint-Dominique</w:t>
            </w:r>
          </w:p>
        </w:tc>
        <w:tc>
          <w:tcPr>
            <w:tcW w:w="2300" w:type="dxa"/>
            <w:vAlign w:val="bottom"/>
          </w:tcPr>
          <w:p>
            <w:pPr>
              <w:spacing w:after="0"/>
              <w:rPr>
                <w:sz w:val="24"/>
                <w:szCs w:val="24"/>
                <w:color w:val="auto"/>
              </w:rPr>
            </w:pPr>
          </w:p>
        </w:tc>
        <w:tc>
          <w:tcPr>
            <w:tcW w:w="2920" w:type="dxa"/>
            <w:vAlign w:val="bottom"/>
          </w:tcPr>
          <w:p>
            <w:pPr>
              <w:jc w:val="center"/>
              <w:ind w:right="17"/>
              <w:spacing w:after="0"/>
              <w:rPr>
                <w:sz w:val="20"/>
                <w:szCs w:val="20"/>
                <w:color w:val="auto"/>
              </w:rPr>
            </w:pPr>
            <w:r>
              <w:rPr>
                <w:rFonts w:ascii="Arial" w:cs="Arial" w:eastAsia="Arial" w:hAnsi="Arial"/>
                <w:sz w:val="18"/>
                <w:szCs w:val="18"/>
                <w:b w:val="1"/>
                <w:bCs w:val="1"/>
                <w:color w:val="auto"/>
                <w:w w:val="91"/>
              </w:rPr>
              <w:t>75007</w:t>
            </w:r>
          </w:p>
        </w:tc>
      </w:tr>
      <w:tr>
        <w:trPr>
          <w:trHeight w:val="234"/>
        </w:trPr>
        <w:tc>
          <w:tcPr>
            <w:tcW w:w="3940" w:type="dxa"/>
            <w:vAlign w:val="bottom"/>
          </w:tcPr>
          <w:p>
            <w:pPr>
              <w:jc w:val="center"/>
              <w:ind w:right="74"/>
              <w:spacing w:after="0"/>
              <w:rPr>
                <w:sz w:val="20"/>
                <w:szCs w:val="20"/>
                <w:color w:val="auto"/>
              </w:rPr>
            </w:pPr>
            <w:r>
              <w:rPr>
                <w:rFonts w:ascii="Arial" w:cs="Arial" w:eastAsia="Arial" w:hAnsi="Arial"/>
                <w:sz w:val="18"/>
                <w:szCs w:val="18"/>
                <w:b w:val="1"/>
                <w:bCs w:val="1"/>
                <w:color w:val="auto"/>
                <w:w w:val="90"/>
              </w:rPr>
              <w:t>Paris, France</w:t>
            </w:r>
          </w:p>
        </w:tc>
        <w:tc>
          <w:tcPr>
            <w:tcW w:w="23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7"/>
        </w:trPr>
        <w:tc>
          <w:tcPr>
            <w:tcW w:w="3940" w:type="dxa"/>
            <w:vAlign w:val="bottom"/>
          </w:tcPr>
          <w:p>
            <w:pPr>
              <w:jc w:val="center"/>
              <w:ind w:right="74"/>
              <w:spacing w:after="0"/>
              <w:rPr>
                <w:sz w:val="20"/>
                <w:szCs w:val="20"/>
                <w:color w:val="auto"/>
              </w:rPr>
            </w:pPr>
            <w:r>
              <w:rPr>
                <w:rFonts w:ascii="Arial" w:cs="Arial" w:eastAsia="Arial" w:hAnsi="Arial"/>
                <w:sz w:val="18"/>
                <w:szCs w:val="18"/>
                <w:b w:val="1"/>
                <w:bCs w:val="1"/>
                <w:color w:val="auto"/>
                <w:w w:val="90"/>
              </w:rPr>
              <w:t>5599 San Felipe</w:t>
            </w:r>
          </w:p>
        </w:tc>
        <w:tc>
          <w:tcPr>
            <w:tcW w:w="2300" w:type="dxa"/>
            <w:vAlign w:val="bottom"/>
          </w:tcPr>
          <w:p>
            <w:pPr>
              <w:spacing w:after="0"/>
              <w:rPr>
                <w:sz w:val="24"/>
                <w:szCs w:val="24"/>
                <w:color w:val="auto"/>
              </w:rPr>
            </w:pPr>
          </w:p>
        </w:tc>
        <w:tc>
          <w:tcPr>
            <w:tcW w:w="2920" w:type="dxa"/>
            <w:vAlign w:val="bottom"/>
          </w:tcPr>
          <w:p>
            <w:pPr>
              <w:jc w:val="center"/>
              <w:ind w:right="17"/>
              <w:spacing w:after="0"/>
              <w:rPr>
                <w:sz w:val="20"/>
                <w:szCs w:val="20"/>
                <w:color w:val="auto"/>
              </w:rPr>
            </w:pPr>
            <w:r>
              <w:rPr>
                <w:rFonts w:ascii="Arial" w:cs="Arial" w:eastAsia="Arial" w:hAnsi="Arial"/>
                <w:sz w:val="18"/>
                <w:szCs w:val="18"/>
                <w:b w:val="1"/>
                <w:bCs w:val="1"/>
                <w:color w:val="auto"/>
                <w:w w:val="91"/>
              </w:rPr>
              <w:t>77056</w:t>
            </w:r>
          </w:p>
        </w:tc>
      </w:tr>
      <w:tr>
        <w:trPr>
          <w:trHeight w:val="234"/>
        </w:trPr>
        <w:tc>
          <w:tcPr>
            <w:tcW w:w="3940" w:type="dxa"/>
            <w:vAlign w:val="bottom"/>
          </w:tcPr>
          <w:p>
            <w:pPr>
              <w:jc w:val="center"/>
              <w:ind w:right="74"/>
              <w:spacing w:after="0"/>
              <w:rPr>
                <w:sz w:val="20"/>
                <w:szCs w:val="20"/>
                <w:color w:val="auto"/>
              </w:rPr>
            </w:pPr>
            <w:r>
              <w:rPr>
                <w:rFonts w:ascii="Arial" w:cs="Arial" w:eastAsia="Arial" w:hAnsi="Arial"/>
                <w:sz w:val="18"/>
                <w:szCs w:val="18"/>
                <w:b w:val="1"/>
                <w:bCs w:val="1"/>
                <w:color w:val="auto"/>
                <w:w w:val="89"/>
              </w:rPr>
              <w:t>Houston, Texas United States of America</w:t>
            </w:r>
          </w:p>
        </w:tc>
        <w:tc>
          <w:tcPr>
            <w:tcW w:w="23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7"/>
        </w:trPr>
        <w:tc>
          <w:tcPr>
            <w:tcW w:w="3940" w:type="dxa"/>
            <w:vAlign w:val="bottom"/>
          </w:tcPr>
          <w:p>
            <w:pPr>
              <w:jc w:val="center"/>
              <w:ind w:right="74"/>
              <w:spacing w:after="0"/>
              <w:rPr>
                <w:sz w:val="20"/>
                <w:szCs w:val="20"/>
                <w:color w:val="auto"/>
              </w:rPr>
            </w:pPr>
            <w:r>
              <w:rPr>
                <w:rFonts w:ascii="Arial" w:cs="Arial" w:eastAsia="Arial" w:hAnsi="Arial"/>
                <w:sz w:val="18"/>
                <w:szCs w:val="18"/>
                <w:b w:val="1"/>
                <w:bCs w:val="1"/>
                <w:color w:val="auto"/>
                <w:w w:val="90"/>
              </w:rPr>
              <w:t>62 Buckingham Gate</w:t>
            </w:r>
          </w:p>
        </w:tc>
        <w:tc>
          <w:tcPr>
            <w:tcW w:w="2300" w:type="dxa"/>
            <w:vAlign w:val="bottom"/>
          </w:tcPr>
          <w:p>
            <w:pPr>
              <w:spacing w:after="0"/>
              <w:rPr>
                <w:sz w:val="24"/>
                <w:szCs w:val="24"/>
                <w:color w:val="auto"/>
              </w:rPr>
            </w:pPr>
          </w:p>
        </w:tc>
        <w:tc>
          <w:tcPr>
            <w:tcW w:w="2920" w:type="dxa"/>
            <w:vAlign w:val="bottom"/>
          </w:tcPr>
          <w:p>
            <w:pPr>
              <w:jc w:val="center"/>
              <w:ind w:right="17"/>
              <w:spacing w:after="0"/>
              <w:rPr>
                <w:sz w:val="20"/>
                <w:szCs w:val="20"/>
                <w:color w:val="auto"/>
              </w:rPr>
            </w:pPr>
            <w:r>
              <w:rPr>
                <w:rFonts w:ascii="Arial" w:cs="Arial" w:eastAsia="Arial" w:hAnsi="Arial"/>
                <w:sz w:val="18"/>
                <w:szCs w:val="18"/>
                <w:b w:val="1"/>
                <w:bCs w:val="1"/>
                <w:color w:val="auto"/>
                <w:w w:val="96"/>
              </w:rPr>
              <w:t>SW1E 6AJ</w:t>
            </w:r>
          </w:p>
        </w:tc>
      </w:tr>
      <w:tr>
        <w:trPr>
          <w:trHeight w:val="234"/>
        </w:trPr>
        <w:tc>
          <w:tcPr>
            <w:tcW w:w="3940" w:type="dxa"/>
            <w:vAlign w:val="bottom"/>
          </w:tcPr>
          <w:p>
            <w:pPr>
              <w:jc w:val="center"/>
              <w:ind w:right="74"/>
              <w:spacing w:after="0"/>
              <w:rPr>
                <w:sz w:val="20"/>
                <w:szCs w:val="20"/>
                <w:color w:val="auto"/>
              </w:rPr>
            </w:pPr>
            <w:r>
              <w:rPr>
                <w:rFonts w:ascii="Arial" w:cs="Arial" w:eastAsia="Arial" w:hAnsi="Arial"/>
                <w:sz w:val="18"/>
                <w:szCs w:val="18"/>
                <w:b w:val="1"/>
                <w:bCs w:val="1"/>
                <w:color w:val="auto"/>
                <w:w w:val="92"/>
              </w:rPr>
              <w:t>London, United Kingdom</w:t>
            </w:r>
          </w:p>
        </w:tc>
        <w:tc>
          <w:tcPr>
            <w:tcW w:w="23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27"/>
        </w:trPr>
        <w:tc>
          <w:tcPr>
            <w:tcW w:w="3940" w:type="dxa"/>
            <w:vAlign w:val="bottom"/>
          </w:tcPr>
          <w:p>
            <w:pPr>
              <w:jc w:val="center"/>
              <w:ind w:right="74"/>
              <w:spacing w:after="0"/>
              <w:rPr>
                <w:sz w:val="20"/>
                <w:szCs w:val="20"/>
                <w:color w:val="auto"/>
              </w:rPr>
            </w:pPr>
            <w:r>
              <w:rPr>
                <w:rFonts w:ascii="Arial" w:cs="Arial" w:eastAsia="Arial" w:hAnsi="Arial"/>
                <w:sz w:val="18"/>
                <w:szCs w:val="18"/>
                <w:b w:val="1"/>
                <w:bCs w:val="1"/>
                <w:color w:val="auto"/>
                <w:w w:val="91"/>
              </w:rPr>
              <w:t>Parkstraat 83, The Hague,</w:t>
            </w:r>
          </w:p>
        </w:tc>
        <w:tc>
          <w:tcPr>
            <w:tcW w:w="23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25"/>
        </w:trPr>
        <w:tc>
          <w:tcPr>
            <w:tcW w:w="3940" w:type="dxa"/>
            <w:vAlign w:val="bottom"/>
          </w:tcPr>
          <w:p>
            <w:pPr>
              <w:jc w:val="center"/>
              <w:ind w:right="74"/>
              <w:spacing w:after="0"/>
              <w:rPr>
                <w:sz w:val="20"/>
                <w:szCs w:val="20"/>
                <w:color w:val="auto"/>
              </w:rPr>
            </w:pPr>
            <w:r>
              <w:rPr>
                <w:rFonts w:ascii="Arial" w:cs="Arial" w:eastAsia="Arial" w:hAnsi="Arial"/>
                <w:sz w:val="18"/>
                <w:szCs w:val="18"/>
                <w:b w:val="1"/>
                <w:bCs w:val="1"/>
                <w:color w:val="auto"/>
                <w:w w:val="92"/>
              </w:rPr>
              <w:t>The Netherlands</w:t>
            </w:r>
          </w:p>
        </w:tc>
        <w:tc>
          <w:tcPr>
            <w:tcW w:w="2300" w:type="dxa"/>
            <w:vAlign w:val="bottom"/>
          </w:tcPr>
          <w:p>
            <w:pPr>
              <w:spacing w:after="0"/>
              <w:rPr>
                <w:sz w:val="19"/>
                <w:szCs w:val="19"/>
                <w:color w:val="auto"/>
              </w:rPr>
            </w:pPr>
          </w:p>
        </w:tc>
        <w:tc>
          <w:tcPr>
            <w:tcW w:w="2920" w:type="dxa"/>
            <w:vAlign w:val="bottom"/>
          </w:tcPr>
          <w:p>
            <w:pPr>
              <w:jc w:val="center"/>
              <w:ind w:right="17"/>
              <w:spacing w:after="0"/>
              <w:rPr>
                <w:sz w:val="20"/>
                <w:szCs w:val="20"/>
                <w:color w:val="auto"/>
              </w:rPr>
            </w:pPr>
            <w:r>
              <w:rPr>
                <w:rFonts w:ascii="Arial" w:cs="Arial" w:eastAsia="Arial" w:hAnsi="Arial"/>
                <w:sz w:val="18"/>
                <w:szCs w:val="18"/>
                <w:b w:val="1"/>
                <w:bCs w:val="1"/>
                <w:color w:val="auto"/>
                <w:w w:val="89"/>
              </w:rPr>
              <w:t>2514 JG</w:t>
            </w:r>
          </w:p>
        </w:tc>
      </w:tr>
      <w:tr>
        <w:trPr>
          <w:trHeight w:val="186"/>
        </w:trPr>
        <w:tc>
          <w:tcPr>
            <w:tcW w:w="394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(Addresses of principal executive offices)</w:t>
            </w:r>
          </w:p>
        </w:tc>
        <w:tc>
          <w:tcPr>
            <w:tcW w:w="2300" w:type="dxa"/>
            <w:vAlign w:val="bottom"/>
          </w:tcPr>
          <w:p>
            <w:pPr>
              <w:spacing w:after="0"/>
              <w:rPr>
                <w:sz w:val="16"/>
                <w:szCs w:val="16"/>
                <w:color w:val="auto"/>
              </w:rPr>
            </w:pPr>
          </w:p>
        </w:tc>
        <w:tc>
          <w:tcPr>
            <w:tcW w:w="292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(Zip Codes)</w:t>
            </w:r>
          </w:p>
        </w:tc>
      </w:tr>
    </w:tbl>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Saul R. Laureles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Director, Corporate Legal</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2016 to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 and 1.02 Conflict Minerals Disclosure and Report;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accordance with Rule 13p-1 under the Securities Exchange Act of 1934, as amended, Schlumberger Limited (the “Company”) has filed this Specialized Disclosure Report and the Conflict Minerals Report attached hereto as Exhibit 1.01 for the year ended December 31, 2016. Both of these documents are publicly available on the Company’s website at: http://www.slb.com/about/accountability/conflict_minerals.aspx.</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w:t>
      </w:r>
    </w:p>
    <w:p>
      <w:pPr>
        <w:sectPr>
          <w:pgSz w:w="11900" w:h="16838" w:orient="portrait"/>
          <w:cols w:equalWidth="0" w:num="1">
            <w:col w:w="10740"/>
          </w:cols>
          <w:pgMar w:left="240" w:top="270" w:right="91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Alexander C. Juden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23, 2017</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1" w:lineRule="exact"/>
        <w:rPr>
          <w:sz w:val="20"/>
          <w:szCs w:val="20"/>
          <w:color w:val="auto"/>
        </w:rPr>
      </w:pPr>
    </w:p>
    <w:p>
      <w:pPr>
        <w:ind w:right="840" w:firstLine="456"/>
        <w:spacing w:after="0" w:line="342" w:lineRule="auto"/>
        <w:rPr>
          <w:sz w:val="20"/>
          <w:szCs w:val="20"/>
          <w:color w:val="auto"/>
        </w:rPr>
      </w:pPr>
      <w:r>
        <w:rPr>
          <w:rFonts w:ascii="Arial" w:cs="Arial" w:eastAsia="Arial" w:hAnsi="Arial"/>
          <w:sz w:val="16"/>
          <w:szCs w:val="16"/>
          <w:color w:val="auto"/>
        </w:rPr>
        <w:t>This Conflict Minerals Report (the “</w:t>
      </w:r>
      <w:r>
        <w:rPr>
          <w:rFonts w:ascii="Arial" w:cs="Arial" w:eastAsia="Arial" w:hAnsi="Arial"/>
          <w:sz w:val="16"/>
          <w:szCs w:val="16"/>
          <w:b w:val="1"/>
          <w:bCs w:val="1"/>
          <w:i w:val="1"/>
          <w:iCs w:val="1"/>
          <w:color w:val="auto"/>
        </w:rPr>
        <w:t>Report</w:t>
      </w:r>
      <w:r>
        <w:rPr>
          <w:rFonts w:ascii="Arial" w:cs="Arial" w:eastAsia="Arial" w:hAnsi="Arial"/>
          <w:sz w:val="16"/>
          <w:szCs w:val="16"/>
          <w:color w:val="auto"/>
        </w:rPr>
        <w:t>”) of Schlumberger Limited has been prepared pursuant to Rule 13p-1 and Form SD (the “</w:t>
      </w:r>
      <w:r>
        <w:rPr>
          <w:rFonts w:ascii="Arial" w:cs="Arial" w:eastAsia="Arial" w:hAnsi="Arial"/>
          <w:sz w:val="16"/>
          <w:szCs w:val="16"/>
          <w:b w:val="1"/>
          <w:bCs w:val="1"/>
          <w:i w:val="1"/>
          <w:iCs w:val="1"/>
          <w:color w:val="auto"/>
        </w:rPr>
        <w:t>Rule</w:t>
      </w:r>
      <w:r>
        <w:rPr>
          <w:rFonts w:ascii="Arial" w:cs="Arial" w:eastAsia="Arial" w:hAnsi="Arial"/>
          <w:sz w:val="16"/>
          <w:szCs w:val="16"/>
          <w:color w:val="auto"/>
        </w:rPr>
        <w:t>”) promulgated under the Securities Exchange Act of 1934, as amended, for the reporting period from January 1, 2016 to December 31, 2016.</w:t>
      </w:r>
    </w:p>
    <w:p>
      <w:pPr>
        <w:spacing w:after="0" w:line="124"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All references in this Report to “Schlumberger,” “Company,” “we,” “us” or “our” are to Schlumberger Limited (Schlumberger N.V., incorporated in Curaçao) and its consolidated subsidiaries as of December 31, 2016.</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Working in more than 85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April 1, 2016, Schlumberger acquired all of the outstanding shares of Cameron International Corporation (“</w:t>
      </w:r>
      <w:r>
        <w:rPr>
          <w:rFonts w:ascii="Arial" w:cs="Arial" w:eastAsia="Arial" w:hAnsi="Arial"/>
          <w:sz w:val="18"/>
          <w:szCs w:val="18"/>
          <w:b w:val="1"/>
          <w:bCs w:val="1"/>
          <w:i w:val="1"/>
          <w:iCs w:val="1"/>
          <w:color w:val="auto"/>
        </w:rPr>
        <w:t>Cameron</w:t>
      </w:r>
      <w:r>
        <w:rPr>
          <w:rFonts w:ascii="Arial" w:cs="Arial" w:eastAsia="Arial" w:hAnsi="Arial"/>
          <w:sz w:val="18"/>
          <w:szCs w:val="18"/>
          <w:color w:val="auto"/>
        </w:rPr>
        <w:t>”), a leading provider of flow equipment products, systems and services to the oil and gas industry worldwide. As a result of the acquisition, Cameron became the fourth Group and reporting segment of Schlumberger.</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Rule requires disclosure of certain information when a company manufactures or contracts to manufacture products for which specified minerals are necessary to the functionality or production of those products. The specified minerals are gold, columbite-tantalite (coltan), cassiterite and wolframite, including their derivatives, which are limited to tantalum, tin and tungsten (“</w:t>
      </w:r>
      <w:r>
        <w:rPr>
          <w:rFonts w:ascii="Arial" w:cs="Arial" w:eastAsia="Arial" w:hAnsi="Arial"/>
          <w:sz w:val="18"/>
          <w:szCs w:val="18"/>
          <w:b w:val="1"/>
          <w:bCs w:val="1"/>
          <w:i w:val="1"/>
          <w:iCs w:val="1"/>
          <w:color w:val="auto"/>
        </w:rPr>
        <w:t>conflict minerals</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Products Covered by this Report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Report relates to products sold: (a) that contain conflict minerals necessary to their functionality or production (“</w:t>
      </w:r>
      <w:r>
        <w:rPr>
          <w:rFonts w:ascii="Arial" w:cs="Arial" w:eastAsia="Arial" w:hAnsi="Arial"/>
          <w:sz w:val="16"/>
          <w:szCs w:val="16"/>
          <w:b w:val="1"/>
          <w:bCs w:val="1"/>
          <w:i w:val="1"/>
          <w:iCs w:val="1"/>
          <w:color w:val="auto"/>
        </w:rPr>
        <w:t>necessary conflict minerals</w:t>
      </w:r>
      <w:r>
        <w:rPr>
          <w:rFonts w:ascii="Arial" w:cs="Arial" w:eastAsia="Arial" w:hAnsi="Arial"/>
          <w:sz w:val="16"/>
          <w:szCs w:val="16"/>
          <w:color w:val="auto"/>
        </w:rPr>
        <w:t>”);</w:t>
      </w:r>
    </w:p>
    <w:p>
      <w:pPr>
        <w:spacing w:after="0" w:line="46" w:lineRule="exact"/>
        <w:rPr>
          <w:sz w:val="20"/>
          <w:szCs w:val="20"/>
          <w:color w:val="auto"/>
        </w:rPr>
      </w:pPr>
    </w:p>
    <w:p>
      <w:pPr>
        <w:ind w:right="260" w:firstLine="8"/>
        <w:spacing w:after="0" w:line="323"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that we had reason to believe may have originated in the Democratic Republic of the Congo or an adjoining country (the “</w:t>
      </w:r>
      <w:r>
        <w:rPr>
          <w:rFonts w:ascii="Arial" w:cs="Arial" w:eastAsia="Arial" w:hAnsi="Arial"/>
          <w:sz w:val="16"/>
          <w:szCs w:val="16"/>
          <w:b w:val="1"/>
          <w:bCs w:val="1"/>
          <w:i w:val="1"/>
          <w:iCs w:val="1"/>
          <w:color w:val="auto"/>
        </w:rPr>
        <w:t>covered countries</w:t>
      </w:r>
      <w:r>
        <w:rPr>
          <w:rFonts w:ascii="Arial" w:cs="Arial" w:eastAsia="Arial" w:hAnsi="Arial"/>
          <w:sz w:val="16"/>
          <w:szCs w:val="16"/>
          <w:color w:val="auto"/>
        </w:rPr>
        <w:t>”) and may not have come from recycled or scrap sources; and (c) that we manufactured, or contracted to be manufactured, in 2016 (the “</w:t>
      </w:r>
      <w:r>
        <w:rPr>
          <w:rFonts w:ascii="Arial" w:cs="Arial" w:eastAsia="Arial" w:hAnsi="Arial"/>
          <w:sz w:val="16"/>
          <w:szCs w:val="16"/>
          <w:b w:val="1"/>
          <w:bCs w:val="1"/>
          <w:i w:val="1"/>
          <w:iCs w:val="1"/>
          <w:color w:val="auto"/>
        </w:rPr>
        <w:t>covered products</w:t>
      </w:r>
      <w:r>
        <w:rPr>
          <w:rFonts w:ascii="Arial" w:cs="Arial" w:eastAsia="Arial" w:hAnsi="Arial"/>
          <w:sz w:val="16"/>
          <w:szCs w:val="16"/>
          <w:color w:val="auto"/>
        </w:rPr>
        <w: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covered products, organized by Group, are as follows: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 xml:space="preserve">Reservoir Characterization </w:t>
      </w:r>
      <w:r>
        <w:rPr>
          <w:rFonts w:ascii="Arial" w:cs="Arial" w:eastAsia="Arial" w:hAnsi="Arial"/>
          <w:sz w:val="17"/>
          <w:szCs w:val="17"/>
          <w:color w:val="auto"/>
        </w:rPr>
        <w:t>— permanent multiphase meters; subsea safety valves; oil, gas and core analysis laboratory equipment; seismic land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acquisition systems; perforating hardware and accessories; </w:t>
      </w:r>
      <w:r>
        <w:rPr>
          <w:rFonts w:ascii="Arial" w:cs="Arial" w:eastAsia="Arial" w:hAnsi="Arial"/>
          <w:sz w:val="17"/>
          <w:szCs w:val="17"/>
          <w:i w:val="1"/>
          <w:iCs w:val="1"/>
          <w:color w:val="auto"/>
        </w:rPr>
        <w:t>Drilling</w:t>
      </w:r>
      <w:r>
        <w:rPr>
          <w:rFonts w:ascii="Arial" w:cs="Arial" w:eastAsia="Arial" w:hAnsi="Arial"/>
          <w:sz w:val="17"/>
          <w:szCs w:val="17"/>
          <w:color w:val="auto"/>
        </w:rPr>
        <w:t xml:space="preserve"> — downhole drilling tools; solids and pressure control equipment for drilling fluids systems; data acquisition equipment for drilling operations; </w:t>
      </w:r>
      <w:r>
        <w:rPr>
          <w:rFonts w:ascii="Arial" w:cs="Arial" w:eastAsia="Arial" w:hAnsi="Arial"/>
          <w:sz w:val="17"/>
          <w:szCs w:val="17"/>
          <w:i w:val="1"/>
          <w:iCs w:val="1"/>
          <w:color w:val="auto"/>
        </w:rPr>
        <w:t>Production</w:t>
      </w:r>
      <w:r>
        <w:rPr>
          <w:rFonts w:ascii="Arial" w:cs="Arial" w:eastAsia="Arial" w:hAnsi="Arial"/>
          <w:sz w:val="17"/>
          <w:szCs w:val="17"/>
          <w:color w:val="auto"/>
        </w:rPr>
        <w:t xml:space="preserve"> — surface and downhole completions tools; artificial lift pumps; stimulation pumping and cementing equipment; and groundwater monitoring products; </w:t>
      </w:r>
      <w:r>
        <w:rPr>
          <w:rFonts w:ascii="Arial" w:cs="Arial" w:eastAsia="Arial" w:hAnsi="Arial"/>
          <w:sz w:val="17"/>
          <w:szCs w:val="17"/>
          <w:i w:val="1"/>
          <w:iCs w:val="1"/>
          <w:color w:val="auto"/>
        </w:rPr>
        <w:t>Cameron</w:t>
      </w:r>
      <w:r>
        <w:rPr>
          <w:rFonts w:ascii="Arial" w:cs="Arial" w:eastAsia="Arial" w:hAnsi="Arial"/>
          <w:sz w:val="17"/>
          <w:szCs w:val="17"/>
          <w:color w:val="auto"/>
        </w:rPr>
        <w:t xml:space="preserve"> — Drilling equipment packages, blowout preventers, drilling risers, top drives, draw works, complete wellhead and Christmas tree systems for onshore and offshore applications, subsea production systems and manifolds and aftermarket parts, valves, actuators, chokes and aftermarket parts and measurement products that include totalizers, turbine meters, flow computers, chart recorders, ultrasonic flow meters and sampling system, oil and gas separation equipment, heaters, dehydration and desalting units, gas conditioning units, membrane separation systems, water processing systems, and controls.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Design and Process</w:t>
      </w:r>
    </w:p>
    <w:p>
      <w:pPr>
        <w:spacing w:after="0" w:line="121"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Our due diligence efforts were designed to conform in all material respects to the framework in the Organisation for Economic Co-operation and Development’s “OECD Due Diligence Guidance for Responsible Supply Chains of Minerals from Conflict-Affected and High-Risk Areas” and related Supplements on Gold and on Tin, Tantalum and Tungsten (collectively, the “</w:t>
      </w:r>
      <w:r>
        <w:rPr>
          <w:rFonts w:ascii="Arial" w:cs="Arial" w:eastAsia="Arial" w:hAnsi="Arial"/>
          <w:sz w:val="18"/>
          <w:szCs w:val="18"/>
          <w:b w:val="1"/>
          <w:bCs w:val="1"/>
          <w:i w:val="1"/>
          <w:iCs w:val="1"/>
          <w:color w:val="auto"/>
        </w:rPr>
        <w:t>OECD Guidance</w:t>
      </w:r>
      <w:r>
        <w:rPr>
          <w:rFonts w:ascii="Arial" w:cs="Arial" w:eastAsia="Arial" w:hAnsi="Arial"/>
          <w:sz w:val="18"/>
          <w:szCs w:val="18"/>
          <w:color w:val="auto"/>
        </w:rPr>
        <w: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is a description of the measures that we took to exercise due diligence on the source and chain of custody of necessary conflict minerals contained in our covered products.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Step 1: Company Management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Policy</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adopted a policy relating to conflict minerals in our products (the “</w:t>
      </w:r>
      <w:r>
        <w:rPr>
          <w:rFonts w:ascii="Arial" w:cs="Arial" w:eastAsia="Arial" w:hAnsi="Arial"/>
          <w:sz w:val="18"/>
          <w:szCs w:val="18"/>
          <w:b w:val="1"/>
          <w:bCs w:val="1"/>
          <w:i w:val="1"/>
          <w:iCs w:val="1"/>
          <w:color w:val="auto"/>
        </w:rPr>
        <w:t>Conflict Minerals Policy</w:t>
      </w:r>
      <w:r>
        <w:rPr>
          <w:rFonts w:ascii="Arial" w:cs="Arial" w:eastAsia="Arial" w:hAnsi="Arial"/>
          <w:sz w:val="18"/>
          <w:szCs w:val="18"/>
          <w:color w:val="auto"/>
        </w:rPr>
        <w:t>”), incorporating relevant standards contained in the OECD Guidance, which is available at http://www.slb.com/about/accountability/conflict_minerals.aspx. The Conflict Minerals Policy iterates our commitment to responsibly source materials from suppliers that share our values. It reflects our expectation that our immediate (“</w:t>
      </w:r>
      <w:r>
        <w:rPr>
          <w:rFonts w:ascii="Arial" w:cs="Arial" w:eastAsia="Arial" w:hAnsi="Arial"/>
          <w:sz w:val="18"/>
          <w:szCs w:val="18"/>
          <w:b w:val="1"/>
          <w:bCs w:val="1"/>
          <w:i w:val="1"/>
          <w:iCs w:val="1"/>
          <w:color w:val="auto"/>
        </w:rPr>
        <w:t>Tier 1</w:t>
      </w:r>
      <w:r>
        <w:rPr>
          <w:rFonts w:ascii="Arial" w:cs="Arial" w:eastAsia="Arial" w:hAnsi="Arial"/>
          <w:sz w:val="18"/>
          <w:szCs w:val="18"/>
          <w:color w:val="auto"/>
        </w:rPr>
        <w:t>”) suppliers will perform due diligence similar to ours on the sources of conflict minerals in their supply chains, and our expectation that they will require their own suppliers to do the same. It further provides generally that when a robust and validated conflict-free supply chain is established or a robust mineral tracing program is developed, we will expect our direct suppliers to procure only minerals using that validated supply chain, so as to avoid the use of minerals that have financed conflict in the covered countries.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Management Teams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Members of our business, legal, engineering, procurement and sourcing, and information technology functions comprised a core team that was involved in various phases of our compliance with the Rule. Members of this core team have put in place processes and controls reasonably designed to increase transparency in our conflict minerals supply chain. The core team formally reports to senior management on the progress of its compliance efforts throughout the Company and promotes consistency in interpretation of the Rule and industry practice and in implementation of our compliance efforts. Members of the core team annually present to their respective business unit Presidents a final, formal review of: (a) their findings as to the source and status of the necessary conflict minerals contained in the covered products sold by their business unit; and (b) their unit’s due diligence efforts.</w:t>
      </w:r>
    </w:p>
    <w:p>
      <w:pPr>
        <w:spacing w:after="0" w:line="165" w:lineRule="exact"/>
        <w:rPr>
          <w:sz w:val="20"/>
          <w:szCs w:val="20"/>
          <w:color w:val="auto"/>
        </w:rPr>
      </w:pPr>
    </w:p>
    <w:p>
      <w:pPr>
        <w:jc w:val="both"/>
        <w:ind w:right="660" w:firstLine="456"/>
        <w:spacing w:after="0" w:line="312" w:lineRule="auto"/>
        <w:rPr>
          <w:sz w:val="20"/>
          <w:szCs w:val="20"/>
          <w:color w:val="auto"/>
        </w:rPr>
      </w:pPr>
      <w:r>
        <w:rPr>
          <w:rFonts w:ascii="Arial" w:cs="Arial" w:eastAsia="Arial" w:hAnsi="Arial"/>
          <w:sz w:val="16"/>
          <w:szCs w:val="16"/>
          <w:color w:val="auto"/>
        </w:rPr>
        <w:t>We have a steering committee comprised of executive-level representatives of our procurement and sourcing, engineering, manufacturing and sustaining, and legal functions. The steering committee is responsible for implementing our conflict minerals compliance strategy; setting the general direction of our conflict minerals compliance efforts; and allocating sufficient resources in the cross-functional core team efforts.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Systems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have (a) adopted various processes related to our conflict minerals compliance efforts and determinations; (b) adopted standardized data templates for all business units to ensure consistency across various information technology systems; (c) adopted a procedure in our engineering design and manufacturing systems that requires the recording of necessary conflict mineral contents of newly-developed parts included in our products; (d) improved our electronic repository to retain relevant documentation concerning our conflict minerals compliance efforts and determinations; and (e) adopted written summaries, reviewed by the President of each relevant business unit, describing how each such business unit complied with the Rule and which of its products were subject to the Rule. In addition, certain employees from our legal, engineering, manufacturing, sustaining, procurement and sourcing, sales, finance and compliance functions are targeted for annual training and certification.</w:t>
      </w:r>
    </w:p>
    <w:p>
      <w:pPr>
        <w:spacing w:after="0" w:line="178"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As we do not, except in very rare instances, have direct relationships with conflict mineral smelters and refiners (“</w:t>
      </w:r>
      <w:r>
        <w:rPr>
          <w:rFonts w:ascii="Arial" w:cs="Arial" w:eastAsia="Arial" w:hAnsi="Arial"/>
          <w:sz w:val="17"/>
          <w:szCs w:val="17"/>
          <w:b w:val="1"/>
          <w:bCs w:val="1"/>
          <w:i w:val="1"/>
          <w:iCs w:val="1"/>
          <w:color w:val="auto"/>
        </w:rPr>
        <w:t>SORs</w:t>
      </w:r>
      <w:r>
        <w:rPr>
          <w:rFonts w:ascii="Arial" w:cs="Arial" w:eastAsia="Arial" w:hAnsi="Arial"/>
          <w:sz w:val="17"/>
          <w:szCs w:val="17"/>
          <w:color w:val="auto"/>
        </w:rPr>
        <w:t>”), we engaged with others in our industry to compare and assess due diligence practices, identify SORs in our supply chains and formulate potential improvements in our ongoing due diligence efforts. We implemented a supply chain transparency system through the use of due diligence tools developed by the Conflict-Free Sourcing Initiative (“</w:t>
      </w:r>
      <w:r>
        <w:rPr>
          <w:rFonts w:ascii="Arial" w:cs="Arial" w:eastAsia="Arial" w:hAnsi="Arial"/>
          <w:sz w:val="17"/>
          <w:szCs w:val="17"/>
          <w:b w:val="1"/>
          <w:bCs w:val="1"/>
          <w:i w:val="1"/>
          <w:iCs w:val="1"/>
          <w:color w:val="auto"/>
        </w:rPr>
        <w:t>CFSI</w:t>
      </w:r>
      <w:r>
        <w:rPr>
          <w:rFonts w:ascii="Arial" w:cs="Arial" w:eastAsia="Arial" w:hAnsi="Arial"/>
          <w:sz w:val="17"/>
          <w:szCs w:val="17"/>
          <w:color w:val="auto"/>
        </w:rPr>
        <w:t>”), including the CFSI’s Conflict Minerals Reporting Template (the “</w:t>
      </w:r>
      <w:r>
        <w:rPr>
          <w:rFonts w:ascii="Arial" w:cs="Arial" w:eastAsia="Arial" w:hAnsi="Arial"/>
          <w:sz w:val="17"/>
          <w:szCs w:val="17"/>
          <w:b w:val="1"/>
          <w:bCs w:val="1"/>
          <w:i w:val="1"/>
          <w:iCs w:val="1"/>
          <w:color w:val="auto"/>
        </w:rPr>
        <w:t>Template</w:t>
      </w:r>
      <w:r>
        <w:rPr>
          <w:rFonts w:ascii="Arial" w:cs="Arial" w:eastAsia="Arial" w:hAnsi="Arial"/>
          <w:sz w:val="17"/>
          <w:szCs w:val="17"/>
          <w:color w:val="auto"/>
        </w:rPr>
        <w:t>”), which is designed to identify the SORs that process the conflict minerals in a company’s supply chain. We also support our suppliers’ use of validation, certification and audit programs on SORs upstream in our supply chain, such as those developed by CFSI; the ITRI Tin Supply Chain Initiative (“</w:t>
      </w:r>
      <w:r>
        <w:rPr>
          <w:rFonts w:ascii="Arial" w:cs="Arial" w:eastAsia="Arial" w:hAnsi="Arial"/>
          <w:sz w:val="17"/>
          <w:szCs w:val="17"/>
          <w:b w:val="1"/>
          <w:bCs w:val="1"/>
          <w:i w:val="1"/>
          <w:iCs w:val="1"/>
          <w:color w:val="auto"/>
        </w:rPr>
        <w:t>iTSCi</w:t>
      </w:r>
      <w:r>
        <w:rPr>
          <w:rFonts w:ascii="Arial" w:cs="Arial" w:eastAsia="Arial" w:hAnsi="Arial"/>
          <w:sz w:val="17"/>
          <w:szCs w:val="17"/>
          <w:color w:val="auto"/>
        </w:rPr>
        <w:t>”); Tungsten Industry – Conflict Mineral Council Framework; the London Bullion Market Association (“</w:t>
      </w:r>
      <w:r>
        <w:rPr>
          <w:rFonts w:ascii="Arial" w:cs="Arial" w:eastAsia="Arial" w:hAnsi="Arial"/>
          <w:sz w:val="17"/>
          <w:szCs w:val="17"/>
          <w:b w:val="1"/>
          <w:bCs w:val="1"/>
          <w:i w:val="1"/>
          <w:iCs w:val="1"/>
          <w:color w:val="auto"/>
        </w:rPr>
        <w:t>LBMA</w:t>
      </w:r>
      <w:r>
        <w:rPr>
          <w:rFonts w:ascii="Arial" w:cs="Arial" w:eastAsia="Arial" w:hAnsi="Arial"/>
          <w:sz w:val="17"/>
          <w:szCs w:val="17"/>
          <w:color w:val="auto"/>
        </w:rPr>
        <w:t>”); and the Responsible Jewellery Council (“</w:t>
      </w:r>
      <w:r>
        <w:rPr>
          <w:rFonts w:ascii="Arial" w:cs="Arial" w:eastAsia="Arial" w:hAnsi="Arial"/>
          <w:sz w:val="17"/>
          <w:szCs w:val="17"/>
          <w:b w:val="1"/>
          <w:bCs w:val="1"/>
          <w:i w:val="1"/>
          <w:iCs w:val="1"/>
          <w:color w:val="auto"/>
        </w:rPr>
        <w:t>RJC</w:t>
      </w:r>
      <w:r>
        <w:rPr>
          <w:rFonts w:ascii="Arial" w:cs="Arial" w:eastAsia="Arial" w:hAnsi="Arial"/>
          <w:sz w:val="17"/>
          <w:szCs w:val="17"/>
          <w:color w:val="auto"/>
        </w:rPr>
        <w:t>”).</w:t>
      </w:r>
    </w:p>
    <w:p>
      <w:pPr>
        <w:spacing w:after="0" w:line="178"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We also maintain a company-level grievance mechanism, as described in our Code of Conduct, that enables employees and others to anonymously report concerns, including any concerns regarding our conflict minerals supply chain. Throughout the year, we communicated this mechanism to our employees.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2: Identification and Assessment of Supply Chain Risks</w:t>
      </w:r>
    </w:p>
    <w:p>
      <w:pPr>
        <w:spacing w:after="0" w:line="11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order to identify and assess the risks in our supply chain, we first identified products for sale that we manufactured or contracted to manufacture in 2016 that contained, or that may have contained, necessary conflict minerals. We also identified any products that were manufactured, or contracted to be manufactured, by companies that we acquired in 2016, including Cameron. As stated above, we have adopted a procedure in our engineering design and manufacturing system that is reasonably designed to identify each necessary conflict mineral included in our products. We also conducted extensive research on our existing parts, particularly those that we had not confirmed in 2015. In cases where we determined that a necessary conflict mineral was contained in one of our parts, we identified that specific mineral and flagged both the part and finished product containing that part in our system. If, after our initial research, we were unable to determine whether a necessary conflict mineral was included in a part, we considered that part to be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scope of the Rule, and such part was internally flagged for additional research. For each new part developed or manufactured in 2016, the engineers and métiers in charge of providing materials for such part were required to indicate any necessary conflict minerals included in the part. Where we determined that a newly-developed part contained a necessary conflict mineral and that the finished product was in scope of the Rule, we included that part in our further information gathering efforts. We then identified our Tier 1 suppliers that supplied us with the parts and products considered to be in scope of the Rule.</w:t>
      </w:r>
    </w:p>
    <w:p>
      <w:pPr>
        <w:spacing w:after="0" w:line="15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a downstream company typically several tiers removed from mining operations and SORs, we must rely on our suppliers to provide information regarding the source and presence of necessary conflict minerals in our covered products. To that end, we engaged a third-party data collection and aggregation provider to assist us in conducting due diligence on our supply chain. Information was collected using the Template, which requested our Tier 1 suppliers to identify the SORs and countries of origin of the necessary conflict minerals they supplied to us and contained in our covered products, and to determine whether any such necessary conflict minerals came from recycled or scrap sources. In conducting due diligence, we prioritized obtaining responses from certain of our suppliers we deemed to be higher-risk, as determined based on their strategic importance to us; we communicated this priority to our third-party data collection and aggregation provider in an effort to increase the response rate of these higher-risk suppliers.</w:t>
      </w:r>
    </w:p>
    <w:p>
      <w:pPr>
        <w:spacing w:after="0" w:line="16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supplier engagement began with introductory emails to relevant Tier 1 suppliers, notifying them that we would be conducting appropriate due diligence regarding the presence, source and chain of custody for any necessary conflict minerals that may be contained in parts or products that we purchased from them. The emails also described our conflict minerals compliance program and the Rule. In an effort to increase awareness of our conflict minerals program, we provided suppliers with background materials describing the conflict minerals rule, including frequently asked questions (FAQs) regarding, among other things, conflict minerals tracing. We requested product-level information from our Tier 1 suppliers on the parts and products we purchased from them. Suppliers were allowed to submit multiple responses as necessary to address all such parts and products. We analyzed all responses to determine their scope. As described further in the “Results of Supply Chain Due Diligence” section below, we received more product-level responses for 2016 from our Tier 1 suppliers compared to 2015.</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pursued subsequent engagement with non-responsive suppliers, which included the following:</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sent multiple email reminders requesting survey completion;</w:t>
      </w:r>
    </w:p>
    <w:p>
      <w:pPr>
        <w:spacing w:after="0" w:line="130" w:lineRule="exact"/>
        <w:rPr>
          <w:rFonts w:ascii="Arial" w:cs="Arial" w:eastAsia="Arial" w:hAnsi="Arial"/>
          <w:sz w:val="18"/>
          <w:szCs w:val="18"/>
          <w:color w:val="auto"/>
        </w:rPr>
      </w:pPr>
    </w:p>
    <w:p>
      <w:pPr>
        <w:ind w:left="900" w:right="460" w:hanging="325"/>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suppliers who remained non-responsive after these email reminders were contacted by phone and offered assistance, including further information about the Rule, our conflict minerals program and clarification regarding how they could provide the required information; and</w:t>
      </w:r>
    </w:p>
    <w:p>
      <w:pPr>
        <w:spacing w:after="0" w:line="29" w:lineRule="exact"/>
        <w:rPr>
          <w:rFonts w:ascii="Arial" w:cs="Arial" w:eastAsia="Arial" w:hAnsi="Arial"/>
          <w:sz w:val="16"/>
          <w:szCs w:val="16"/>
          <w:color w:val="auto"/>
        </w:rPr>
      </w:pPr>
    </w:p>
    <w:p>
      <w:pPr>
        <w:ind w:left="900" w:right="2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following the above efforts, a supplier still did not provide the information requested, we further escalated the matter internally on a supplier risk priority basis and followed up directly with certain of these suppliers.</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reviewed and evaluated all supplier responses for consistency and completeness, both in terms of which products were said to contain or not contain necessary conflict minerals, as well as the origin of those materials. When necessary, we followed up with suppliers on responses to their reporting templates to seek clarifying or corrective information. Specifically, if a supplier indicated that a product it sold to Schlumberger did not contain conflict minerals, but we believed otherwise based on our analysis, we sent a letter to that supplier requesting (i) evidence that the product does not contain conflict minerals or</w:t>
      </w:r>
    </w:p>
    <w:p>
      <w:pPr>
        <w:spacing w:after="0" w:line="2" w:lineRule="exact"/>
        <w:rPr>
          <w:sz w:val="20"/>
          <w:szCs w:val="20"/>
          <w:color w:val="auto"/>
        </w:rPr>
      </w:pPr>
    </w:p>
    <w:p>
      <w:pPr>
        <w:jc w:val="both"/>
        <w:ind w:right="380" w:firstLine="8"/>
        <w:spacing w:after="0" w:line="277" w:lineRule="auto"/>
        <w:tabs>
          <w:tab w:leader="none" w:pos="265"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updated Template response indicating the results of such supplier’s due diligence on the source of any conflict minerals contained in such product. Finally, we sent a letter to those Tier 1 suppliers that stated that 25% or less of their supply chain had provided a response, encouraging these suppliers to obtain more transparency in their supply chain and reminding them of the expectations set forth in our Conflict Minerals Policy.</w:t>
      </w:r>
    </w:p>
    <w:p>
      <w:pPr>
        <w:spacing w:after="0" w:line="17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instances where a supplier identified a SOR and the source of its conflict minerals, we sought to verify this information with third-party databases, Internet searches, and reviews of government databases and industry/trade organization lists, including the list of known conflict minerals processing facilities worldwide published by the U.S. Department of Commerce. We also compared the SORs identified by suppliers in their responses to us against the list of compliant SORs published by CFSI’s Conflict-Free Smelter Program (the “</w:t>
      </w:r>
      <w:r>
        <w:rPr>
          <w:rFonts w:ascii="Arial" w:cs="Arial" w:eastAsia="Arial" w:hAnsi="Arial"/>
          <w:sz w:val="18"/>
          <w:szCs w:val="18"/>
          <w:b w:val="1"/>
          <w:bCs w:val="1"/>
          <w:i w:val="1"/>
          <w:iCs w:val="1"/>
          <w:color w:val="auto"/>
        </w:rPr>
        <w:t>CFSP</w:t>
      </w:r>
      <w:r>
        <w:rPr>
          <w:rFonts w:ascii="Arial" w:cs="Arial" w:eastAsia="Arial" w:hAnsi="Arial"/>
          <w:sz w:val="18"/>
          <w:szCs w:val="18"/>
          <w:color w:val="auto"/>
        </w:rPr>
        <w:t>”), the LBMA and the RJC. In some cases, a supplier identified a SOR and stated that its conflict minerals were not sourced from any of the covered countries. However, we were sometimes able to confirm, based on available information concerning the SOR identified, that the SOR was reported to source conflict minerals from one or more of the covered countries. In such cases, we communicated our findings to the supplier for further investigation. As a general matter, we requested that suppliers update their responses to us as more information became available to them.</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our review, we flagged certain responses when:</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SOR information was provided for a conflict mineral that was not used in the relevant part or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SOR information was not provided for a conflict mineral that was used in a relevant part or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SOR information provided could not be verified using the methods described above;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ind w:left="900" w:right="3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supplier indicated that it sourced conflict minerals from the covered countries, but none of the SORs listed were known to source from the region;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supplier indicated that it had not received conflict minerals data from all relevant suppliers;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supplier indicated that it had not identified all SORs from which it sourced conflict minerals for the relevant parts and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supplier indicated that it had not provided all applicable SOR information it received from its suppliers; or</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supplier indicated that all of the conflict minerals for the relevant parts and products originated from scrap/recycled sources, but one or more of the SORs listed were not known to be exclusive recyclers.</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We followed up on all flagged responses to clarify and address inconsistencies, incompleteness, invalid responses, uncertainties and responses indicating that relevant conflict minerals were or may have been sourced from one or more of the covered countries.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3: Strategy to Respond to Identified Risks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For any SORs that were known to source necessary conflict minerals from any of the covered countries, we attempted to confirm that such SORs were listed in the various lists of compliant SORs described above. In addition, we sent a communication to our suppliers who sourced from such SORs, asking that they acknowledge the source of the relevant conflict minerals. We also included a copy of our Conflict Minerals Policy. Additionally, we reached out to our Tier 1 suppliers that we determined to have sourced from any of the covered countries and recommended that such supplier join a group such as CFSI in order to obtain more current and accurate information regarding SORs and further to support industry efforts to achieve supply chain transparency.</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described in our Conflict Minerals Policy, in the event that we have reason to believe a supplier is supplying us with conflict minerals from sources that may support conflict in any of the covered countries, we will encourage that supplier to establish an alternative source of conflict minerals that does not support such conflict, or we may consider reevaluating the supplier relationship. If a Tier 1 supplier (i) has been unresponsive or otherwise uncooperative in our due diligence efforts or (ii) is not compliant with our Conflict Minerals Policy and is unwilling to expect its own suppliers to use conflict-free sources, then we may likewise reassess the supplier relationship. As described above, we support the use of validation, certification and audit programs for SORs in our supply chain.</w:t>
      </w:r>
    </w:p>
    <w:p>
      <w:pPr>
        <w:spacing w:after="0" w:line="19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supplier engagement efforts described above in “Step 2: Identification and Assessment of Supply Chain Risks” also support our risk mitigation efforts.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4: Independent Third-Party Audit of SORs’ Due Diligence Practices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As stated above, we are typically several tiers removed from mining operations and SORs, rendering transparency of our supply chain very difficult. Furthermore, except in rare instances, we do not have direct relationships with SORs and do not perform direct audits of the entities within our supply chain. Accordingly, we rely on our suppliers to provide the information necessary to assess compliance with our conflict minerals program and support the development and implementation of independent third party audits of SORs’ sourcing, such as the CFSP. For any Tier 1 supplier that we determined to have sourced from any of the covered countries, we recommend such supplier join a group such as the CFSI in order to obtain more current and accurate information regarding SORs and further to support industry efforts to achieve transparency.</w:t>
      </w:r>
    </w:p>
    <w:p>
      <w:pPr>
        <w:spacing w:after="0" w:line="178"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We use a third party to aid in verifying the information supplied by our suppliers with respect to the SORs that they source from, and to review and confirm the validity of the CFSI, RJC and LBMA certifications of those SORs. In some cases, our third party reaches out directly to SORs as necessary to confirm the information either publicly available or made available in reporting template responses that may be contradictory or incomplete.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5: Report on Supply Chain Due Diligence</w:t>
      </w:r>
    </w:p>
    <w:p>
      <w:pPr>
        <w:spacing w:after="0" w:line="117" w:lineRule="exact"/>
        <w:rPr>
          <w:sz w:val="20"/>
          <w:szCs w:val="20"/>
          <w:color w:val="auto"/>
        </w:rPr>
      </w:pPr>
    </w:p>
    <w:p>
      <w:pPr>
        <w:ind w:right="2700" w:firstLine="456"/>
        <w:spacing w:after="0" w:line="264" w:lineRule="auto"/>
        <w:rPr>
          <w:sz w:val="20"/>
          <w:szCs w:val="20"/>
          <w:color w:val="auto"/>
        </w:rPr>
      </w:pPr>
      <w:r>
        <w:rPr>
          <w:rFonts w:ascii="Arial" w:cs="Arial" w:eastAsia="Arial" w:hAnsi="Arial"/>
          <w:sz w:val="18"/>
          <w:szCs w:val="18"/>
          <w:color w:val="auto"/>
        </w:rPr>
        <w:t>As indicated in the Specialized Disclosure Report on Form SD, this Report is publicly available on our website at http://www.slb.com/about/accountability/conflict_minerals.aspx. Our Conflict Minerals Policy also is available at http://www.slb.com/about/accountability/conflict_minerals.aspx.</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Supply Chain Due Diligence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2016, we sent the Template to 3,391 suppliers and received completed responses from approximately 56% of these suppliers. We tripled the number of suppliers to which we sent the Template as compared to 2015, due to our acquisition of Cameron. As part of our risk identification and mitigation efforts, we focused on obtaining responses from our top suppliers, based on strategic importance. The following table lists the response rate and certain other information for our suppliers.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4"/>
                <w:szCs w:val="14"/>
                <w:color w:val="auto"/>
              </w:rPr>
              <w:t>Supplier Rank</w:t>
            </w:r>
          </w:p>
        </w:tc>
        <w:tc>
          <w:tcPr>
            <w:tcW w:w="4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28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color w:val="auto"/>
                <w:w w:val="90"/>
              </w:rPr>
              <w:t>(Strategic Importance)</w:t>
            </w:r>
          </w:p>
        </w:tc>
        <w:tc>
          <w:tcPr>
            <w:tcW w:w="5620" w:type="dxa"/>
            <w:vAlign w:val="bottom"/>
            <w:gridSpan w:val="3"/>
          </w:tcPr>
          <w:p>
            <w:pPr>
              <w:jc w:val="right"/>
              <w:ind w:right="620"/>
              <w:spacing w:after="0"/>
              <w:rPr>
                <w:sz w:val="20"/>
                <w:szCs w:val="20"/>
                <w:color w:val="auto"/>
              </w:rPr>
            </w:pPr>
            <w:r>
              <w:rPr>
                <w:rFonts w:ascii="Arial" w:cs="Arial" w:eastAsia="Arial" w:hAnsi="Arial"/>
                <w:sz w:val="14"/>
                <w:szCs w:val="14"/>
                <w:color w:val="auto"/>
              </w:rPr>
              <w:t>Response Rate</w:t>
            </w:r>
          </w:p>
        </w:tc>
        <w:tc>
          <w:tcPr>
            <w:tcW w:w="1760" w:type="dxa"/>
            <w:vAlign w:val="bottom"/>
            <w:gridSpan w:val="3"/>
          </w:tcPr>
          <w:p>
            <w:pPr>
              <w:ind w:left="480"/>
              <w:spacing w:after="0"/>
              <w:rPr>
                <w:sz w:val="20"/>
                <w:szCs w:val="20"/>
                <w:color w:val="auto"/>
              </w:rPr>
            </w:pPr>
            <w:r>
              <w:rPr>
                <w:rFonts w:ascii="Arial" w:cs="Arial" w:eastAsia="Arial" w:hAnsi="Arial"/>
                <w:sz w:val="14"/>
                <w:szCs w:val="14"/>
                <w:color w:val="auto"/>
                <w:w w:val="98"/>
              </w:rPr>
              <w:t>Number of Suppliers</w:t>
            </w:r>
          </w:p>
        </w:tc>
      </w:tr>
      <w:tr>
        <w:trPr>
          <w:trHeight w:val="21"/>
        </w:trPr>
        <w:tc>
          <w:tcPr>
            <w:tcW w:w="20" w:type="dxa"/>
            <w:vAlign w:val="bottom"/>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Top</w:t>
            </w:r>
          </w:p>
        </w:tc>
        <w:tc>
          <w:tcPr>
            <w:tcW w:w="4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w:t>
            </w: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High</w:t>
            </w:r>
          </w:p>
        </w:tc>
        <w:tc>
          <w:tcPr>
            <w:tcW w:w="5620" w:type="dxa"/>
            <w:vAlign w:val="bottom"/>
            <w:gridSpan w:val="3"/>
          </w:tcPr>
          <w:p>
            <w:pPr>
              <w:jc w:val="right"/>
              <w:ind w:right="460"/>
              <w:spacing w:after="0"/>
              <w:rPr>
                <w:sz w:val="20"/>
                <w:szCs w:val="20"/>
                <w:color w:val="auto"/>
              </w:rPr>
            </w:pPr>
            <w:r>
              <w:rPr>
                <w:rFonts w:ascii="Arial" w:cs="Arial" w:eastAsia="Arial" w:hAnsi="Arial"/>
                <w:sz w:val="18"/>
                <w:szCs w:val="18"/>
                <w:color w:val="auto"/>
              </w:rPr>
              <w:t>59%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Medium</w:t>
            </w:r>
          </w:p>
        </w:tc>
        <w:tc>
          <w:tcPr>
            <w:tcW w:w="5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Low</w:t>
            </w:r>
          </w:p>
        </w:tc>
        <w:tc>
          <w:tcPr>
            <w:tcW w:w="5620" w:type="dxa"/>
            <w:vAlign w:val="bottom"/>
            <w:gridSpan w:val="3"/>
          </w:tcPr>
          <w:p>
            <w:pPr>
              <w:jc w:val="right"/>
              <w:ind w:right="460"/>
              <w:spacing w:after="0"/>
              <w:rPr>
                <w:sz w:val="20"/>
                <w:szCs w:val="20"/>
                <w:color w:val="auto"/>
              </w:rPr>
            </w:pPr>
            <w:r>
              <w:rPr>
                <w:rFonts w:ascii="Arial" w:cs="Arial" w:eastAsia="Arial" w:hAnsi="Arial"/>
                <w:sz w:val="18"/>
                <w:szCs w:val="18"/>
                <w:color w:val="auto"/>
              </w:rPr>
              <w:t>46%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1232</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Many of the respondents indicated that they had not finished the due diligence on their supply chains and were still completing the Template. As indicated above, we requested information from our suppliers at the product level; 75% of the completed Templates provided information at the product level, as compared to 69% in the previous year.</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For the responses we received at the company, rather than product, level, we do not know whether the SORs listed actually supplied conflict minerals that we used in our covered products. Therefore, such SORs are not included in the tables below of the SORs that we know to have processed the necessary conflict minerals contained in our covered products.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responses we received at the product level, 333 SORs, organized by type of metal, are listed in the tables below. Based on our due diligence, we identified 65 verified SORs that source conflict minerals from one or more of the covered countries. 64 of these SORs are certified with a recognized certification body. The one remaining tin SOR was a CFSI certified smelter as of April 2016; however, it no longer processes tin and became a non-processor in September 2016 when it ceased operations.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Future Process Improvements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Merger and acquisition procedures — </w:t>
      </w:r>
      <w:r>
        <w:rPr>
          <w:rFonts w:ascii="Arial" w:cs="Arial" w:eastAsia="Arial" w:hAnsi="Arial"/>
          <w:sz w:val="16"/>
          <w:szCs w:val="16"/>
          <w:color w:val="auto"/>
        </w:rPr>
        <w:t>As a result of our 2016 acquisition of Cameron and upon review of our procedures following this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in 2016, we determined that additional steps were warranted to reasonably ensure that all covered products and all Tier 1 suppliers are captured in accordance with the Rule when newly-acquired businesses are integrated into Schlumberger. Pursuant to the Rule, we are permitted to delay reporting on products manufactured, or contracted to be manufactured, by any business we acquire for an eight-month grace period if the acquired business was not previously obligated to make a filing with respect to the conflict minerals in its products. However, this grace period does not apply to products of acquired public companies, such as Cameron, that were obligated to make conflict minerals filings under the Rule prior to their acquisition. We will update our processes related to our conflict minerals compliance efforts to include an annual confirmation that all newly-acquired product lines and any reorganized businesses are captured by the relevant Group, as necessary, during their product reporting. In addition, we will update our due diligence procedures for new acquisitions to include flags to notify the conflict minerals core team when newly acquired businesses may sell covered products.</w:t>
      </w:r>
    </w:p>
    <w:p>
      <w:pPr>
        <w:spacing w:after="0" w:line="16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i w:val="1"/>
          <w:iCs w:val="1"/>
          <w:color w:val="auto"/>
        </w:rPr>
        <w:t xml:space="preserve">Supplier engagement — </w:t>
      </w:r>
      <w:r>
        <w:rPr>
          <w:rFonts w:ascii="Arial" w:cs="Arial" w:eastAsia="Arial" w:hAnsi="Arial"/>
          <w:sz w:val="17"/>
          <w:szCs w:val="17"/>
          <w:color w:val="auto"/>
        </w:rPr>
        <w:t>We received responses from 56% our Tier 1 suppliers for 2016, as opposed to 58% for 2015. We will continue to engage with</w:t>
      </w:r>
      <w:r>
        <w:rPr>
          <w:rFonts w:ascii="Arial" w:cs="Arial" w:eastAsia="Arial" w:hAnsi="Arial"/>
          <w:sz w:val="17"/>
          <w:szCs w:val="17"/>
          <w:i w:val="1"/>
          <w:iCs w:val="1"/>
          <w:color w:val="auto"/>
        </w:rPr>
        <w:t xml:space="preserve"> </w:t>
      </w:r>
      <w:r>
        <w:rPr>
          <w:rFonts w:ascii="Arial" w:cs="Arial" w:eastAsia="Arial" w:hAnsi="Arial"/>
          <w:sz w:val="17"/>
          <w:szCs w:val="17"/>
          <w:color w:val="auto"/>
        </w:rPr>
        <w:t>our Tier 1 suppliers to attempt to increase supply chain transparency, including by following up with unresponsive suppliers. In addition, we will work with our Tier 1 suppliers to obtain even more product-level responses. As stated above, 75% of our supplier responses for 2016 were at the product level, as compared to 69% for 2015, despite a three-fold increase in our covered suppliers due to our acquisition of Cameron.</w:t>
      </w:r>
    </w:p>
    <w:p>
      <w:pPr>
        <w:spacing w:after="0" w:line="17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i w:val="1"/>
          <w:iCs w:val="1"/>
          <w:color w:val="auto"/>
        </w:rPr>
        <w:t xml:space="preserve">Educational certification </w:t>
      </w:r>
      <w:r>
        <w:rPr>
          <w:rFonts w:ascii="Arial" w:cs="Arial" w:eastAsia="Arial" w:hAnsi="Arial"/>
          <w:sz w:val="17"/>
          <w:szCs w:val="17"/>
          <w:color w:val="auto"/>
        </w:rPr>
        <w:t>— More than 80% of our employees targeted for training on the Rule completed their annual training in 2016, including our</w:t>
      </w:r>
      <w:r>
        <w:rPr>
          <w:rFonts w:ascii="Arial" w:cs="Arial" w:eastAsia="Arial" w:hAnsi="Arial"/>
          <w:sz w:val="17"/>
          <w:szCs w:val="17"/>
          <w:i w:val="1"/>
          <w:iCs w:val="1"/>
          <w:color w:val="auto"/>
        </w:rPr>
        <w:t xml:space="preserve"> </w:t>
      </w:r>
      <w:r>
        <w:rPr>
          <w:rFonts w:ascii="Arial" w:cs="Arial" w:eastAsia="Arial" w:hAnsi="Arial"/>
          <w:sz w:val="17"/>
          <w:szCs w:val="17"/>
          <w:color w:val="auto"/>
        </w:rPr>
        <w:t>new Cameron employees. These employees are members of the legal, engineering, manufacturing, sustaining, procurement and sourcing, sales, finance and compliance functions. We will continue targeted annual training and seek to improve the completion percentage, while also targeting new employees, including those from the various acquisitions in 2017. We will also develop additional training materials for enhanced understanding of various procedures for targeted employees who are integral to our reporting requirements under the Rule.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SORs and Countries of Origin</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table below lists the SORs known to us to have supplied necessary conflict minerals contained in our covered products and that sourced conflict minerals from one or more of the covered countries: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Metal</w:t>
            </w:r>
          </w:p>
        </w:tc>
        <w:tc>
          <w:tcPr>
            <w:tcW w:w="36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5"/>
                <w:szCs w:val="15"/>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5"/>
                <w:szCs w:val="15"/>
                <w:color w:val="auto"/>
              </w:rPr>
            </w:pPr>
          </w:p>
        </w:tc>
        <w:tc>
          <w:tcPr>
            <w:tcW w:w="4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Mine Countries of Origin</w:t>
            </w:r>
          </w:p>
        </w:tc>
      </w:tr>
      <w:tr>
        <w:trPr>
          <w:trHeight w:val="296"/>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Almalyk Mining and Metallurgical Complex</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9"/>
              </w:rPr>
              <w:t>DRC- Congo (Kinshasa), Argentina, United States, Japan,</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(AMMC)</w:t>
            </w: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Uzbekistan, Zambia, Switzerland, Canada, China, Brazil,</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Mexico, Australia, Chile, Peru, Germany</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Asaka Riken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Armenia, Burundi, Mozambique, Niger, Japan, Rwanda,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Mexico, Nigeria</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CCR Refinery - Glencore Canada Corporation</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9"/>
              </w:rPr>
              <w:t>DRC- Congo (Kinshasa), Argentina, United States, Japan,</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Zambia, Switzerland, Canada, China, Australia, Chile, Peru,</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Germany, Indonesia</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Jiangxi Copper Company Limited</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States, China, Japan, Rwanda, Chile</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Mitsubishi Materials Corporation</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Austria, Mongolia, Papua New Guinea, Mozambique,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Hong Kong, Japan, United Kingdom, Congo (Brazzaville),</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Chile</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Nihon Material Co., Ltd.</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8"/>
              </w:rPr>
              <w:t>DRC- Congo (Kinshasa), Niger, Japan, Rwanda, Malaysia,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Thailand, Bolivia, Portugal, Switzerland, Spain,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9"/>
              </w:rPr>
              <w:t>Mozambique, China, Brazil, Chile, Australia, Nigeria, Peru,</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Prioksky Plant of Non-Ferrous Metals</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Russian Federation, Japan, Rwanda, Sierra Leone, Bolivia,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India, Canada, Mozambique, Namibia, China, Brazil,</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Zimbabwe, Australia, Germany, Ethiopia</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Rand Refinery (Pty) Ltd.</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9"/>
              </w:rPr>
              <w:t>DRC- Congo (Kinshasa), Hong Kong, Guinea, Philippines,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9"/>
              </w:rPr>
              <w:t>Tanzania, Ghana, Malaysia, Switzerland, Canada,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Mozambique, Mali, Namibia, China, South Africa, Jersey,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Australia, Germany</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Samduck Precious Metals</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United States, Japan, Rwanda, Sierra Leone, Thailand, Bolivia,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India, Canada, Mozambique, Namibia, China, Brazil, Korea,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Zimbabwe, Australia, Germany, Ethiopia</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rPr>
              <w:t>Changsha South Tantalum Niobium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DRC- Congo (Kinshasa), Canada, Russian Federation,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Mozambique, China, Brazil, Australia, Thailand</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rPr>
              <w:t>Conghua Tantalum and Niobium Smeltry</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Malaysia, Kazakhstan, Portugal, Mongolia,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Mozambique, Luxembourg, Korea, Brazil, Guyana,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5"/>
              </w:rPr>
              <w:t>Laos, Ecuador, Colombia, Argentina, South Sudan, Hungary,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Japan, Tanzania, Zambia, Congo</w:t>
            </w:r>
          </w:p>
        </w:tc>
      </w:tr>
      <w:tr>
        <w:trPr>
          <w:trHeight w:val="365"/>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4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3880" w:type="dxa"/>
            <w:vAlign w:val="bottom"/>
          </w:tcPr>
          <w:p>
            <w:pPr>
              <w:ind w:left="400"/>
              <w:spacing w:after="0"/>
              <w:rPr>
                <w:sz w:val="20"/>
                <w:szCs w:val="20"/>
                <w:color w:val="auto"/>
              </w:rPr>
            </w:pPr>
            <w:r>
              <w:rPr>
                <w:rFonts w:ascii="Arial" w:cs="Arial" w:eastAsia="Arial" w:hAnsi="Arial"/>
                <w:sz w:val="18"/>
                <w:szCs w:val="18"/>
                <w:color w:val="auto"/>
              </w:rPr>
              <w:t>Duoluoshan</w:t>
            </w:r>
          </w:p>
        </w:tc>
        <w:tc>
          <w:tcPr>
            <w:tcW w:w="820" w:type="dxa"/>
            <w:vAlign w:val="bottom"/>
          </w:tcPr>
          <w:p>
            <w:pPr>
              <w:ind w:left="280"/>
              <w:spacing w:after="0"/>
              <w:rPr>
                <w:sz w:val="20"/>
                <w:szCs w:val="20"/>
                <w:color w:val="auto"/>
              </w:rPr>
            </w:pPr>
            <w:r>
              <w:rPr>
                <w:rFonts w:ascii="Arial" w:cs="Arial" w:eastAsia="Arial" w:hAnsi="Arial"/>
                <w:sz w:val="18"/>
                <w:szCs w:val="18"/>
                <w:color w:val="auto"/>
              </w:rPr>
              <w:t>CFSP</w:t>
            </w:r>
          </w:p>
        </w:tc>
        <w:tc>
          <w:tcPr>
            <w:tcW w:w="5600" w:type="dxa"/>
            <w:vAlign w:val="bottom"/>
          </w:tcPr>
          <w:p>
            <w:pPr>
              <w:ind w:left="20"/>
              <w:spacing w:after="0"/>
              <w:rPr>
                <w:sz w:val="20"/>
                <w:szCs w:val="20"/>
                <w:color w:val="auto"/>
              </w:rPr>
            </w:pPr>
            <w:r>
              <w:rPr>
                <w:rFonts w:ascii="Arial" w:cs="Arial" w:eastAsia="Arial" w:hAnsi="Arial"/>
                <w:sz w:val="18"/>
                <w:szCs w:val="18"/>
                <w:color w:val="auto"/>
                <w:w w:val="95"/>
              </w:rPr>
              <w:t>Myanmar, Angola, Cambodia, Malaysia, Kazakhstan, Portugal, Mongolia,</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Luxembourg, Korea, Guyana, Brazil, Chile, Laos, Colombia, Ecuador,</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Argentina, Hungary, South Sudan, Japan, Tanzania, Zambia, Congo</w:t>
            </w:r>
          </w:p>
        </w:tc>
      </w:tr>
      <w:tr>
        <w:trPr>
          <w:trHeight w:val="230"/>
        </w:trPr>
        <w:tc>
          <w:tcPr>
            <w:tcW w:w="1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(Brazzaville), India, Canada, Belgium, Nambia</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3880" w:type="dxa"/>
            <w:vAlign w:val="bottom"/>
          </w:tcPr>
          <w:p>
            <w:pPr>
              <w:ind w:left="400"/>
              <w:spacing w:after="0"/>
              <w:rPr>
                <w:sz w:val="20"/>
                <w:szCs w:val="20"/>
                <w:color w:val="auto"/>
              </w:rPr>
            </w:pPr>
            <w:r>
              <w:rPr>
                <w:rFonts w:ascii="Arial" w:cs="Arial" w:eastAsia="Arial" w:hAnsi="Arial"/>
                <w:sz w:val="18"/>
                <w:szCs w:val="18"/>
                <w:color w:val="auto"/>
              </w:rPr>
              <w:t>F&amp;X Electro-Materials Ltd.</w:t>
            </w:r>
          </w:p>
        </w:tc>
        <w:tc>
          <w:tcPr>
            <w:tcW w:w="820" w:type="dxa"/>
            <w:vAlign w:val="bottom"/>
          </w:tcPr>
          <w:p>
            <w:pPr>
              <w:ind w:left="280"/>
              <w:spacing w:after="0"/>
              <w:rPr>
                <w:sz w:val="20"/>
                <w:szCs w:val="20"/>
                <w:color w:val="auto"/>
              </w:rPr>
            </w:pPr>
            <w:r>
              <w:rPr>
                <w:rFonts w:ascii="Arial" w:cs="Arial" w:eastAsia="Arial" w:hAnsi="Arial"/>
                <w:sz w:val="18"/>
                <w:szCs w:val="18"/>
                <w:color w:val="auto"/>
              </w:rPr>
              <w:t>CFSP</w:t>
            </w:r>
          </w:p>
        </w:tc>
        <w:tc>
          <w:tcPr>
            <w:tcW w:w="5600" w:type="dxa"/>
            <w:vAlign w:val="bottom"/>
          </w:tcPr>
          <w:p>
            <w:pPr>
              <w:ind w:left="20"/>
              <w:spacing w:after="0"/>
              <w:rPr>
                <w:sz w:val="20"/>
                <w:szCs w:val="20"/>
                <w:color w:val="auto"/>
              </w:rPr>
            </w:pPr>
            <w:r>
              <w:rPr>
                <w:rFonts w:ascii="Arial" w:cs="Arial" w:eastAsia="Arial" w:hAnsi="Arial"/>
                <w:sz w:val="18"/>
                <w:szCs w:val="18"/>
                <w:color w:val="auto"/>
              </w:rPr>
              <w:t>DRC- Congo (Kinshasa), Myanmar, Angola, Cambodia, Malaysia,</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Kazakhstan, Portugal, Mongolia, Austria, Luxembourg, Korea, Brazil,</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1"/>
              </w:rPr>
              <w:t>Guyana, Chile, Laos, Colombia, Ecuador, Argentina, South Sudan, Hungary,</w:t>
            </w:r>
          </w:p>
        </w:tc>
      </w:tr>
      <w:tr>
        <w:trPr>
          <w:trHeight w:val="230"/>
        </w:trPr>
        <w:tc>
          <w:tcPr>
            <w:tcW w:w="1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Japan, Tanzania, Zambia, Congo (Brazzaville)</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3880" w:type="dxa"/>
            <w:vAlign w:val="bottom"/>
          </w:tcPr>
          <w:p>
            <w:pPr>
              <w:ind w:left="400"/>
              <w:spacing w:after="0"/>
              <w:rPr>
                <w:sz w:val="20"/>
                <w:szCs w:val="20"/>
                <w:color w:val="auto"/>
              </w:rPr>
            </w:pPr>
            <w:r>
              <w:rPr>
                <w:rFonts w:ascii="Arial" w:cs="Arial" w:eastAsia="Arial" w:hAnsi="Arial"/>
                <w:sz w:val="18"/>
                <w:szCs w:val="18"/>
                <w:color w:val="auto"/>
              </w:rPr>
              <w:t>Global Advanced Metals Aizu</w:t>
            </w:r>
          </w:p>
        </w:tc>
        <w:tc>
          <w:tcPr>
            <w:tcW w:w="820" w:type="dxa"/>
            <w:vAlign w:val="bottom"/>
          </w:tcPr>
          <w:p>
            <w:pPr>
              <w:ind w:left="280"/>
              <w:spacing w:after="0"/>
              <w:rPr>
                <w:sz w:val="20"/>
                <w:szCs w:val="20"/>
                <w:color w:val="auto"/>
              </w:rPr>
            </w:pPr>
            <w:r>
              <w:rPr>
                <w:rFonts w:ascii="Arial" w:cs="Arial" w:eastAsia="Arial" w:hAnsi="Arial"/>
                <w:sz w:val="18"/>
                <w:szCs w:val="18"/>
                <w:color w:val="auto"/>
              </w:rPr>
              <w:t>CFSP</w:t>
            </w:r>
          </w:p>
        </w:tc>
        <w:tc>
          <w:tcPr>
            <w:tcW w:w="5600" w:type="dxa"/>
            <w:vAlign w:val="bottom"/>
          </w:tcPr>
          <w:p>
            <w:pPr>
              <w:ind w:left="20"/>
              <w:spacing w:after="0"/>
              <w:rPr>
                <w:sz w:val="20"/>
                <w:szCs w:val="20"/>
                <w:color w:val="auto"/>
              </w:rPr>
            </w:pPr>
            <w:r>
              <w:rPr>
                <w:rFonts w:ascii="Arial" w:cs="Arial" w:eastAsia="Arial" w:hAnsi="Arial"/>
                <w:sz w:val="18"/>
                <w:szCs w:val="18"/>
                <w:color w:val="auto"/>
              </w:rPr>
              <w:t>DRC- Congo (Kinshasa), Myanmar, Angola, Cambodia, Malaysia,</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8"/>
              </w:rPr>
              <w:t>Kazakhstan, Portugal, Mongolia, Austria, Luxembourg, Korea, Guyana,</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3"/>
              </w:rPr>
              <w:t>Brazil, Chile, Laos, Colombia, Ecuador, Argentina, South Sudan, Hungary,</w:t>
            </w:r>
          </w:p>
        </w:tc>
      </w:tr>
      <w:tr>
        <w:trPr>
          <w:trHeight w:val="230"/>
        </w:trPr>
        <w:tc>
          <w:tcPr>
            <w:tcW w:w="1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Japan, Tanzania, Zambia, Congo (Brazzaville)</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3880" w:type="dxa"/>
            <w:vAlign w:val="bottom"/>
          </w:tcPr>
          <w:p>
            <w:pPr>
              <w:ind w:left="400"/>
              <w:spacing w:after="0"/>
              <w:rPr>
                <w:sz w:val="20"/>
                <w:szCs w:val="20"/>
                <w:color w:val="auto"/>
              </w:rPr>
            </w:pPr>
            <w:r>
              <w:rPr>
                <w:rFonts w:ascii="Arial" w:cs="Arial" w:eastAsia="Arial" w:hAnsi="Arial"/>
                <w:sz w:val="18"/>
                <w:szCs w:val="18"/>
                <w:color w:val="auto"/>
              </w:rPr>
              <w:t>Global Advanced Metals Boyertown</w:t>
            </w:r>
          </w:p>
        </w:tc>
        <w:tc>
          <w:tcPr>
            <w:tcW w:w="820" w:type="dxa"/>
            <w:vAlign w:val="bottom"/>
          </w:tcPr>
          <w:p>
            <w:pPr>
              <w:ind w:left="280"/>
              <w:spacing w:after="0"/>
              <w:rPr>
                <w:sz w:val="20"/>
                <w:szCs w:val="20"/>
                <w:color w:val="auto"/>
              </w:rPr>
            </w:pPr>
            <w:r>
              <w:rPr>
                <w:rFonts w:ascii="Arial" w:cs="Arial" w:eastAsia="Arial" w:hAnsi="Arial"/>
                <w:sz w:val="18"/>
                <w:szCs w:val="18"/>
                <w:color w:val="auto"/>
              </w:rPr>
              <w:t>CFSP</w:t>
            </w:r>
          </w:p>
        </w:tc>
        <w:tc>
          <w:tcPr>
            <w:tcW w:w="5600" w:type="dxa"/>
            <w:vAlign w:val="bottom"/>
          </w:tcPr>
          <w:p>
            <w:pPr>
              <w:ind w:left="20"/>
              <w:spacing w:after="0"/>
              <w:rPr>
                <w:sz w:val="20"/>
                <w:szCs w:val="20"/>
                <w:color w:val="auto"/>
              </w:rPr>
            </w:pPr>
            <w:r>
              <w:rPr>
                <w:rFonts w:ascii="Arial" w:cs="Arial" w:eastAsia="Arial" w:hAnsi="Arial"/>
                <w:sz w:val="18"/>
                <w:szCs w:val="18"/>
                <w:color w:val="auto"/>
              </w:rPr>
              <w:t>DRC- Congo (Kinshasa), Myanmar, Angola, Cambodia, Malaysia,</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2"/>
              </w:rPr>
              <w:t>Kazakhstan, Portugal, Austria, Mongolia, Mozambique, Luxembourg, Brazil,</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1"/>
              </w:rPr>
              <w:t>Guyana, Korea, Chile, Laos, Ecuador, Colombia, Argentina, Hungary, South</w:t>
            </w:r>
          </w:p>
        </w:tc>
      </w:tr>
      <w:tr>
        <w:trPr>
          <w:trHeight w:val="230"/>
        </w:trPr>
        <w:tc>
          <w:tcPr>
            <w:tcW w:w="1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Sudan, Japan, Tanzania, Zambia, Congo</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3880" w:type="dxa"/>
            <w:vAlign w:val="bottom"/>
          </w:tcPr>
          <w:p>
            <w:pPr>
              <w:ind w:left="400"/>
              <w:spacing w:after="0"/>
              <w:rPr>
                <w:sz w:val="20"/>
                <w:szCs w:val="20"/>
                <w:color w:val="auto"/>
              </w:rPr>
            </w:pPr>
            <w:r>
              <w:rPr>
                <w:rFonts w:ascii="Arial" w:cs="Arial" w:eastAsia="Arial" w:hAnsi="Arial"/>
                <w:sz w:val="18"/>
                <w:szCs w:val="18"/>
                <w:color w:val="auto"/>
                <w:w w:val="99"/>
              </w:rPr>
              <w:t>Guangdong Zhiyuan New Material Co., Ltd.</w:t>
            </w:r>
          </w:p>
        </w:tc>
        <w:tc>
          <w:tcPr>
            <w:tcW w:w="820" w:type="dxa"/>
            <w:vAlign w:val="bottom"/>
          </w:tcPr>
          <w:p>
            <w:pPr>
              <w:ind w:left="280"/>
              <w:spacing w:after="0"/>
              <w:rPr>
                <w:sz w:val="20"/>
                <w:szCs w:val="20"/>
                <w:color w:val="auto"/>
              </w:rPr>
            </w:pPr>
            <w:r>
              <w:rPr>
                <w:rFonts w:ascii="Arial" w:cs="Arial" w:eastAsia="Arial" w:hAnsi="Arial"/>
                <w:sz w:val="18"/>
                <w:szCs w:val="18"/>
                <w:color w:val="auto"/>
              </w:rPr>
              <w:t>CFSP</w:t>
            </w:r>
          </w:p>
        </w:tc>
        <w:tc>
          <w:tcPr>
            <w:tcW w:w="5600" w:type="dxa"/>
            <w:vAlign w:val="bottom"/>
          </w:tcPr>
          <w:p>
            <w:pPr>
              <w:ind w:left="20"/>
              <w:spacing w:after="0"/>
              <w:rPr>
                <w:sz w:val="20"/>
                <w:szCs w:val="20"/>
                <w:color w:val="auto"/>
              </w:rPr>
            </w:pPr>
            <w:r>
              <w:rPr>
                <w:rFonts w:ascii="Arial" w:cs="Arial" w:eastAsia="Arial" w:hAnsi="Arial"/>
                <w:sz w:val="18"/>
                <w:szCs w:val="18"/>
                <w:color w:val="auto"/>
                <w:w w:val="99"/>
              </w:rPr>
              <w:t>DRC- Congo (Kinshasa), Myanmar, Cambodia, Malaysia, Kazakhstan,</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7"/>
              </w:rPr>
              <w:t>Portugal, Austria, Mongolia, Luxembourg, Brazil, Guyana, Korea, Chile,</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Laos, Colombia, Ecuador, Argentina, Hungary, Japan, India, Canada,</w:t>
            </w:r>
          </w:p>
        </w:tc>
      </w:tr>
      <w:tr>
        <w:trPr>
          <w:trHeight w:val="230"/>
        </w:trPr>
        <w:tc>
          <w:tcPr>
            <w:tcW w:w="1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Belgium, Namibia, Taiwan, Peru, Ethiopia</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3880" w:type="dxa"/>
            <w:vAlign w:val="bottom"/>
          </w:tcPr>
          <w:p>
            <w:pPr>
              <w:ind w:left="400"/>
              <w:spacing w:after="0"/>
              <w:rPr>
                <w:sz w:val="20"/>
                <w:szCs w:val="20"/>
                <w:color w:val="auto"/>
              </w:rPr>
            </w:pPr>
            <w:r>
              <w:rPr>
                <w:rFonts w:ascii="Arial" w:cs="Arial" w:eastAsia="Arial" w:hAnsi="Arial"/>
                <w:sz w:val="18"/>
                <w:szCs w:val="18"/>
                <w:color w:val="auto"/>
              </w:rPr>
              <w:t>H.C. Starck Co., Ltd.</w:t>
            </w:r>
          </w:p>
        </w:tc>
        <w:tc>
          <w:tcPr>
            <w:tcW w:w="820" w:type="dxa"/>
            <w:vAlign w:val="bottom"/>
          </w:tcPr>
          <w:p>
            <w:pPr>
              <w:ind w:left="280"/>
              <w:spacing w:after="0"/>
              <w:rPr>
                <w:sz w:val="20"/>
                <w:szCs w:val="20"/>
                <w:color w:val="auto"/>
              </w:rPr>
            </w:pPr>
            <w:r>
              <w:rPr>
                <w:rFonts w:ascii="Arial" w:cs="Arial" w:eastAsia="Arial" w:hAnsi="Arial"/>
                <w:sz w:val="18"/>
                <w:szCs w:val="18"/>
                <w:color w:val="auto"/>
              </w:rPr>
              <w:t>CFSP</w:t>
            </w:r>
          </w:p>
        </w:tc>
        <w:tc>
          <w:tcPr>
            <w:tcW w:w="5600" w:type="dxa"/>
            <w:vAlign w:val="bottom"/>
          </w:tcPr>
          <w:p>
            <w:pPr>
              <w:ind w:left="20"/>
              <w:spacing w:after="0"/>
              <w:rPr>
                <w:sz w:val="20"/>
                <w:szCs w:val="20"/>
                <w:color w:val="auto"/>
              </w:rPr>
            </w:pPr>
            <w:r>
              <w:rPr>
                <w:rFonts w:ascii="Arial" w:cs="Arial" w:eastAsia="Arial" w:hAnsi="Arial"/>
                <w:sz w:val="18"/>
                <w:szCs w:val="18"/>
                <w:color w:val="auto"/>
              </w:rPr>
              <w:t>DRC- Congo (Kinshasa), Myanmar, Angola, Cambodia, Malaysia,</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1"/>
              </w:rPr>
              <w:t>Kazakhstan, Portugal, Austria, Mongolia, Mozambique, Luxembourg, Korea,</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2"/>
              </w:rPr>
              <w:t>Guyana, Brazil, Chile, Laos, Ecuador, Colombia, Argentina, Hungary, South</w:t>
            </w:r>
          </w:p>
        </w:tc>
      </w:tr>
      <w:tr>
        <w:trPr>
          <w:trHeight w:val="230"/>
        </w:trPr>
        <w:tc>
          <w:tcPr>
            <w:tcW w:w="1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Sudan, Japan, Tanzania, Zambia, Congo</w:t>
            </w:r>
          </w:p>
        </w:tc>
      </w:tr>
      <w:tr>
        <w:trPr>
          <w:trHeight w:val="365"/>
        </w:trPr>
        <w:tc>
          <w:tcPr>
            <w:tcW w:w="1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20" w:type="dxa"/>
            <w:vAlign w:val="bottom"/>
          </w:tcPr>
          <w:p>
            <w:pPr>
              <w:ind w:left="680"/>
              <w:spacing w:after="0"/>
              <w:rPr>
                <w:sz w:val="20"/>
                <w:szCs w:val="20"/>
                <w:color w:val="auto"/>
              </w:rPr>
            </w:pPr>
            <w:r>
              <w:rPr>
                <w:rFonts w:ascii="Arial" w:cs="Arial" w:eastAsia="Arial" w:hAnsi="Arial"/>
                <w:sz w:val="18"/>
                <w:szCs w:val="18"/>
                <w:color w:val="auto"/>
              </w:rPr>
              <w:t>8</w:t>
            </w:r>
          </w:p>
        </w:tc>
        <w:tc>
          <w:tcPr>
            <w:tcW w:w="5600" w:type="dxa"/>
            <w:vAlign w:val="bottom"/>
          </w:tcPr>
          <w:p>
            <w:pPr>
              <w:spacing w:after="0"/>
              <w:rPr>
                <w:sz w:val="24"/>
                <w:szCs w:val="24"/>
                <w:color w:val="auto"/>
              </w:rPr>
            </w:pPr>
          </w:p>
        </w:tc>
      </w:tr>
    </w:tbl>
    <w:p>
      <w:pPr>
        <w:sectPr>
          <w:pgSz w:w="11900" w:h="16838" w:orient="portrait"/>
          <w:cols w:equalWidth="0" w:num="1">
            <w:col w:w="11400"/>
          </w:cols>
          <w:pgMar w:left="240" w:top="382" w:right="25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3880" w:type="dxa"/>
            <w:vAlign w:val="bottom"/>
          </w:tcPr>
          <w:p>
            <w:pPr>
              <w:ind w:left="400"/>
              <w:spacing w:after="0"/>
              <w:rPr>
                <w:sz w:val="20"/>
                <w:szCs w:val="20"/>
                <w:color w:val="auto"/>
              </w:rPr>
            </w:pPr>
            <w:r>
              <w:rPr>
                <w:rFonts w:ascii="Arial" w:cs="Arial" w:eastAsia="Arial" w:hAnsi="Arial"/>
                <w:sz w:val="18"/>
                <w:szCs w:val="18"/>
                <w:color w:val="auto"/>
              </w:rPr>
              <w:t>H.C. Starck Hermsdorf GmbH</w:t>
            </w:r>
          </w:p>
        </w:tc>
        <w:tc>
          <w:tcPr>
            <w:tcW w:w="820" w:type="dxa"/>
            <w:vAlign w:val="bottom"/>
          </w:tcPr>
          <w:p>
            <w:pPr>
              <w:ind w:left="280"/>
              <w:spacing w:after="0"/>
              <w:rPr>
                <w:sz w:val="20"/>
                <w:szCs w:val="20"/>
                <w:color w:val="auto"/>
              </w:rPr>
            </w:pPr>
            <w:r>
              <w:rPr>
                <w:rFonts w:ascii="Arial" w:cs="Arial" w:eastAsia="Arial" w:hAnsi="Arial"/>
                <w:sz w:val="18"/>
                <w:szCs w:val="18"/>
                <w:color w:val="auto"/>
              </w:rPr>
              <w:t>CFSP</w:t>
            </w:r>
          </w:p>
        </w:tc>
        <w:tc>
          <w:tcPr>
            <w:tcW w:w="5600" w:type="dxa"/>
            <w:vAlign w:val="bottom"/>
          </w:tcPr>
          <w:p>
            <w:pPr>
              <w:ind w:left="20"/>
              <w:spacing w:after="0"/>
              <w:rPr>
                <w:sz w:val="20"/>
                <w:szCs w:val="20"/>
                <w:color w:val="auto"/>
              </w:rPr>
            </w:pPr>
            <w:r>
              <w:rPr>
                <w:rFonts w:ascii="Arial" w:cs="Arial" w:eastAsia="Arial" w:hAnsi="Arial"/>
                <w:sz w:val="18"/>
                <w:szCs w:val="18"/>
                <w:color w:val="auto"/>
                <w:w w:val="99"/>
              </w:rPr>
              <w:t>DRC- Congo (Kinshasa), Myanmar, Cambodia, Malaysia, Kazakhstan,</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9"/>
              </w:rPr>
              <w:t>Portugal, Austria, Mongolia, Mozambique, Luxembourg, Brazil, Korea,</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1"/>
              </w:rPr>
              <w:t>Guyana, Chile, Laos, Ecuador, Colombia, Argentina, Hungary, Japan, India,</w:t>
            </w:r>
          </w:p>
        </w:tc>
      </w:tr>
      <w:tr>
        <w:trPr>
          <w:trHeight w:val="230"/>
        </w:trPr>
        <w:tc>
          <w:tcPr>
            <w:tcW w:w="1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Canada, Belgium, Namibia, Taiwan, Peru</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3880" w:type="dxa"/>
            <w:vAlign w:val="bottom"/>
          </w:tcPr>
          <w:p>
            <w:pPr>
              <w:ind w:left="400"/>
              <w:spacing w:after="0"/>
              <w:rPr>
                <w:sz w:val="20"/>
                <w:szCs w:val="20"/>
                <w:color w:val="auto"/>
              </w:rPr>
            </w:pPr>
            <w:r>
              <w:rPr>
                <w:rFonts w:ascii="Arial" w:cs="Arial" w:eastAsia="Arial" w:hAnsi="Arial"/>
                <w:sz w:val="18"/>
                <w:szCs w:val="18"/>
                <w:color w:val="auto"/>
              </w:rPr>
              <w:t>H.C. Starck Inc.</w:t>
            </w:r>
          </w:p>
        </w:tc>
        <w:tc>
          <w:tcPr>
            <w:tcW w:w="820" w:type="dxa"/>
            <w:vAlign w:val="bottom"/>
          </w:tcPr>
          <w:p>
            <w:pPr>
              <w:ind w:left="280"/>
              <w:spacing w:after="0"/>
              <w:rPr>
                <w:sz w:val="20"/>
                <w:szCs w:val="20"/>
                <w:color w:val="auto"/>
              </w:rPr>
            </w:pPr>
            <w:r>
              <w:rPr>
                <w:rFonts w:ascii="Arial" w:cs="Arial" w:eastAsia="Arial" w:hAnsi="Arial"/>
                <w:sz w:val="18"/>
                <w:szCs w:val="18"/>
                <w:color w:val="auto"/>
              </w:rPr>
              <w:t>CFSP</w:t>
            </w:r>
          </w:p>
        </w:tc>
        <w:tc>
          <w:tcPr>
            <w:tcW w:w="5600" w:type="dxa"/>
            <w:vAlign w:val="bottom"/>
          </w:tcPr>
          <w:p>
            <w:pPr>
              <w:ind w:left="20"/>
              <w:spacing w:after="0"/>
              <w:rPr>
                <w:sz w:val="20"/>
                <w:szCs w:val="20"/>
                <w:color w:val="auto"/>
              </w:rPr>
            </w:pPr>
            <w:r>
              <w:rPr>
                <w:rFonts w:ascii="Arial" w:cs="Arial" w:eastAsia="Arial" w:hAnsi="Arial"/>
                <w:sz w:val="18"/>
                <w:szCs w:val="18"/>
                <w:color w:val="auto"/>
                <w:w w:val="92"/>
              </w:rPr>
              <w:t>Burundi, United States, Japan, Rwanda, Sierra Leone, Congo (Brazzaville),</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6"/>
              </w:rPr>
              <w:t>Bolivia, India, Canada, Mozambique, Namibia, China, Brazil, Zimbabwe,</w:t>
            </w:r>
          </w:p>
        </w:tc>
      </w:tr>
      <w:tr>
        <w:trPr>
          <w:trHeight w:val="230"/>
        </w:trPr>
        <w:tc>
          <w:tcPr>
            <w:tcW w:w="1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Australia, Nigeria, Germany, Ethiopia</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3880" w:type="dxa"/>
            <w:vAlign w:val="bottom"/>
          </w:tcPr>
          <w:p>
            <w:pPr>
              <w:ind w:left="400"/>
              <w:spacing w:after="0"/>
              <w:rPr>
                <w:sz w:val="20"/>
                <w:szCs w:val="20"/>
                <w:color w:val="auto"/>
              </w:rPr>
            </w:pPr>
            <w:r>
              <w:rPr>
                <w:rFonts w:ascii="Arial" w:cs="Arial" w:eastAsia="Arial" w:hAnsi="Arial"/>
                <w:sz w:val="18"/>
                <w:szCs w:val="18"/>
                <w:color w:val="auto"/>
              </w:rPr>
              <w:t>H.C. Starck Ltd.</w:t>
            </w:r>
          </w:p>
        </w:tc>
        <w:tc>
          <w:tcPr>
            <w:tcW w:w="820" w:type="dxa"/>
            <w:vAlign w:val="bottom"/>
          </w:tcPr>
          <w:p>
            <w:pPr>
              <w:ind w:left="280"/>
              <w:spacing w:after="0"/>
              <w:rPr>
                <w:sz w:val="20"/>
                <w:szCs w:val="20"/>
                <w:color w:val="auto"/>
              </w:rPr>
            </w:pPr>
            <w:r>
              <w:rPr>
                <w:rFonts w:ascii="Arial" w:cs="Arial" w:eastAsia="Arial" w:hAnsi="Arial"/>
                <w:sz w:val="18"/>
                <w:szCs w:val="18"/>
                <w:color w:val="auto"/>
              </w:rPr>
              <w:t>CFSP</w:t>
            </w:r>
          </w:p>
        </w:tc>
        <w:tc>
          <w:tcPr>
            <w:tcW w:w="5600" w:type="dxa"/>
            <w:vAlign w:val="bottom"/>
          </w:tcPr>
          <w:p>
            <w:pPr>
              <w:ind w:left="20"/>
              <w:spacing w:after="0"/>
              <w:rPr>
                <w:sz w:val="20"/>
                <w:szCs w:val="20"/>
                <w:color w:val="auto"/>
              </w:rPr>
            </w:pPr>
            <w:r>
              <w:rPr>
                <w:rFonts w:ascii="Arial" w:cs="Arial" w:eastAsia="Arial" w:hAnsi="Arial"/>
                <w:sz w:val="18"/>
                <w:szCs w:val="18"/>
                <w:color w:val="auto"/>
              </w:rPr>
              <w:t>Japan, Rwanda, Sierra Leone, Bolivia, India, Canada, Mozambique,</w:t>
            </w:r>
          </w:p>
        </w:tc>
      </w:tr>
      <w:tr>
        <w:trPr>
          <w:trHeight w:val="230"/>
        </w:trPr>
        <w:tc>
          <w:tcPr>
            <w:tcW w:w="1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Namibia, China, Brazil, Zimbabwe, Australia, Ethiopia, Germany</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3880" w:type="dxa"/>
            <w:vAlign w:val="bottom"/>
          </w:tcPr>
          <w:p>
            <w:pPr>
              <w:ind w:left="400"/>
              <w:spacing w:after="0"/>
              <w:rPr>
                <w:sz w:val="20"/>
                <w:szCs w:val="20"/>
                <w:color w:val="auto"/>
              </w:rPr>
            </w:pPr>
            <w:r>
              <w:rPr>
                <w:rFonts w:ascii="Arial" w:cs="Arial" w:eastAsia="Arial" w:hAnsi="Arial"/>
                <w:sz w:val="18"/>
                <w:szCs w:val="18"/>
                <w:color w:val="auto"/>
              </w:rPr>
              <w:t>H.C. Starck Smelting GmbH &amp; Co. KG</w:t>
            </w:r>
          </w:p>
        </w:tc>
        <w:tc>
          <w:tcPr>
            <w:tcW w:w="820" w:type="dxa"/>
            <w:vAlign w:val="bottom"/>
          </w:tcPr>
          <w:p>
            <w:pPr>
              <w:ind w:left="280"/>
              <w:spacing w:after="0"/>
              <w:rPr>
                <w:sz w:val="20"/>
                <w:szCs w:val="20"/>
                <w:color w:val="auto"/>
              </w:rPr>
            </w:pPr>
            <w:r>
              <w:rPr>
                <w:rFonts w:ascii="Arial" w:cs="Arial" w:eastAsia="Arial" w:hAnsi="Arial"/>
                <w:sz w:val="18"/>
                <w:szCs w:val="18"/>
                <w:color w:val="auto"/>
              </w:rPr>
              <w:t>CFSP</w:t>
            </w:r>
          </w:p>
        </w:tc>
        <w:tc>
          <w:tcPr>
            <w:tcW w:w="5600" w:type="dxa"/>
            <w:vAlign w:val="bottom"/>
          </w:tcPr>
          <w:p>
            <w:pPr>
              <w:ind w:left="20"/>
              <w:spacing w:after="0"/>
              <w:rPr>
                <w:sz w:val="20"/>
                <w:szCs w:val="20"/>
                <w:color w:val="auto"/>
              </w:rPr>
            </w:pPr>
            <w:r>
              <w:rPr>
                <w:rFonts w:ascii="Arial" w:cs="Arial" w:eastAsia="Arial" w:hAnsi="Arial"/>
                <w:sz w:val="18"/>
                <w:szCs w:val="18"/>
                <w:color w:val="auto"/>
                <w:w w:val="99"/>
              </w:rPr>
              <w:t>DRC- Congo (Kinshasa), Myanmar, Cambodia, Malaysia, Kazakhstan,</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9"/>
              </w:rPr>
              <w:t>Portugal, Mongolia, Austria, Mozambique, Luxembourg, Korea, Brazil,</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0"/>
              </w:rPr>
              <w:t>Guyana, Chile, Laos, Colombia, Ecuador, Argentina, Hungary, Japan, Congo</w:t>
            </w:r>
          </w:p>
        </w:tc>
      </w:tr>
      <w:tr>
        <w:trPr>
          <w:trHeight w:val="230"/>
        </w:trPr>
        <w:tc>
          <w:tcPr>
            <w:tcW w:w="1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(Brazzaville), India, Canada, Belgium</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3880" w:type="dxa"/>
            <w:vAlign w:val="bottom"/>
          </w:tcPr>
          <w:p>
            <w:pPr>
              <w:ind w:left="400"/>
              <w:spacing w:after="0"/>
              <w:rPr>
                <w:sz w:val="20"/>
                <w:szCs w:val="20"/>
                <w:color w:val="auto"/>
              </w:rPr>
            </w:pPr>
            <w:r>
              <w:rPr>
                <w:rFonts w:ascii="Arial" w:cs="Arial" w:eastAsia="Arial" w:hAnsi="Arial"/>
                <w:sz w:val="18"/>
                <w:szCs w:val="18"/>
                <w:color w:val="auto"/>
              </w:rPr>
              <w:t>H.C. Starck Tantalum and Niobium GmbH</w:t>
            </w:r>
          </w:p>
        </w:tc>
        <w:tc>
          <w:tcPr>
            <w:tcW w:w="820" w:type="dxa"/>
            <w:vAlign w:val="bottom"/>
          </w:tcPr>
          <w:p>
            <w:pPr>
              <w:ind w:left="280"/>
              <w:spacing w:after="0"/>
              <w:rPr>
                <w:sz w:val="20"/>
                <w:szCs w:val="20"/>
                <w:color w:val="auto"/>
              </w:rPr>
            </w:pPr>
            <w:r>
              <w:rPr>
                <w:rFonts w:ascii="Arial" w:cs="Arial" w:eastAsia="Arial" w:hAnsi="Arial"/>
                <w:sz w:val="18"/>
                <w:szCs w:val="18"/>
                <w:color w:val="auto"/>
              </w:rPr>
              <w:t>CFSP</w:t>
            </w:r>
          </w:p>
        </w:tc>
        <w:tc>
          <w:tcPr>
            <w:tcW w:w="5600" w:type="dxa"/>
            <w:vAlign w:val="bottom"/>
          </w:tcPr>
          <w:p>
            <w:pPr>
              <w:ind w:left="20"/>
              <w:spacing w:after="0"/>
              <w:rPr>
                <w:sz w:val="20"/>
                <w:szCs w:val="20"/>
                <w:color w:val="auto"/>
              </w:rPr>
            </w:pPr>
            <w:r>
              <w:rPr>
                <w:rFonts w:ascii="Arial" w:cs="Arial" w:eastAsia="Arial" w:hAnsi="Arial"/>
                <w:sz w:val="18"/>
                <w:szCs w:val="18"/>
                <w:color w:val="auto"/>
              </w:rPr>
              <w:t>DRC- Congo (Kinshasa), Myanmar, Angola, Cambodia, Malaysia,</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1"/>
              </w:rPr>
              <w:t>Kazakhstan, Portugal, Mongolia, Austria, Mozambique, Luxembourg, Korea,</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2"/>
              </w:rPr>
              <w:t>Guyana, Brazil, Chile, Laos, Colombia, Ecuador, Argentina, Hungary, South</w:t>
            </w:r>
          </w:p>
        </w:tc>
      </w:tr>
      <w:tr>
        <w:trPr>
          <w:trHeight w:val="230"/>
        </w:trPr>
        <w:tc>
          <w:tcPr>
            <w:tcW w:w="1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Sudan, Japan, Tanzania, Zambia, Congo</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3880" w:type="dxa"/>
            <w:vAlign w:val="bottom"/>
          </w:tcPr>
          <w:p>
            <w:pPr>
              <w:ind w:left="400"/>
              <w:spacing w:after="0"/>
              <w:rPr>
                <w:sz w:val="20"/>
                <w:szCs w:val="20"/>
                <w:color w:val="auto"/>
              </w:rPr>
            </w:pPr>
            <w:r>
              <w:rPr>
                <w:rFonts w:ascii="Arial" w:cs="Arial" w:eastAsia="Arial" w:hAnsi="Arial"/>
                <w:sz w:val="18"/>
                <w:szCs w:val="18"/>
                <w:color w:val="auto"/>
              </w:rPr>
              <w:t>Hi-Temp Specialty Metals, Inc.</w:t>
            </w:r>
          </w:p>
        </w:tc>
        <w:tc>
          <w:tcPr>
            <w:tcW w:w="820" w:type="dxa"/>
            <w:vAlign w:val="bottom"/>
          </w:tcPr>
          <w:p>
            <w:pPr>
              <w:ind w:left="280"/>
              <w:spacing w:after="0"/>
              <w:rPr>
                <w:sz w:val="20"/>
                <w:szCs w:val="20"/>
                <w:color w:val="auto"/>
              </w:rPr>
            </w:pPr>
            <w:r>
              <w:rPr>
                <w:rFonts w:ascii="Arial" w:cs="Arial" w:eastAsia="Arial" w:hAnsi="Arial"/>
                <w:sz w:val="18"/>
                <w:szCs w:val="18"/>
                <w:color w:val="auto"/>
              </w:rPr>
              <w:t>CFSP</w:t>
            </w:r>
          </w:p>
        </w:tc>
        <w:tc>
          <w:tcPr>
            <w:tcW w:w="5600" w:type="dxa"/>
            <w:vAlign w:val="bottom"/>
          </w:tcPr>
          <w:p>
            <w:pPr>
              <w:ind w:left="20"/>
              <w:spacing w:after="0"/>
              <w:rPr>
                <w:sz w:val="20"/>
                <w:szCs w:val="20"/>
                <w:color w:val="auto"/>
              </w:rPr>
            </w:pPr>
            <w:r>
              <w:rPr>
                <w:rFonts w:ascii="Arial" w:cs="Arial" w:eastAsia="Arial" w:hAnsi="Arial"/>
                <w:sz w:val="18"/>
                <w:szCs w:val="18"/>
                <w:color w:val="auto"/>
                <w:w w:val="95"/>
              </w:rPr>
              <w:t>Mozambique, United States, Namibia, China, Rwanda, Brazil, Zimbabwe,</w:t>
            </w:r>
          </w:p>
        </w:tc>
      </w:tr>
      <w:tr>
        <w:trPr>
          <w:trHeight w:val="230"/>
        </w:trPr>
        <w:tc>
          <w:tcPr>
            <w:tcW w:w="1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Sierra Leone, Australia, Bolivia, Ethiopia, India</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3880" w:type="dxa"/>
            <w:vAlign w:val="bottom"/>
          </w:tcPr>
          <w:p>
            <w:pPr>
              <w:ind w:left="400"/>
              <w:spacing w:after="0"/>
              <w:rPr>
                <w:sz w:val="20"/>
                <w:szCs w:val="20"/>
                <w:color w:val="auto"/>
              </w:rPr>
            </w:pPr>
            <w:r>
              <w:rPr>
                <w:rFonts w:ascii="Arial" w:cs="Arial" w:eastAsia="Arial" w:hAnsi="Arial"/>
                <w:sz w:val="18"/>
                <w:szCs w:val="18"/>
                <w:color w:val="auto"/>
              </w:rPr>
              <w:t>JiuJiang JinXin Nonferrous Metals Co., Ltd.</w:t>
            </w:r>
          </w:p>
        </w:tc>
        <w:tc>
          <w:tcPr>
            <w:tcW w:w="820" w:type="dxa"/>
            <w:vAlign w:val="bottom"/>
          </w:tcPr>
          <w:p>
            <w:pPr>
              <w:ind w:left="280"/>
              <w:spacing w:after="0"/>
              <w:rPr>
                <w:sz w:val="20"/>
                <w:szCs w:val="20"/>
                <w:color w:val="auto"/>
              </w:rPr>
            </w:pPr>
            <w:r>
              <w:rPr>
                <w:rFonts w:ascii="Arial" w:cs="Arial" w:eastAsia="Arial" w:hAnsi="Arial"/>
                <w:sz w:val="18"/>
                <w:szCs w:val="18"/>
                <w:color w:val="auto"/>
              </w:rPr>
              <w:t>CFSP</w:t>
            </w:r>
          </w:p>
        </w:tc>
        <w:tc>
          <w:tcPr>
            <w:tcW w:w="5600" w:type="dxa"/>
            <w:vAlign w:val="bottom"/>
          </w:tcPr>
          <w:p>
            <w:pPr>
              <w:ind w:left="20"/>
              <w:spacing w:after="0"/>
              <w:rPr>
                <w:sz w:val="20"/>
                <w:szCs w:val="20"/>
                <w:color w:val="auto"/>
              </w:rPr>
            </w:pPr>
            <w:r>
              <w:rPr>
                <w:rFonts w:ascii="Arial" w:cs="Arial" w:eastAsia="Arial" w:hAnsi="Arial"/>
                <w:sz w:val="18"/>
                <w:szCs w:val="18"/>
                <w:color w:val="auto"/>
              </w:rPr>
              <w:t>DRC- Congo (Kinshasa), Myanmar, Angola, Cambodia, Malaysia,</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8"/>
              </w:rPr>
              <w:t>Kazakhstan, Portugal, Austria, Mongolia, Luxembourg, Brazil, Guyana,</w:t>
            </w:r>
          </w:p>
        </w:tc>
      </w:tr>
      <w:tr>
        <w:trPr>
          <w:trHeight w:val="216"/>
        </w:trPr>
        <w:tc>
          <w:tcPr>
            <w:tcW w:w="1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3"/>
              </w:rPr>
              <w:t>Korea, Chile, Laos, Ecuador, Colombia, Argentina, South Sudan, Hungary,</w:t>
            </w:r>
          </w:p>
        </w:tc>
      </w:tr>
      <w:tr>
        <w:trPr>
          <w:trHeight w:val="230"/>
        </w:trPr>
        <w:tc>
          <w:tcPr>
            <w:tcW w:w="1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Japan, Tanzania, Zambia, Congo (Brazzaville)</w:t>
            </w:r>
          </w:p>
        </w:tc>
      </w:tr>
      <w:tr>
        <w:trPr>
          <w:trHeight w:val="365"/>
        </w:trPr>
        <w:tc>
          <w:tcPr>
            <w:tcW w:w="1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20" w:type="dxa"/>
            <w:vAlign w:val="bottom"/>
          </w:tcPr>
          <w:p>
            <w:pPr>
              <w:ind w:left="680"/>
              <w:spacing w:after="0"/>
              <w:rPr>
                <w:sz w:val="20"/>
                <w:szCs w:val="20"/>
                <w:color w:val="auto"/>
              </w:rPr>
            </w:pPr>
            <w:r>
              <w:rPr>
                <w:rFonts w:ascii="Arial" w:cs="Arial" w:eastAsia="Arial" w:hAnsi="Arial"/>
                <w:sz w:val="18"/>
                <w:szCs w:val="18"/>
                <w:color w:val="auto"/>
              </w:rPr>
              <w:t>9</w:t>
            </w:r>
          </w:p>
        </w:tc>
        <w:tc>
          <w:tcPr>
            <w:tcW w:w="5600" w:type="dxa"/>
            <w:vAlign w:val="bottom"/>
          </w:tcPr>
          <w:p>
            <w:pPr>
              <w:spacing w:after="0"/>
              <w:rPr>
                <w:sz w:val="24"/>
                <w:szCs w:val="24"/>
                <w:color w:val="auto"/>
              </w:rPr>
            </w:pPr>
          </w:p>
        </w:tc>
      </w:tr>
    </w:tbl>
    <w:p>
      <w:pPr>
        <w:sectPr>
          <w:pgSz w:w="11900" w:h="16838" w:orient="portrait"/>
          <w:cols w:equalWidth="0" w:num="1">
            <w:col w:w="11400"/>
          </w:cols>
          <w:pgMar w:left="240" w:top="382" w:right="25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4060" w:type="dxa"/>
            <w:vAlign w:val="bottom"/>
          </w:tcPr>
          <w:p>
            <w:pPr>
              <w:ind w:left="400"/>
              <w:spacing w:after="0"/>
              <w:rPr>
                <w:sz w:val="20"/>
                <w:szCs w:val="20"/>
                <w:color w:val="auto"/>
              </w:rPr>
            </w:pPr>
            <w:r>
              <w:rPr>
                <w:rFonts w:ascii="Arial" w:cs="Arial" w:eastAsia="Arial" w:hAnsi="Arial"/>
                <w:sz w:val="18"/>
                <w:szCs w:val="18"/>
                <w:color w:val="auto"/>
                <w:w w:val="98"/>
              </w:rPr>
              <w:t>Jiujiang Nonferrous Metals Smelting Company</w:t>
            </w:r>
          </w:p>
        </w:tc>
        <w:tc>
          <w:tcPr>
            <w:tcW w:w="660" w:type="dxa"/>
            <w:vAlign w:val="bottom"/>
          </w:tcPr>
          <w:p>
            <w:pPr>
              <w:ind w:left="100"/>
              <w:spacing w:after="0"/>
              <w:rPr>
                <w:sz w:val="20"/>
                <w:szCs w:val="20"/>
                <w:color w:val="auto"/>
              </w:rPr>
            </w:pPr>
            <w:r>
              <w:rPr>
                <w:rFonts w:ascii="Arial" w:cs="Arial" w:eastAsia="Arial" w:hAnsi="Arial"/>
                <w:sz w:val="18"/>
                <w:szCs w:val="18"/>
                <w:color w:val="auto"/>
              </w:rPr>
              <w:t>CFSP</w:t>
            </w:r>
          </w:p>
        </w:tc>
        <w:tc>
          <w:tcPr>
            <w:tcW w:w="5600" w:type="dxa"/>
            <w:vAlign w:val="bottom"/>
          </w:tcPr>
          <w:p>
            <w:pPr>
              <w:spacing w:after="0"/>
              <w:rPr>
                <w:sz w:val="20"/>
                <w:szCs w:val="20"/>
                <w:color w:val="auto"/>
              </w:rPr>
            </w:pPr>
            <w:r>
              <w:rPr>
                <w:rFonts w:ascii="Arial" w:cs="Arial" w:eastAsia="Arial" w:hAnsi="Arial"/>
                <w:sz w:val="18"/>
                <w:szCs w:val="18"/>
                <w:color w:val="auto"/>
              </w:rPr>
              <w:t>DRC- Congo (Kinshasa), Myanmar, Angola, Cambodia, Malaysia,</w:t>
            </w:r>
          </w:p>
        </w:tc>
      </w:tr>
      <w:tr>
        <w:trPr>
          <w:trHeight w:val="216"/>
        </w:trPr>
        <w:tc>
          <w:tcPr>
            <w:tcW w:w="1100" w:type="dxa"/>
            <w:vAlign w:val="bottom"/>
          </w:tcPr>
          <w:p>
            <w:pPr>
              <w:spacing w:after="0"/>
              <w:rPr>
                <w:sz w:val="18"/>
                <w:szCs w:val="18"/>
                <w:color w:val="auto"/>
              </w:rPr>
            </w:pPr>
          </w:p>
        </w:tc>
        <w:tc>
          <w:tcPr>
            <w:tcW w:w="4060" w:type="dxa"/>
            <w:vAlign w:val="bottom"/>
          </w:tcPr>
          <w:p>
            <w:pPr>
              <w:ind w:left="400"/>
              <w:spacing w:after="0"/>
              <w:rPr>
                <w:sz w:val="20"/>
                <w:szCs w:val="20"/>
                <w:color w:val="auto"/>
              </w:rPr>
            </w:pPr>
            <w:r>
              <w:rPr>
                <w:rFonts w:ascii="Arial" w:cs="Arial" w:eastAsia="Arial" w:hAnsi="Arial"/>
                <w:sz w:val="18"/>
                <w:szCs w:val="18"/>
                <w:color w:val="auto"/>
              </w:rPr>
              <w:t>Limited</w:t>
            </w:r>
          </w:p>
        </w:tc>
        <w:tc>
          <w:tcPr>
            <w:tcW w:w="6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Kazakhstan, Portugal, Mongolia, Austria, Mozambique, Luxembourg, Korea,</w:t>
            </w:r>
          </w:p>
        </w:tc>
      </w:tr>
      <w:tr>
        <w:trPr>
          <w:trHeight w:val="216"/>
        </w:trPr>
        <w:tc>
          <w:tcPr>
            <w:tcW w:w="1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Guyana, Brazil, Chile, Laos, Colombia, Ecuador, Argentina, Hungary, South</w:t>
            </w:r>
          </w:p>
        </w:tc>
      </w:tr>
      <w:tr>
        <w:trPr>
          <w:trHeight w:val="230"/>
        </w:trPr>
        <w:tc>
          <w:tcPr>
            <w:tcW w:w="11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Sudan, Japan, Tanzania, Zambia, Congo</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4060" w:type="dxa"/>
            <w:vAlign w:val="bottom"/>
          </w:tcPr>
          <w:p>
            <w:pPr>
              <w:ind w:left="400"/>
              <w:spacing w:after="0"/>
              <w:rPr>
                <w:sz w:val="20"/>
                <w:szCs w:val="20"/>
                <w:color w:val="auto"/>
              </w:rPr>
            </w:pPr>
            <w:r>
              <w:rPr>
                <w:rFonts w:ascii="Arial" w:cs="Arial" w:eastAsia="Arial" w:hAnsi="Arial"/>
                <w:sz w:val="18"/>
                <w:szCs w:val="18"/>
                <w:color w:val="auto"/>
                <w:w w:val="96"/>
              </w:rPr>
              <w:t>Jiujiang Zhongao Tantalum &amp; Niobium Co., Ltd.</w:t>
            </w:r>
          </w:p>
        </w:tc>
        <w:tc>
          <w:tcPr>
            <w:tcW w:w="660" w:type="dxa"/>
            <w:vAlign w:val="bottom"/>
          </w:tcPr>
          <w:p>
            <w:pPr>
              <w:ind w:left="100"/>
              <w:spacing w:after="0"/>
              <w:rPr>
                <w:sz w:val="20"/>
                <w:szCs w:val="20"/>
                <w:color w:val="auto"/>
              </w:rPr>
            </w:pPr>
            <w:r>
              <w:rPr>
                <w:rFonts w:ascii="Arial" w:cs="Arial" w:eastAsia="Arial" w:hAnsi="Arial"/>
                <w:sz w:val="18"/>
                <w:szCs w:val="18"/>
                <w:color w:val="auto"/>
              </w:rPr>
              <w:t>CFSP</w:t>
            </w:r>
          </w:p>
        </w:tc>
        <w:tc>
          <w:tcPr>
            <w:tcW w:w="5600" w:type="dxa"/>
            <w:vAlign w:val="bottom"/>
          </w:tcPr>
          <w:p>
            <w:pPr>
              <w:spacing w:after="0"/>
              <w:rPr>
                <w:sz w:val="20"/>
                <w:szCs w:val="20"/>
                <w:color w:val="auto"/>
              </w:rPr>
            </w:pPr>
            <w:r>
              <w:rPr>
                <w:rFonts w:ascii="Arial" w:cs="Arial" w:eastAsia="Arial" w:hAnsi="Arial"/>
                <w:sz w:val="18"/>
                <w:szCs w:val="18"/>
                <w:color w:val="auto"/>
                <w:w w:val="99"/>
              </w:rPr>
              <w:t>DRC- Congo (Kinshasa), Myanmar, Cambodia, Malaysia, Kazakhstan,</w:t>
            </w:r>
          </w:p>
        </w:tc>
      </w:tr>
      <w:tr>
        <w:trPr>
          <w:trHeight w:val="216"/>
        </w:trPr>
        <w:tc>
          <w:tcPr>
            <w:tcW w:w="1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Portugal, Austria, Mongolia, Luxembourg, Brazil, Guyana, Korea, Chile,</w:t>
            </w:r>
          </w:p>
        </w:tc>
      </w:tr>
      <w:tr>
        <w:trPr>
          <w:trHeight w:val="216"/>
        </w:trPr>
        <w:tc>
          <w:tcPr>
            <w:tcW w:w="1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Laos, Ecuador, Colombia, Argentina, Hungary, Japan, India, Canada,</w:t>
            </w:r>
          </w:p>
        </w:tc>
      </w:tr>
      <w:tr>
        <w:trPr>
          <w:trHeight w:val="230"/>
        </w:trPr>
        <w:tc>
          <w:tcPr>
            <w:tcW w:w="11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Belgium, Namibia, Taiwan, Peru, Ethiopia</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4060" w:type="dxa"/>
            <w:vAlign w:val="bottom"/>
          </w:tcPr>
          <w:p>
            <w:pPr>
              <w:ind w:left="400"/>
              <w:spacing w:after="0"/>
              <w:rPr>
                <w:sz w:val="20"/>
                <w:szCs w:val="20"/>
                <w:color w:val="auto"/>
              </w:rPr>
            </w:pPr>
            <w:r>
              <w:rPr>
                <w:rFonts w:ascii="Arial" w:cs="Arial" w:eastAsia="Arial" w:hAnsi="Arial"/>
                <w:sz w:val="18"/>
                <w:szCs w:val="18"/>
                <w:color w:val="auto"/>
              </w:rPr>
              <w:t>KEMET Blue Metals</w:t>
            </w:r>
          </w:p>
        </w:tc>
        <w:tc>
          <w:tcPr>
            <w:tcW w:w="660" w:type="dxa"/>
            <w:vAlign w:val="bottom"/>
          </w:tcPr>
          <w:p>
            <w:pPr>
              <w:ind w:left="100"/>
              <w:spacing w:after="0"/>
              <w:rPr>
                <w:sz w:val="20"/>
                <w:szCs w:val="20"/>
                <w:color w:val="auto"/>
              </w:rPr>
            </w:pPr>
            <w:r>
              <w:rPr>
                <w:rFonts w:ascii="Arial" w:cs="Arial" w:eastAsia="Arial" w:hAnsi="Arial"/>
                <w:sz w:val="18"/>
                <w:szCs w:val="18"/>
                <w:color w:val="auto"/>
              </w:rPr>
              <w:t>CFSP</w:t>
            </w:r>
          </w:p>
        </w:tc>
        <w:tc>
          <w:tcPr>
            <w:tcW w:w="5600" w:type="dxa"/>
            <w:vAlign w:val="bottom"/>
          </w:tcPr>
          <w:p>
            <w:pPr>
              <w:spacing w:after="0"/>
              <w:rPr>
                <w:sz w:val="20"/>
                <w:szCs w:val="20"/>
                <w:color w:val="auto"/>
              </w:rPr>
            </w:pPr>
            <w:r>
              <w:rPr>
                <w:rFonts w:ascii="Arial" w:cs="Arial" w:eastAsia="Arial" w:hAnsi="Arial"/>
                <w:sz w:val="18"/>
                <w:szCs w:val="18"/>
                <w:color w:val="auto"/>
              </w:rPr>
              <w:t>DRC- Congo (Kinshasa), Myanmar, Angola, Cambodia, Malaysia,</w:t>
            </w:r>
          </w:p>
        </w:tc>
      </w:tr>
      <w:tr>
        <w:trPr>
          <w:trHeight w:val="216"/>
        </w:trPr>
        <w:tc>
          <w:tcPr>
            <w:tcW w:w="1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4"/>
              </w:rPr>
              <w:t>Kazakhstan, Portugal, Austria, Mongolia, Mozambique, Mali, Luxembourg,</w:t>
            </w:r>
          </w:p>
        </w:tc>
      </w:tr>
      <w:tr>
        <w:trPr>
          <w:trHeight w:val="216"/>
        </w:trPr>
        <w:tc>
          <w:tcPr>
            <w:tcW w:w="1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Korea, Guyana, Brazil, Chile, Laos, Colombia, Ecuador, Argentina, Hungary,</w:t>
            </w:r>
          </w:p>
        </w:tc>
      </w:tr>
      <w:tr>
        <w:trPr>
          <w:trHeight w:val="230"/>
        </w:trPr>
        <w:tc>
          <w:tcPr>
            <w:tcW w:w="11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South Sudan, Japan, Tanzania, Zambia</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4060" w:type="dxa"/>
            <w:vAlign w:val="bottom"/>
          </w:tcPr>
          <w:p>
            <w:pPr>
              <w:ind w:left="400"/>
              <w:spacing w:after="0"/>
              <w:rPr>
                <w:sz w:val="20"/>
                <w:szCs w:val="20"/>
                <w:color w:val="auto"/>
              </w:rPr>
            </w:pPr>
            <w:r>
              <w:rPr>
                <w:rFonts w:ascii="Arial" w:cs="Arial" w:eastAsia="Arial" w:hAnsi="Arial"/>
                <w:sz w:val="18"/>
                <w:szCs w:val="18"/>
                <w:color w:val="auto"/>
              </w:rPr>
              <w:t>Kemet Blue Powder</w:t>
            </w:r>
          </w:p>
        </w:tc>
        <w:tc>
          <w:tcPr>
            <w:tcW w:w="660" w:type="dxa"/>
            <w:vAlign w:val="bottom"/>
          </w:tcPr>
          <w:p>
            <w:pPr>
              <w:ind w:left="100"/>
              <w:spacing w:after="0"/>
              <w:rPr>
                <w:sz w:val="20"/>
                <w:szCs w:val="20"/>
                <w:color w:val="auto"/>
              </w:rPr>
            </w:pPr>
            <w:r>
              <w:rPr>
                <w:rFonts w:ascii="Arial" w:cs="Arial" w:eastAsia="Arial" w:hAnsi="Arial"/>
                <w:sz w:val="18"/>
                <w:szCs w:val="18"/>
                <w:color w:val="auto"/>
              </w:rPr>
              <w:t>CFSP</w:t>
            </w:r>
          </w:p>
        </w:tc>
        <w:tc>
          <w:tcPr>
            <w:tcW w:w="5600" w:type="dxa"/>
            <w:vAlign w:val="bottom"/>
          </w:tcPr>
          <w:p>
            <w:pPr>
              <w:spacing w:after="0"/>
              <w:rPr>
                <w:sz w:val="20"/>
                <w:szCs w:val="20"/>
                <w:color w:val="auto"/>
              </w:rPr>
            </w:pPr>
            <w:r>
              <w:rPr>
                <w:rFonts w:ascii="Arial" w:cs="Arial" w:eastAsia="Arial" w:hAnsi="Arial"/>
                <w:sz w:val="18"/>
                <w:szCs w:val="18"/>
                <w:color w:val="auto"/>
              </w:rPr>
              <w:t>DRC- Congo (Kinshasa), Myanmar, Angola, Cambodia, Malaysia,</w:t>
            </w:r>
          </w:p>
        </w:tc>
      </w:tr>
      <w:tr>
        <w:trPr>
          <w:trHeight w:val="216"/>
        </w:trPr>
        <w:tc>
          <w:tcPr>
            <w:tcW w:w="1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2"/>
              </w:rPr>
              <w:t>Kazakhstan, Portugal, Austria, Mongolia, Mozambique, Luxembourg, Brazil,</w:t>
            </w:r>
          </w:p>
        </w:tc>
      </w:tr>
      <w:tr>
        <w:trPr>
          <w:trHeight w:val="216"/>
        </w:trPr>
        <w:tc>
          <w:tcPr>
            <w:tcW w:w="1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4"/>
              </w:rPr>
              <w:t>Guyana, Korea, Chile, Laos, Ecuador, Colombia, Argentina, South Sudan,</w:t>
            </w:r>
          </w:p>
        </w:tc>
      </w:tr>
      <w:tr>
        <w:trPr>
          <w:trHeight w:val="230"/>
        </w:trPr>
        <w:tc>
          <w:tcPr>
            <w:tcW w:w="11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Hungary, Japan, Tanzania, Zambia, Congo</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4060" w:type="dxa"/>
            <w:vAlign w:val="bottom"/>
          </w:tcPr>
          <w:p>
            <w:pPr>
              <w:ind w:left="400"/>
              <w:spacing w:after="0"/>
              <w:rPr>
                <w:sz w:val="20"/>
                <w:szCs w:val="20"/>
                <w:color w:val="auto"/>
              </w:rPr>
            </w:pPr>
            <w:r>
              <w:rPr>
                <w:rFonts w:ascii="Arial" w:cs="Arial" w:eastAsia="Arial" w:hAnsi="Arial"/>
                <w:sz w:val="18"/>
                <w:szCs w:val="18"/>
                <w:color w:val="auto"/>
              </w:rPr>
              <w:t>LSM Brasil S.A.</w:t>
            </w:r>
          </w:p>
        </w:tc>
        <w:tc>
          <w:tcPr>
            <w:tcW w:w="660" w:type="dxa"/>
            <w:vAlign w:val="bottom"/>
          </w:tcPr>
          <w:p>
            <w:pPr>
              <w:ind w:left="100"/>
              <w:spacing w:after="0"/>
              <w:rPr>
                <w:sz w:val="20"/>
                <w:szCs w:val="20"/>
                <w:color w:val="auto"/>
              </w:rPr>
            </w:pPr>
            <w:r>
              <w:rPr>
                <w:rFonts w:ascii="Arial" w:cs="Arial" w:eastAsia="Arial" w:hAnsi="Arial"/>
                <w:sz w:val="18"/>
                <w:szCs w:val="18"/>
                <w:color w:val="auto"/>
              </w:rPr>
              <w:t>CFSP</w:t>
            </w:r>
          </w:p>
        </w:tc>
        <w:tc>
          <w:tcPr>
            <w:tcW w:w="5600" w:type="dxa"/>
            <w:vAlign w:val="bottom"/>
          </w:tcPr>
          <w:p>
            <w:pPr>
              <w:spacing w:after="0"/>
              <w:rPr>
                <w:sz w:val="20"/>
                <w:szCs w:val="20"/>
                <w:color w:val="auto"/>
              </w:rPr>
            </w:pPr>
            <w:r>
              <w:rPr>
                <w:rFonts w:ascii="Arial" w:cs="Arial" w:eastAsia="Arial" w:hAnsi="Arial"/>
                <w:sz w:val="18"/>
                <w:szCs w:val="18"/>
                <w:color w:val="auto"/>
                <w:w w:val="99"/>
              </w:rPr>
              <w:t>DRC- Congo (Kinshasa), Myanmar, Cambodia, Malaysia, Kazakhstan,</w:t>
            </w:r>
          </w:p>
        </w:tc>
      </w:tr>
      <w:tr>
        <w:trPr>
          <w:trHeight w:val="216"/>
        </w:trPr>
        <w:tc>
          <w:tcPr>
            <w:tcW w:w="1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8"/>
              </w:rPr>
              <w:t>Portugal, Mongolia, Austria, Luxembourg, Brazil, Guyana, Korea, Chile,</w:t>
            </w:r>
          </w:p>
        </w:tc>
      </w:tr>
      <w:tr>
        <w:trPr>
          <w:trHeight w:val="216"/>
        </w:trPr>
        <w:tc>
          <w:tcPr>
            <w:tcW w:w="1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Laos, Ecuador, Colombia, Argentina, Hungary, Japan, India, Canada,</w:t>
            </w:r>
          </w:p>
        </w:tc>
      </w:tr>
      <w:tr>
        <w:trPr>
          <w:trHeight w:val="230"/>
        </w:trPr>
        <w:tc>
          <w:tcPr>
            <w:tcW w:w="11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Belgium, Namibia, Taiwan, Peru, Germany</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4060" w:type="dxa"/>
            <w:vAlign w:val="bottom"/>
          </w:tcPr>
          <w:p>
            <w:pPr>
              <w:ind w:left="400"/>
              <w:spacing w:after="0"/>
              <w:rPr>
                <w:sz w:val="20"/>
                <w:szCs w:val="20"/>
                <w:color w:val="auto"/>
              </w:rPr>
            </w:pPr>
            <w:r>
              <w:rPr>
                <w:rFonts w:ascii="Arial" w:cs="Arial" w:eastAsia="Arial" w:hAnsi="Arial"/>
                <w:sz w:val="18"/>
                <w:szCs w:val="18"/>
                <w:color w:val="auto"/>
              </w:rPr>
              <w:t>Ningxia Orient Tantalum Industry Co., Ltd.</w:t>
            </w:r>
          </w:p>
        </w:tc>
        <w:tc>
          <w:tcPr>
            <w:tcW w:w="660" w:type="dxa"/>
            <w:vAlign w:val="bottom"/>
          </w:tcPr>
          <w:p>
            <w:pPr>
              <w:ind w:left="100"/>
              <w:spacing w:after="0"/>
              <w:rPr>
                <w:sz w:val="20"/>
                <w:szCs w:val="20"/>
                <w:color w:val="auto"/>
              </w:rPr>
            </w:pPr>
            <w:r>
              <w:rPr>
                <w:rFonts w:ascii="Arial" w:cs="Arial" w:eastAsia="Arial" w:hAnsi="Arial"/>
                <w:sz w:val="18"/>
                <w:szCs w:val="18"/>
                <w:color w:val="auto"/>
              </w:rPr>
              <w:t>CFSP</w:t>
            </w:r>
          </w:p>
        </w:tc>
        <w:tc>
          <w:tcPr>
            <w:tcW w:w="5600" w:type="dxa"/>
            <w:vAlign w:val="bottom"/>
          </w:tcPr>
          <w:p>
            <w:pPr>
              <w:spacing w:after="0"/>
              <w:rPr>
                <w:sz w:val="20"/>
                <w:szCs w:val="20"/>
                <w:color w:val="auto"/>
              </w:rPr>
            </w:pPr>
            <w:r>
              <w:rPr>
                <w:rFonts w:ascii="Arial" w:cs="Arial" w:eastAsia="Arial" w:hAnsi="Arial"/>
                <w:sz w:val="18"/>
                <w:szCs w:val="18"/>
                <w:color w:val="auto"/>
              </w:rPr>
              <w:t>DRC- Congo (Kinshasa), Myanmar, Angola, Cambodia, Malaysia,</w:t>
            </w:r>
          </w:p>
        </w:tc>
      </w:tr>
      <w:tr>
        <w:trPr>
          <w:trHeight w:val="216"/>
        </w:trPr>
        <w:tc>
          <w:tcPr>
            <w:tcW w:w="1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Kazakhstan, Portugal, Mongolia, Austria, Mozambique, Luxembourg,</w:t>
            </w:r>
          </w:p>
        </w:tc>
      </w:tr>
      <w:tr>
        <w:trPr>
          <w:trHeight w:val="216"/>
        </w:trPr>
        <w:tc>
          <w:tcPr>
            <w:tcW w:w="1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1"/>
              </w:rPr>
              <w:t>Guyana, Brazil, Korea, Chile, Laos, Colombia, Ecuador, Argentina, Hungary,</w:t>
            </w:r>
          </w:p>
        </w:tc>
      </w:tr>
      <w:tr>
        <w:trPr>
          <w:trHeight w:val="230"/>
        </w:trPr>
        <w:tc>
          <w:tcPr>
            <w:tcW w:w="11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South Sudan, Japan, Tanzania, Zambia, Congo</w:t>
            </w:r>
          </w:p>
        </w:tc>
      </w:tr>
      <w:tr>
        <w:trPr>
          <w:trHeight w:val="365"/>
        </w:trPr>
        <w:tc>
          <w:tcPr>
            <w:tcW w:w="11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w w:val="89"/>
              </w:rPr>
              <w:t>10</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382" w:right="2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3900" w:type="dxa"/>
            <w:vAlign w:val="bottom"/>
          </w:tcPr>
          <w:p>
            <w:pPr>
              <w:ind w:left="400"/>
              <w:spacing w:after="0"/>
              <w:rPr>
                <w:sz w:val="20"/>
                <w:szCs w:val="20"/>
                <w:color w:val="auto"/>
              </w:rPr>
            </w:pPr>
            <w:r>
              <w:rPr>
                <w:rFonts w:ascii="Arial" w:cs="Arial" w:eastAsia="Arial" w:hAnsi="Arial"/>
                <w:sz w:val="18"/>
                <w:szCs w:val="18"/>
                <w:color w:val="auto"/>
              </w:rPr>
              <w:t>Taki Chemical Co., Ltd.</w:t>
            </w:r>
          </w:p>
        </w:tc>
        <w:tc>
          <w:tcPr>
            <w:tcW w:w="820" w:type="dxa"/>
            <w:vAlign w:val="bottom"/>
          </w:tcPr>
          <w:p>
            <w:pPr>
              <w:ind w:left="260"/>
              <w:spacing w:after="0"/>
              <w:rPr>
                <w:sz w:val="20"/>
                <w:szCs w:val="20"/>
                <w:color w:val="auto"/>
              </w:rPr>
            </w:pPr>
            <w:r>
              <w:rPr>
                <w:rFonts w:ascii="Arial" w:cs="Arial" w:eastAsia="Arial" w:hAnsi="Arial"/>
                <w:sz w:val="18"/>
                <w:szCs w:val="18"/>
                <w:color w:val="auto"/>
              </w:rPr>
              <w:t>CFSP</w:t>
            </w:r>
          </w:p>
        </w:tc>
        <w:tc>
          <w:tcPr>
            <w:tcW w:w="5580" w:type="dxa"/>
            <w:vAlign w:val="bottom"/>
          </w:tcPr>
          <w:p>
            <w:pPr>
              <w:spacing w:after="0"/>
              <w:rPr>
                <w:sz w:val="20"/>
                <w:szCs w:val="20"/>
                <w:color w:val="auto"/>
              </w:rPr>
            </w:pPr>
            <w:r>
              <w:rPr>
                <w:rFonts w:ascii="Arial" w:cs="Arial" w:eastAsia="Arial" w:hAnsi="Arial"/>
                <w:sz w:val="18"/>
                <w:szCs w:val="18"/>
                <w:color w:val="auto"/>
                <w:w w:val="98"/>
              </w:rPr>
              <w:t>Myanmar, Angola, Cambodia, Malaysia, Kazakhstan, Portugal, Austria,</w:t>
            </w:r>
          </w:p>
        </w:tc>
      </w:tr>
      <w:tr>
        <w:trPr>
          <w:trHeight w:val="216"/>
        </w:trPr>
        <w:tc>
          <w:tcPr>
            <w:tcW w:w="1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9"/>
              </w:rPr>
              <w:t>Mongolia, Luxembourg, Guyana, Korea, Brazil, Chile, Laos, Colombia,</w:t>
            </w:r>
          </w:p>
        </w:tc>
      </w:tr>
      <w:tr>
        <w:trPr>
          <w:trHeight w:val="216"/>
        </w:trPr>
        <w:tc>
          <w:tcPr>
            <w:tcW w:w="1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89"/>
              </w:rPr>
              <w:t>Ecuador, Argentina, South Sudan, Hungary, Japan, Tanzania, Zambia, Congo</w:t>
            </w:r>
          </w:p>
        </w:tc>
      </w:tr>
      <w:tr>
        <w:trPr>
          <w:trHeight w:val="230"/>
        </w:trPr>
        <w:tc>
          <w:tcPr>
            <w:tcW w:w="1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(Brazzaville), India, Canada, Belgium</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3900" w:type="dxa"/>
            <w:vAlign w:val="bottom"/>
          </w:tcPr>
          <w:p>
            <w:pPr>
              <w:ind w:left="400"/>
              <w:spacing w:after="0"/>
              <w:rPr>
                <w:sz w:val="20"/>
                <w:szCs w:val="20"/>
                <w:color w:val="auto"/>
              </w:rPr>
            </w:pPr>
            <w:r>
              <w:rPr>
                <w:rFonts w:ascii="Arial" w:cs="Arial" w:eastAsia="Arial" w:hAnsi="Arial"/>
                <w:sz w:val="18"/>
                <w:szCs w:val="18"/>
                <w:color w:val="auto"/>
              </w:rPr>
              <w:t>Ulba Metallurgical Plant JSC</w:t>
            </w:r>
          </w:p>
        </w:tc>
        <w:tc>
          <w:tcPr>
            <w:tcW w:w="820" w:type="dxa"/>
            <w:vAlign w:val="bottom"/>
          </w:tcPr>
          <w:p>
            <w:pPr>
              <w:ind w:left="260"/>
              <w:spacing w:after="0"/>
              <w:rPr>
                <w:sz w:val="20"/>
                <w:szCs w:val="20"/>
                <w:color w:val="auto"/>
              </w:rPr>
            </w:pPr>
            <w:r>
              <w:rPr>
                <w:rFonts w:ascii="Arial" w:cs="Arial" w:eastAsia="Arial" w:hAnsi="Arial"/>
                <w:sz w:val="18"/>
                <w:szCs w:val="18"/>
                <w:color w:val="auto"/>
              </w:rPr>
              <w:t>CFSP</w:t>
            </w:r>
          </w:p>
        </w:tc>
        <w:tc>
          <w:tcPr>
            <w:tcW w:w="5580" w:type="dxa"/>
            <w:vAlign w:val="bottom"/>
          </w:tcPr>
          <w:p>
            <w:pPr>
              <w:spacing w:after="0"/>
              <w:rPr>
                <w:sz w:val="20"/>
                <w:szCs w:val="20"/>
                <w:color w:val="auto"/>
              </w:rPr>
            </w:pPr>
            <w:r>
              <w:rPr>
                <w:rFonts w:ascii="Arial" w:cs="Arial" w:eastAsia="Arial" w:hAnsi="Arial"/>
                <w:sz w:val="18"/>
                <w:szCs w:val="18"/>
                <w:color w:val="auto"/>
              </w:rPr>
              <w:t>DRC- Congo (Kinshasa), Myanmar, Angola, Cambodia, Malaysia,</w:t>
            </w:r>
          </w:p>
        </w:tc>
      </w:tr>
      <w:tr>
        <w:trPr>
          <w:trHeight w:val="216"/>
        </w:trPr>
        <w:tc>
          <w:tcPr>
            <w:tcW w:w="1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2"/>
              </w:rPr>
              <w:t>Kazakhstan, Portugal, Austria, Mongolia, Mozambique, Luxembourg, Brazil,</w:t>
            </w:r>
          </w:p>
        </w:tc>
      </w:tr>
      <w:tr>
        <w:trPr>
          <w:trHeight w:val="216"/>
        </w:trPr>
        <w:tc>
          <w:tcPr>
            <w:tcW w:w="1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4"/>
              </w:rPr>
              <w:t>Guyana, Korea, Chile, Laos, Ecuador, Colombia, Argentina, South Sudan,</w:t>
            </w:r>
          </w:p>
        </w:tc>
      </w:tr>
      <w:tr>
        <w:trPr>
          <w:trHeight w:val="230"/>
        </w:trPr>
        <w:tc>
          <w:tcPr>
            <w:tcW w:w="1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Hungary, Japan, Tanzania, Zambia, Congo</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Tantalum</w:t>
            </w:r>
          </w:p>
        </w:tc>
        <w:tc>
          <w:tcPr>
            <w:tcW w:w="3900" w:type="dxa"/>
            <w:vAlign w:val="bottom"/>
          </w:tcPr>
          <w:p>
            <w:pPr>
              <w:ind w:left="400"/>
              <w:spacing w:after="0"/>
              <w:rPr>
                <w:sz w:val="20"/>
                <w:szCs w:val="20"/>
                <w:color w:val="auto"/>
              </w:rPr>
            </w:pPr>
            <w:r>
              <w:rPr>
                <w:rFonts w:ascii="Arial" w:cs="Arial" w:eastAsia="Arial" w:hAnsi="Arial"/>
                <w:sz w:val="18"/>
                <w:szCs w:val="18"/>
                <w:color w:val="auto"/>
                <w:w w:val="98"/>
              </w:rPr>
              <w:t>Zhuzhou Cemented Carbide Group Co., Ltd.</w:t>
            </w:r>
          </w:p>
        </w:tc>
        <w:tc>
          <w:tcPr>
            <w:tcW w:w="820" w:type="dxa"/>
            <w:vAlign w:val="bottom"/>
          </w:tcPr>
          <w:p>
            <w:pPr>
              <w:ind w:left="260"/>
              <w:spacing w:after="0"/>
              <w:rPr>
                <w:sz w:val="20"/>
                <w:szCs w:val="20"/>
                <w:color w:val="auto"/>
              </w:rPr>
            </w:pPr>
            <w:r>
              <w:rPr>
                <w:rFonts w:ascii="Arial" w:cs="Arial" w:eastAsia="Arial" w:hAnsi="Arial"/>
                <w:sz w:val="18"/>
                <w:szCs w:val="18"/>
                <w:color w:val="auto"/>
              </w:rPr>
              <w:t>CFSP</w:t>
            </w:r>
          </w:p>
        </w:tc>
        <w:tc>
          <w:tcPr>
            <w:tcW w:w="5580" w:type="dxa"/>
            <w:vAlign w:val="bottom"/>
          </w:tcPr>
          <w:p>
            <w:pPr>
              <w:spacing w:after="0"/>
              <w:rPr>
                <w:sz w:val="20"/>
                <w:szCs w:val="20"/>
                <w:color w:val="auto"/>
              </w:rPr>
            </w:pPr>
            <w:r>
              <w:rPr>
                <w:rFonts w:ascii="Arial" w:cs="Arial" w:eastAsia="Arial" w:hAnsi="Arial"/>
                <w:sz w:val="18"/>
                <w:szCs w:val="18"/>
                <w:color w:val="auto"/>
                <w:w w:val="91"/>
              </w:rPr>
              <w:t>DRC- Congo (Kinshasa), Russian Federation, Burundi, Niger, China, Japan,</w:t>
            </w:r>
          </w:p>
        </w:tc>
      </w:tr>
      <w:tr>
        <w:trPr>
          <w:trHeight w:val="230"/>
        </w:trPr>
        <w:tc>
          <w:tcPr>
            <w:tcW w:w="1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Rwanda, Brazil, Malaysia, Nigeria, Kazakhstan</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Tin</w:t>
            </w:r>
          </w:p>
        </w:tc>
        <w:tc>
          <w:tcPr>
            <w:tcW w:w="3900" w:type="dxa"/>
            <w:vAlign w:val="bottom"/>
          </w:tcPr>
          <w:p>
            <w:pPr>
              <w:ind w:left="400"/>
              <w:spacing w:after="0"/>
              <w:rPr>
                <w:sz w:val="20"/>
                <w:szCs w:val="20"/>
                <w:color w:val="auto"/>
              </w:rPr>
            </w:pPr>
            <w:r>
              <w:rPr>
                <w:rFonts w:ascii="Arial" w:cs="Arial" w:eastAsia="Arial" w:hAnsi="Arial"/>
                <w:sz w:val="18"/>
                <w:szCs w:val="18"/>
                <w:color w:val="auto"/>
              </w:rPr>
              <w:t>China Tin Group Co., Ltd.</w:t>
            </w:r>
          </w:p>
        </w:tc>
        <w:tc>
          <w:tcPr>
            <w:tcW w:w="820" w:type="dxa"/>
            <w:vAlign w:val="bottom"/>
          </w:tcPr>
          <w:p>
            <w:pPr>
              <w:ind w:left="260"/>
              <w:spacing w:after="0"/>
              <w:rPr>
                <w:sz w:val="20"/>
                <w:szCs w:val="20"/>
                <w:color w:val="auto"/>
              </w:rPr>
            </w:pPr>
            <w:r>
              <w:rPr>
                <w:rFonts w:ascii="Arial" w:cs="Arial" w:eastAsia="Arial" w:hAnsi="Arial"/>
                <w:sz w:val="18"/>
                <w:szCs w:val="18"/>
                <w:color w:val="auto"/>
              </w:rPr>
              <w:t>CFSP</w:t>
            </w:r>
          </w:p>
        </w:tc>
        <w:tc>
          <w:tcPr>
            <w:tcW w:w="5580" w:type="dxa"/>
            <w:vAlign w:val="bottom"/>
          </w:tcPr>
          <w:p>
            <w:pPr>
              <w:spacing w:after="0"/>
              <w:rPr>
                <w:sz w:val="20"/>
                <w:szCs w:val="20"/>
                <w:color w:val="auto"/>
              </w:rPr>
            </w:pPr>
            <w:r>
              <w:rPr>
                <w:rFonts w:ascii="Arial" w:cs="Arial" w:eastAsia="Arial" w:hAnsi="Arial"/>
                <w:sz w:val="18"/>
                <w:szCs w:val="18"/>
                <w:color w:val="auto"/>
                <w:w w:val="91"/>
              </w:rPr>
              <w:t>DRC- Congo (Kinshasa), Russian Federation, United States, China, Mexico,</w:t>
            </w:r>
          </w:p>
        </w:tc>
      </w:tr>
      <w:tr>
        <w:trPr>
          <w:trHeight w:val="230"/>
        </w:trPr>
        <w:tc>
          <w:tcPr>
            <w:tcW w:w="1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Switzerland, Indonesia</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Tin</w:t>
            </w:r>
          </w:p>
        </w:tc>
        <w:tc>
          <w:tcPr>
            <w:tcW w:w="3900" w:type="dxa"/>
            <w:vAlign w:val="bottom"/>
          </w:tcPr>
          <w:p>
            <w:pPr>
              <w:ind w:left="400"/>
              <w:spacing w:after="0"/>
              <w:rPr>
                <w:sz w:val="20"/>
                <w:szCs w:val="20"/>
                <w:color w:val="auto"/>
              </w:rPr>
            </w:pPr>
            <w:r>
              <w:rPr>
                <w:rFonts w:ascii="Arial" w:cs="Arial" w:eastAsia="Arial" w:hAnsi="Arial"/>
                <w:sz w:val="18"/>
                <w:szCs w:val="18"/>
                <w:color w:val="auto"/>
              </w:rPr>
              <w:t>CV United Smelting</w:t>
            </w:r>
          </w:p>
        </w:tc>
        <w:tc>
          <w:tcPr>
            <w:tcW w:w="820" w:type="dxa"/>
            <w:vAlign w:val="bottom"/>
          </w:tcPr>
          <w:p>
            <w:pPr>
              <w:ind w:left="260"/>
              <w:spacing w:after="0"/>
              <w:rPr>
                <w:sz w:val="20"/>
                <w:szCs w:val="20"/>
                <w:color w:val="auto"/>
              </w:rPr>
            </w:pPr>
            <w:r>
              <w:rPr>
                <w:rFonts w:ascii="Arial" w:cs="Arial" w:eastAsia="Arial" w:hAnsi="Arial"/>
                <w:sz w:val="18"/>
                <w:szCs w:val="18"/>
                <w:color w:val="auto"/>
              </w:rPr>
              <w:t>CFSP</w:t>
            </w:r>
          </w:p>
        </w:tc>
        <w:tc>
          <w:tcPr>
            <w:tcW w:w="5580" w:type="dxa"/>
            <w:vAlign w:val="bottom"/>
          </w:tcPr>
          <w:p>
            <w:pPr>
              <w:spacing w:after="0"/>
              <w:rPr>
                <w:sz w:val="20"/>
                <w:szCs w:val="20"/>
                <w:color w:val="auto"/>
              </w:rPr>
            </w:pPr>
            <w:r>
              <w:rPr>
                <w:rFonts w:ascii="Arial" w:cs="Arial" w:eastAsia="Arial" w:hAnsi="Arial"/>
                <w:sz w:val="18"/>
                <w:szCs w:val="18"/>
                <w:color w:val="auto"/>
                <w:w w:val="99"/>
              </w:rPr>
              <w:t>DRC- Congo (Kinshasa), Myanmar, Cambodia, Malaysia, Kazakhstan,</w:t>
            </w:r>
          </w:p>
        </w:tc>
      </w:tr>
      <w:tr>
        <w:trPr>
          <w:trHeight w:val="216"/>
        </w:trPr>
        <w:tc>
          <w:tcPr>
            <w:tcW w:w="1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7"/>
              </w:rPr>
              <w:t>Portugal, Mongolia, Austria, Luxembourg, Brazil, Guyana, Korea, Chile,</w:t>
            </w:r>
          </w:p>
        </w:tc>
      </w:tr>
      <w:tr>
        <w:trPr>
          <w:trHeight w:val="216"/>
        </w:trPr>
        <w:tc>
          <w:tcPr>
            <w:tcW w:w="1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2"/>
              </w:rPr>
              <w:t>Laos, Ecuador, Colombia, Argentina, Hungary, Japan, Congo (Brazzaville),</w:t>
            </w:r>
          </w:p>
        </w:tc>
      </w:tr>
      <w:tr>
        <w:trPr>
          <w:trHeight w:val="230"/>
        </w:trPr>
        <w:tc>
          <w:tcPr>
            <w:tcW w:w="1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India, Canada, Belgium, Namibia, Tanzania</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Tin</w:t>
            </w:r>
          </w:p>
        </w:tc>
        <w:tc>
          <w:tcPr>
            <w:tcW w:w="3900" w:type="dxa"/>
            <w:vAlign w:val="bottom"/>
          </w:tcPr>
          <w:p>
            <w:pPr>
              <w:ind w:left="400"/>
              <w:spacing w:after="0"/>
              <w:rPr>
                <w:sz w:val="20"/>
                <w:szCs w:val="20"/>
                <w:color w:val="auto"/>
              </w:rPr>
            </w:pPr>
            <w:r>
              <w:rPr>
                <w:rFonts w:ascii="Arial" w:cs="Arial" w:eastAsia="Arial" w:hAnsi="Arial"/>
                <w:sz w:val="18"/>
                <w:szCs w:val="18"/>
                <w:color w:val="auto"/>
              </w:rPr>
              <w:t>CV Venus Inti Perkasa</w:t>
            </w:r>
          </w:p>
        </w:tc>
        <w:tc>
          <w:tcPr>
            <w:tcW w:w="820" w:type="dxa"/>
            <w:vAlign w:val="bottom"/>
          </w:tcPr>
          <w:p>
            <w:pPr>
              <w:ind w:left="260"/>
              <w:spacing w:after="0"/>
              <w:rPr>
                <w:sz w:val="20"/>
                <w:szCs w:val="20"/>
                <w:color w:val="auto"/>
              </w:rPr>
            </w:pPr>
            <w:r>
              <w:rPr>
                <w:rFonts w:ascii="Arial" w:cs="Arial" w:eastAsia="Arial" w:hAnsi="Arial"/>
                <w:sz w:val="18"/>
                <w:szCs w:val="18"/>
                <w:color w:val="auto"/>
              </w:rPr>
              <w:t>CFSP</w:t>
            </w:r>
          </w:p>
        </w:tc>
        <w:tc>
          <w:tcPr>
            <w:tcW w:w="5580" w:type="dxa"/>
            <w:vAlign w:val="bottom"/>
          </w:tcPr>
          <w:p>
            <w:pPr>
              <w:spacing w:after="0"/>
              <w:rPr>
                <w:sz w:val="20"/>
                <w:szCs w:val="20"/>
                <w:color w:val="auto"/>
              </w:rPr>
            </w:pPr>
            <w:r>
              <w:rPr>
                <w:rFonts w:ascii="Arial" w:cs="Arial" w:eastAsia="Arial" w:hAnsi="Arial"/>
                <w:sz w:val="18"/>
                <w:szCs w:val="18"/>
                <w:color w:val="auto"/>
                <w:w w:val="97"/>
              </w:rPr>
              <w:t>Canada, Japan, Guyana, Mexico, Suriname, Congo (Brazzaville), Chile,</w:t>
            </w:r>
          </w:p>
        </w:tc>
      </w:tr>
      <w:tr>
        <w:trPr>
          <w:trHeight w:val="230"/>
        </w:trPr>
        <w:tc>
          <w:tcPr>
            <w:tcW w:w="1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Peru, Switzerland, Germany, Indonesia</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Tin</w:t>
            </w:r>
          </w:p>
        </w:tc>
        <w:tc>
          <w:tcPr>
            <w:tcW w:w="3900" w:type="dxa"/>
            <w:vAlign w:val="bottom"/>
          </w:tcPr>
          <w:p>
            <w:pPr>
              <w:ind w:left="400"/>
              <w:spacing w:after="0"/>
              <w:rPr>
                <w:sz w:val="20"/>
                <w:szCs w:val="20"/>
                <w:color w:val="auto"/>
              </w:rPr>
            </w:pPr>
            <w:r>
              <w:rPr>
                <w:rFonts w:ascii="Arial" w:cs="Arial" w:eastAsia="Arial" w:hAnsi="Arial"/>
                <w:sz w:val="18"/>
                <w:szCs w:val="18"/>
                <w:color w:val="auto"/>
              </w:rPr>
              <w:t>EM Vinto</w:t>
            </w:r>
          </w:p>
        </w:tc>
        <w:tc>
          <w:tcPr>
            <w:tcW w:w="820" w:type="dxa"/>
            <w:vAlign w:val="bottom"/>
          </w:tcPr>
          <w:p>
            <w:pPr>
              <w:ind w:left="260"/>
              <w:spacing w:after="0"/>
              <w:rPr>
                <w:sz w:val="20"/>
                <w:szCs w:val="20"/>
                <w:color w:val="auto"/>
              </w:rPr>
            </w:pPr>
            <w:r>
              <w:rPr>
                <w:rFonts w:ascii="Arial" w:cs="Arial" w:eastAsia="Arial" w:hAnsi="Arial"/>
                <w:sz w:val="18"/>
                <w:szCs w:val="18"/>
                <w:color w:val="auto"/>
              </w:rPr>
              <w:t>CFSP</w:t>
            </w:r>
          </w:p>
        </w:tc>
        <w:tc>
          <w:tcPr>
            <w:tcW w:w="5580" w:type="dxa"/>
            <w:vAlign w:val="bottom"/>
          </w:tcPr>
          <w:p>
            <w:pPr>
              <w:spacing w:after="0"/>
              <w:rPr>
                <w:sz w:val="20"/>
                <w:szCs w:val="20"/>
                <w:color w:val="auto"/>
              </w:rPr>
            </w:pPr>
            <w:r>
              <w:rPr>
                <w:rFonts w:ascii="Arial" w:cs="Arial" w:eastAsia="Arial" w:hAnsi="Arial"/>
                <w:sz w:val="18"/>
                <w:szCs w:val="18"/>
                <w:color w:val="auto"/>
                <w:w w:val="99"/>
              </w:rPr>
              <w:t>DRC- Congo (Kinshasa), Myanmar, Cambodia, Malaysia, Kazakhstan,</w:t>
            </w:r>
          </w:p>
        </w:tc>
      </w:tr>
      <w:tr>
        <w:trPr>
          <w:trHeight w:val="216"/>
        </w:trPr>
        <w:tc>
          <w:tcPr>
            <w:tcW w:w="1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7"/>
              </w:rPr>
              <w:t>Portugal, Mongolia, Austria, Luxembourg, Guyana, Brazil, Korea, Chile,</w:t>
            </w:r>
          </w:p>
        </w:tc>
      </w:tr>
      <w:tr>
        <w:trPr>
          <w:trHeight w:val="216"/>
        </w:trPr>
        <w:tc>
          <w:tcPr>
            <w:tcW w:w="1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2"/>
              </w:rPr>
              <w:t>Laos, Colombia, Ecuador, Argentina, Hungary, Japan, Congo (Brazzaville),</w:t>
            </w:r>
          </w:p>
        </w:tc>
      </w:tr>
      <w:tr>
        <w:trPr>
          <w:trHeight w:val="230"/>
        </w:trPr>
        <w:tc>
          <w:tcPr>
            <w:tcW w:w="1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India, Canada, Belgium, Namibia, Tanzania</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Tin</w:t>
            </w:r>
          </w:p>
        </w:tc>
        <w:tc>
          <w:tcPr>
            <w:tcW w:w="3900" w:type="dxa"/>
            <w:vAlign w:val="bottom"/>
          </w:tcPr>
          <w:p>
            <w:pPr>
              <w:ind w:left="400"/>
              <w:spacing w:after="0"/>
              <w:rPr>
                <w:sz w:val="20"/>
                <w:szCs w:val="20"/>
                <w:color w:val="auto"/>
              </w:rPr>
            </w:pPr>
            <w:r>
              <w:rPr>
                <w:rFonts w:ascii="Arial" w:cs="Arial" w:eastAsia="Arial" w:hAnsi="Arial"/>
                <w:sz w:val="18"/>
                <w:szCs w:val="18"/>
                <w:color w:val="auto"/>
              </w:rPr>
              <w:t>Jiangxi Ketai Advanced Material Co., Ltd.</w:t>
            </w:r>
          </w:p>
        </w:tc>
        <w:tc>
          <w:tcPr>
            <w:tcW w:w="820" w:type="dxa"/>
            <w:vAlign w:val="bottom"/>
          </w:tcPr>
          <w:p>
            <w:pPr>
              <w:ind w:left="260"/>
              <w:spacing w:after="0"/>
              <w:rPr>
                <w:sz w:val="20"/>
                <w:szCs w:val="20"/>
                <w:color w:val="auto"/>
              </w:rPr>
            </w:pPr>
            <w:r>
              <w:rPr>
                <w:rFonts w:ascii="Arial" w:cs="Arial" w:eastAsia="Arial" w:hAnsi="Arial"/>
                <w:sz w:val="18"/>
                <w:szCs w:val="18"/>
                <w:color w:val="auto"/>
              </w:rPr>
              <w:t>CFSP</w:t>
            </w:r>
          </w:p>
        </w:tc>
        <w:tc>
          <w:tcPr>
            <w:tcW w:w="5580" w:type="dxa"/>
            <w:vAlign w:val="bottom"/>
          </w:tcPr>
          <w:p>
            <w:pPr>
              <w:spacing w:after="0"/>
              <w:rPr>
                <w:sz w:val="20"/>
                <w:szCs w:val="20"/>
                <w:color w:val="auto"/>
              </w:rPr>
            </w:pPr>
            <w:r>
              <w:rPr>
                <w:rFonts w:ascii="Arial" w:cs="Arial" w:eastAsia="Arial" w:hAnsi="Arial"/>
                <w:sz w:val="18"/>
                <w:szCs w:val="18"/>
                <w:color w:val="auto"/>
                <w:w w:val="95"/>
              </w:rPr>
              <w:t>Myanmar, Cambodia, Malaysia, Kazakhstan, Portugal, Mongolia, Austria,</w:t>
            </w:r>
          </w:p>
        </w:tc>
      </w:tr>
      <w:tr>
        <w:trPr>
          <w:trHeight w:val="216"/>
        </w:trPr>
        <w:tc>
          <w:tcPr>
            <w:tcW w:w="1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Luxembourg, Brazil, Guyana, Korea, Chile, Laos, Ecuador, Argentina,</w:t>
            </w:r>
          </w:p>
        </w:tc>
      </w:tr>
      <w:tr>
        <w:trPr>
          <w:trHeight w:val="216"/>
        </w:trPr>
        <w:tc>
          <w:tcPr>
            <w:tcW w:w="11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1"/>
              </w:rPr>
              <w:t>Hungary, Japan, India, Canada, Belgium, Namibia, Taiwan, Peru, Germany,</w:t>
            </w:r>
          </w:p>
        </w:tc>
      </w:tr>
      <w:tr>
        <w:trPr>
          <w:trHeight w:val="230"/>
        </w:trPr>
        <w:tc>
          <w:tcPr>
            <w:tcW w:w="1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Ethiopia, Russian Federation, Burundi</w:t>
            </w:r>
          </w:p>
        </w:tc>
      </w:tr>
      <w:tr>
        <w:trPr>
          <w:trHeight w:val="365"/>
        </w:trPr>
        <w:tc>
          <w:tcPr>
            <w:tcW w:w="11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89"/>
              </w:rPr>
              <w:t>11</w:t>
            </w:r>
          </w:p>
        </w:tc>
        <w:tc>
          <w:tcPr>
            <w:tcW w:w="5580" w:type="dxa"/>
            <w:vAlign w:val="bottom"/>
          </w:tcPr>
          <w:p>
            <w:pPr>
              <w:spacing w:after="0"/>
              <w:rPr>
                <w:sz w:val="24"/>
                <w:szCs w:val="24"/>
                <w:color w:val="auto"/>
              </w:rPr>
            </w:pPr>
          </w:p>
        </w:tc>
      </w:tr>
    </w:tbl>
    <w:p>
      <w:pPr>
        <w:sectPr>
          <w:pgSz w:w="11900" w:h="16838" w:orient="portrait"/>
          <w:cols w:equalWidth="0" w:num="1">
            <w:col w:w="11400"/>
          </w:cols>
          <w:pgMar w:left="240" w:top="382" w:right="25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3920" w:type="dxa"/>
            <w:vAlign w:val="bottom"/>
          </w:tcPr>
          <w:p>
            <w:pPr>
              <w:ind w:left="620"/>
              <w:spacing w:after="0"/>
              <w:rPr>
                <w:sz w:val="20"/>
                <w:szCs w:val="20"/>
                <w:color w:val="auto"/>
              </w:rPr>
            </w:pPr>
            <w:r>
              <w:rPr>
                <w:rFonts w:ascii="Arial" w:cs="Arial" w:eastAsia="Arial" w:hAnsi="Arial"/>
                <w:sz w:val="18"/>
                <w:szCs w:val="18"/>
                <w:color w:val="auto"/>
              </w:rPr>
              <w:t>Magnu’s Minerais Metais e Ligas Ltda.</w:t>
            </w:r>
          </w:p>
        </w:tc>
        <w:tc>
          <w:tcPr>
            <w:tcW w:w="1020" w:type="dxa"/>
            <w:vAlign w:val="bottom"/>
          </w:tcPr>
          <w:p>
            <w:pPr>
              <w:ind w:left="460"/>
              <w:spacing w:after="0"/>
              <w:rPr>
                <w:sz w:val="20"/>
                <w:szCs w:val="20"/>
                <w:color w:val="auto"/>
              </w:rPr>
            </w:pPr>
            <w:r>
              <w:rPr>
                <w:rFonts w:ascii="Arial" w:cs="Arial" w:eastAsia="Arial" w:hAnsi="Arial"/>
                <w:sz w:val="18"/>
                <w:szCs w:val="18"/>
                <w:color w:val="auto"/>
              </w:rPr>
              <w:t>CFSP</w:t>
            </w:r>
          </w:p>
        </w:tc>
        <w:tc>
          <w:tcPr>
            <w:tcW w:w="5540" w:type="dxa"/>
            <w:vAlign w:val="bottom"/>
          </w:tcPr>
          <w:p>
            <w:pPr>
              <w:spacing w:after="0"/>
              <w:rPr>
                <w:sz w:val="20"/>
                <w:szCs w:val="20"/>
                <w:color w:val="auto"/>
              </w:rPr>
            </w:pPr>
            <w:r>
              <w:rPr>
                <w:rFonts w:ascii="Arial" w:cs="Arial" w:eastAsia="Arial" w:hAnsi="Arial"/>
                <w:sz w:val="18"/>
                <w:szCs w:val="18"/>
                <w:color w:val="auto"/>
                <w:w w:val="98"/>
              </w:rPr>
              <w:t>DRC- Congo (Kinshasa), Myanmar, Cambodia, Malaysia, Kazakhstan,</w:t>
            </w:r>
          </w:p>
        </w:tc>
      </w:tr>
      <w:tr>
        <w:trPr>
          <w:trHeight w:val="216"/>
        </w:trPr>
        <w:tc>
          <w:tcPr>
            <w:tcW w:w="8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7"/>
              </w:rPr>
              <w:t>Portugal, Mongolia, Austria, Luxembourg, Brazil, Guyana, Korea, Chile,</w:t>
            </w:r>
          </w:p>
        </w:tc>
      </w:tr>
      <w:tr>
        <w:trPr>
          <w:trHeight w:val="216"/>
        </w:trPr>
        <w:tc>
          <w:tcPr>
            <w:tcW w:w="8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9"/>
              </w:rPr>
              <w:t>Laos, Ecuador, Colombia, Argentina, Hungary, Japan, India, Canada,</w:t>
            </w:r>
          </w:p>
        </w:tc>
      </w:tr>
      <w:tr>
        <w:trPr>
          <w:trHeight w:val="230"/>
        </w:trPr>
        <w:tc>
          <w:tcPr>
            <w:tcW w:w="8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Belgium, Namibia, Taiwan, Peru, Ethiopia</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3920" w:type="dxa"/>
            <w:vAlign w:val="bottom"/>
          </w:tcPr>
          <w:p>
            <w:pPr>
              <w:ind w:left="620"/>
              <w:spacing w:after="0"/>
              <w:rPr>
                <w:sz w:val="20"/>
                <w:szCs w:val="20"/>
                <w:color w:val="auto"/>
              </w:rPr>
            </w:pPr>
            <w:r>
              <w:rPr>
                <w:rFonts w:ascii="Arial" w:cs="Arial" w:eastAsia="Arial" w:hAnsi="Arial"/>
                <w:sz w:val="18"/>
                <w:szCs w:val="18"/>
                <w:color w:val="auto"/>
              </w:rPr>
              <w:t>Malaysia Smelting Corporation (MSC)</w:t>
            </w:r>
          </w:p>
        </w:tc>
        <w:tc>
          <w:tcPr>
            <w:tcW w:w="1020" w:type="dxa"/>
            <w:vAlign w:val="bottom"/>
          </w:tcPr>
          <w:p>
            <w:pPr>
              <w:ind w:left="460"/>
              <w:spacing w:after="0"/>
              <w:rPr>
                <w:sz w:val="20"/>
                <w:szCs w:val="20"/>
                <w:color w:val="auto"/>
              </w:rPr>
            </w:pPr>
            <w:r>
              <w:rPr>
                <w:rFonts w:ascii="Arial" w:cs="Arial" w:eastAsia="Arial" w:hAnsi="Arial"/>
                <w:sz w:val="18"/>
                <w:szCs w:val="18"/>
                <w:color w:val="auto"/>
              </w:rPr>
              <w:t>CFSP</w:t>
            </w:r>
          </w:p>
        </w:tc>
        <w:tc>
          <w:tcPr>
            <w:tcW w:w="5540" w:type="dxa"/>
            <w:vAlign w:val="bottom"/>
          </w:tcPr>
          <w:p>
            <w:pPr>
              <w:spacing w:after="0"/>
              <w:rPr>
                <w:sz w:val="20"/>
                <w:szCs w:val="20"/>
                <w:color w:val="auto"/>
              </w:rPr>
            </w:pPr>
            <w:r>
              <w:rPr>
                <w:rFonts w:ascii="Arial" w:cs="Arial" w:eastAsia="Arial" w:hAnsi="Arial"/>
                <w:sz w:val="18"/>
                <w:szCs w:val="18"/>
                <w:color w:val="auto"/>
              </w:rPr>
              <w:t>DRC- Congo (Kinshasa), Myanmar, Angola, Cambodia, Malaysia,</w:t>
            </w:r>
          </w:p>
        </w:tc>
      </w:tr>
      <w:tr>
        <w:trPr>
          <w:trHeight w:val="216"/>
        </w:trPr>
        <w:tc>
          <w:tcPr>
            <w:tcW w:w="8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1"/>
              </w:rPr>
              <w:t>Kazakhstan, Mongolia, Austria, Mozambique, Luxembourg, Guyana, Korea,</w:t>
            </w:r>
          </w:p>
        </w:tc>
      </w:tr>
      <w:tr>
        <w:trPr>
          <w:trHeight w:val="216"/>
        </w:trPr>
        <w:tc>
          <w:tcPr>
            <w:tcW w:w="8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6"/>
              </w:rPr>
              <w:t>Laos, Colombia, Ecuador, Argentina, South Sudan, Hungary, Tanzania,</w:t>
            </w:r>
          </w:p>
        </w:tc>
      </w:tr>
      <w:tr>
        <w:trPr>
          <w:trHeight w:val="230"/>
        </w:trPr>
        <w:tc>
          <w:tcPr>
            <w:tcW w:w="8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Zambia, Congo (Brazzaville), India, Belgium</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3920" w:type="dxa"/>
            <w:vAlign w:val="bottom"/>
          </w:tcPr>
          <w:p>
            <w:pPr>
              <w:ind w:left="620"/>
              <w:spacing w:after="0"/>
              <w:rPr>
                <w:sz w:val="20"/>
                <w:szCs w:val="20"/>
                <w:color w:val="auto"/>
              </w:rPr>
            </w:pPr>
            <w:r>
              <w:rPr>
                <w:rFonts w:ascii="Arial" w:cs="Arial" w:eastAsia="Arial" w:hAnsi="Arial"/>
                <w:sz w:val="18"/>
                <w:szCs w:val="18"/>
                <w:color w:val="auto"/>
              </w:rPr>
              <w:t>Metallo-Chimique N.V.</w:t>
            </w:r>
          </w:p>
        </w:tc>
        <w:tc>
          <w:tcPr>
            <w:tcW w:w="1020" w:type="dxa"/>
            <w:vAlign w:val="bottom"/>
          </w:tcPr>
          <w:p>
            <w:pPr>
              <w:ind w:left="460"/>
              <w:spacing w:after="0"/>
              <w:rPr>
                <w:sz w:val="20"/>
                <w:szCs w:val="20"/>
                <w:color w:val="auto"/>
              </w:rPr>
            </w:pPr>
            <w:r>
              <w:rPr>
                <w:rFonts w:ascii="Arial" w:cs="Arial" w:eastAsia="Arial" w:hAnsi="Arial"/>
                <w:sz w:val="18"/>
                <w:szCs w:val="18"/>
                <w:color w:val="auto"/>
              </w:rPr>
              <w:t>CFSP</w:t>
            </w:r>
          </w:p>
        </w:tc>
        <w:tc>
          <w:tcPr>
            <w:tcW w:w="5540" w:type="dxa"/>
            <w:vAlign w:val="bottom"/>
          </w:tcPr>
          <w:p>
            <w:pPr>
              <w:spacing w:after="0"/>
              <w:rPr>
                <w:sz w:val="20"/>
                <w:szCs w:val="20"/>
                <w:color w:val="auto"/>
              </w:rPr>
            </w:pPr>
            <w:r>
              <w:rPr>
                <w:rFonts w:ascii="Arial" w:cs="Arial" w:eastAsia="Arial" w:hAnsi="Arial"/>
                <w:sz w:val="18"/>
                <w:szCs w:val="18"/>
                <w:color w:val="auto"/>
                <w:w w:val="98"/>
              </w:rPr>
              <w:t>DRC- Congo (Kinshasa), Myanmar, Cambodia, Malaysia, Kazakhstan,</w:t>
            </w:r>
          </w:p>
        </w:tc>
      </w:tr>
      <w:tr>
        <w:trPr>
          <w:trHeight w:val="216"/>
        </w:trPr>
        <w:tc>
          <w:tcPr>
            <w:tcW w:w="8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7"/>
              </w:rPr>
              <w:t>Portugal, Austria, Mongolia, Luxembourg, Brazil, Guyana, Korea, Chile,</w:t>
            </w:r>
          </w:p>
        </w:tc>
      </w:tr>
      <w:tr>
        <w:trPr>
          <w:trHeight w:val="216"/>
        </w:trPr>
        <w:tc>
          <w:tcPr>
            <w:tcW w:w="8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9"/>
              </w:rPr>
              <w:t>Laos, Ecuador, Colombia, Argentina, Hungary, Japan, India, Canada,</w:t>
            </w:r>
          </w:p>
        </w:tc>
      </w:tr>
      <w:tr>
        <w:trPr>
          <w:trHeight w:val="230"/>
        </w:trPr>
        <w:tc>
          <w:tcPr>
            <w:tcW w:w="8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Belgium, Namibia, Taiwan, Peru, Ethiopia</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3920" w:type="dxa"/>
            <w:vAlign w:val="bottom"/>
          </w:tcPr>
          <w:p>
            <w:pPr>
              <w:ind w:left="620"/>
              <w:spacing w:after="0"/>
              <w:rPr>
                <w:sz w:val="20"/>
                <w:szCs w:val="20"/>
                <w:color w:val="auto"/>
              </w:rPr>
            </w:pPr>
            <w:r>
              <w:rPr>
                <w:rFonts w:ascii="Arial" w:cs="Arial" w:eastAsia="Arial" w:hAnsi="Arial"/>
                <w:sz w:val="18"/>
                <w:szCs w:val="18"/>
                <w:color w:val="auto"/>
              </w:rPr>
              <w:t>Minsur</w:t>
            </w:r>
          </w:p>
        </w:tc>
        <w:tc>
          <w:tcPr>
            <w:tcW w:w="1020" w:type="dxa"/>
            <w:vAlign w:val="bottom"/>
          </w:tcPr>
          <w:p>
            <w:pPr>
              <w:ind w:left="460"/>
              <w:spacing w:after="0"/>
              <w:rPr>
                <w:sz w:val="20"/>
                <w:szCs w:val="20"/>
                <w:color w:val="auto"/>
              </w:rPr>
            </w:pPr>
            <w:r>
              <w:rPr>
                <w:rFonts w:ascii="Arial" w:cs="Arial" w:eastAsia="Arial" w:hAnsi="Arial"/>
                <w:sz w:val="18"/>
                <w:szCs w:val="18"/>
                <w:color w:val="auto"/>
              </w:rPr>
              <w:t>CFSP</w:t>
            </w:r>
          </w:p>
        </w:tc>
        <w:tc>
          <w:tcPr>
            <w:tcW w:w="5540" w:type="dxa"/>
            <w:vAlign w:val="bottom"/>
          </w:tcPr>
          <w:p>
            <w:pPr>
              <w:spacing w:after="0"/>
              <w:rPr>
                <w:sz w:val="20"/>
                <w:szCs w:val="20"/>
                <w:color w:val="auto"/>
              </w:rPr>
            </w:pPr>
            <w:r>
              <w:rPr>
                <w:rFonts w:ascii="Arial" w:cs="Arial" w:eastAsia="Arial" w:hAnsi="Arial"/>
                <w:sz w:val="18"/>
                <w:szCs w:val="18"/>
                <w:color w:val="auto"/>
                <w:w w:val="98"/>
              </w:rPr>
              <w:t>DRC- Congo (Kinshasa), Myanmar, Cambodia, Malaysia, Kazakhstan,</w:t>
            </w:r>
          </w:p>
        </w:tc>
      </w:tr>
      <w:tr>
        <w:trPr>
          <w:trHeight w:val="216"/>
        </w:trPr>
        <w:tc>
          <w:tcPr>
            <w:tcW w:w="8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7"/>
              </w:rPr>
              <w:t>Portugal, Mongolia, Austria, Luxembourg, Korea, Brazil, Guyana, Chile,</w:t>
            </w:r>
          </w:p>
        </w:tc>
      </w:tr>
      <w:tr>
        <w:trPr>
          <w:trHeight w:val="216"/>
        </w:trPr>
        <w:tc>
          <w:tcPr>
            <w:tcW w:w="8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9"/>
              </w:rPr>
              <w:t>Laos, Colombia, Ecuador, Argentina, Hungary, Japan, India, Canada,</w:t>
            </w:r>
          </w:p>
        </w:tc>
      </w:tr>
      <w:tr>
        <w:trPr>
          <w:trHeight w:val="230"/>
        </w:trPr>
        <w:tc>
          <w:tcPr>
            <w:tcW w:w="8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Belgium, Namibia, Taiwan, Peru, Ethiopia</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3920" w:type="dxa"/>
            <w:vAlign w:val="bottom"/>
          </w:tcPr>
          <w:p>
            <w:pPr>
              <w:ind w:left="620"/>
              <w:spacing w:after="0"/>
              <w:rPr>
                <w:sz w:val="20"/>
                <w:szCs w:val="20"/>
                <w:color w:val="auto"/>
              </w:rPr>
            </w:pPr>
            <w:r>
              <w:rPr>
                <w:rFonts w:ascii="Arial" w:cs="Arial" w:eastAsia="Arial" w:hAnsi="Arial"/>
                <w:sz w:val="18"/>
                <w:szCs w:val="18"/>
                <w:color w:val="auto"/>
              </w:rPr>
              <w:t>Operaciones Metalurgical S.A.</w:t>
            </w:r>
          </w:p>
        </w:tc>
        <w:tc>
          <w:tcPr>
            <w:tcW w:w="1020" w:type="dxa"/>
            <w:vAlign w:val="bottom"/>
          </w:tcPr>
          <w:p>
            <w:pPr>
              <w:ind w:left="460"/>
              <w:spacing w:after="0"/>
              <w:rPr>
                <w:sz w:val="20"/>
                <w:szCs w:val="20"/>
                <w:color w:val="auto"/>
              </w:rPr>
            </w:pPr>
            <w:r>
              <w:rPr>
                <w:rFonts w:ascii="Arial" w:cs="Arial" w:eastAsia="Arial" w:hAnsi="Arial"/>
                <w:sz w:val="18"/>
                <w:szCs w:val="18"/>
                <w:color w:val="auto"/>
              </w:rPr>
              <w:t>CFSP</w:t>
            </w:r>
          </w:p>
        </w:tc>
        <w:tc>
          <w:tcPr>
            <w:tcW w:w="5540" w:type="dxa"/>
            <w:vAlign w:val="bottom"/>
          </w:tcPr>
          <w:p>
            <w:pPr>
              <w:spacing w:after="0"/>
              <w:rPr>
                <w:sz w:val="20"/>
                <w:szCs w:val="20"/>
                <w:color w:val="auto"/>
              </w:rPr>
            </w:pPr>
            <w:r>
              <w:rPr>
                <w:rFonts w:ascii="Arial" w:cs="Arial" w:eastAsia="Arial" w:hAnsi="Arial"/>
                <w:sz w:val="18"/>
                <w:szCs w:val="18"/>
                <w:color w:val="auto"/>
                <w:w w:val="98"/>
              </w:rPr>
              <w:t>DRC- Congo (Kinshasa), Myanmar, Cambodia, Malaysia, Kazakhstan,</w:t>
            </w:r>
          </w:p>
        </w:tc>
      </w:tr>
      <w:tr>
        <w:trPr>
          <w:trHeight w:val="216"/>
        </w:trPr>
        <w:tc>
          <w:tcPr>
            <w:tcW w:w="8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7"/>
              </w:rPr>
              <w:t>Portugal, Mongolia, Austria, Luxembourg, Guyana, Brazil, Korea, Chile,</w:t>
            </w:r>
          </w:p>
        </w:tc>
      </w:tr>
      <w:tr>
        <w:trPr>
          <w:trHeight w:val="216"/>
        </w:trPr>
        <w:tc>
          <w:tcPr>
            <w:tcW w:w="8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9"/>
              </w:rPr>
              <w:t>Laos, Ecuador, Colombia, Argentina, Hungary, Japan, India, Canada,</w:t>
            </w:r>
          </w:p>
        </w:tc>
      </w:tr>
      <w:tr>
        <w:trPr>
          <w:trHeight w:val="230"/>
        </w:trPr>
        <w:tc>
          <w:tcPr>
            <w:tcW w:w="8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Belgium, Namibia, Taiwan, Peru, Ethiopia</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3920" w:type="dxa"/>
            <w:vAlign w:val="bottom"/>
          </w:tcPr>
          <w:p>
            <w:pPr>
              <w:ind w:left="620"/>
              <w:spacing w:after="0"/>
              <w:rPr>
                <w:sz w:val="20"/>
                <w:szCs w:val="20"/>
                <w:color w:val="auto"/>
              </w:rPr>
            </w:pPr>
            <w:r>
              <w:rPr>
                <w:rFonts w:ascii="Arial" w:cs="Arial" w:eastAsia="Arial" w:hAnsi="Arial"/>
                <w:sz w:val="18"/>
                <w:szCs w:val="18"/>
                <w:color w:val="auto"/>
              </w:rPr>
              <w:t>PT Bangka Tin Industry</w:t>
            </w:r>
          </w:p>
        </w:tc>
        <w:tc>
          <w:tcPr>
            <w:tcW w:w="1020" w:type="dxa"/>
            <w:vAlign w:val="bottom"/>
          </w:tcPr>
          <w:p>
            <w:pPr>
              <w:ind w:left="460"/>
              <w:spacing w:after="0"/>
              <w:rPr>
                <w:sz w:val="20"/>
                <w:szCs w:val="20"/>
                <w:color w:val="auto"/>
              </w:rPr>
            </w:pPr>
            <w:r>
              <w:rPr>
                <w:rFonts w:ascii="Arial" w:cs="Arial" w:eastAsia="Arial" w:hAnsi="Arial"/>
                <w:sz w:val="18"/>
                <w:szCs w:val="18"/>
                <w:color w:val="auto"/>
              </w:rPr>
              <w:t>CFSP</w:t>
            </w:r>
          </w:p>
        </w:tc>
        <w:tc>
          <w:tcPr>
            <w:tcW w:w="5540" w:type="dxa"/>
            <w:vAlign w:val="bottom"/>
          </w:tcPr>
          <w:p>
            <w:pPr>
              <w:spacing w:after="0"/>
              <w:rPr>
                <w:sz w:val="20"/>
                <w:szCs w:val="20"/>
                <w:color w:val="auto"/>
              </w:rPr>
            </w:pPr>
            <w:r>
              <w:rPr>
                <w:rFonts w:ascii="Arial" w:cs="Arial" w:eastAsia="Arial" w:hAnsi="Arial"/>
                <w:sz w:val="18"/>
                <w:szCs w:val="18"/>
                <w:color w:val="auto"/>
                <w:w w:val="98"/>
              </w:rPr>
              <w:t>DRC- Congo (Kinshasa), Myanmar, Cambodia, Malaysia, Kazakhstan,</w:t>
            </w:r>
          </w:p>
        </w:tc>
      </w:tr>
      <w:tr>
        <w:trPr>
          <w:trHeight w:val="216"/>
        </w:trPr>
        <w:tc>
          <w:tcPr>
            <w:tcW w:w="8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7"/>
              </w:rPr>
              <w:t>Portugal, Mongolia, Austria, Luxembourg, Guyana, Brazil, Korea, Chile,</w:t>
            </w:r>
          </w:p>
        </w:tc>
      </w:tr>
      <w:tr>
        <w:trPr>
          <w:trHeight w:val="216"/>
        </w:trPr>
        <w:tc>
          <w:tcPr>
            <w:tcW w:w="8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9"/>
              </w:rPr>
              <w:t>Laos, Colombia, Ecuador, Argentina, Hungary, Japan, India, Canada,</w:t>
            </w:r>
          </w:p>
        </w:tc>
      </w:tr>
      <w:tr>
        <w:trPr>
          <w:trHeight w:val="230"/>
        </w:trPr>
        <w:tc>
          <w:tcPr>
            <w:tcW w:w="8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Belgium, Namibia, Taiwan, Peru, Germany</w:t>
            </w:r>
          </w:p>
        </w:tc>
      </w:tr>
      <w:tr>
        <w:trPr>
          <w:trHeight w:val="365"/>
        </w:trPr>
        <w:tc>
          <w:tcPr>
            <w:tcW w:w="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89"/>
              </w:rPr>
              <w:t>12</w:t>
            </w:r>
          </w:p>
        </w:tc>
        <w:tc>
          <w:tcPr>
            <w:tcW w:w="5540" w:type="dxa"/>
            <w:vAlign w:val="bottom"/>
          </w:tcPr>
          <w:p>
            <w:pPr>
              <w:spacing w:after="0"/>
              <w:rPr>
                <w:sz w:val="24"/>
                <w:szCs w:val="24"/>
                <w:color w:val="auto"/>
              </w:rPr>
            </w:pPr>
          </w:p>
        </w:tc>
      </w:tr>
    </w:tbl>
    <w:p>
      <w:pPr>
        <w:sectPr>
          <w:pgSz w:w="11900" w:h="16838" w:orient="portrait"/>
          <w:cols w:equalWidth="0" w:num="1">
            <w:col w:w="11360"/>
          </w:cols>
          <w:pgMar w:left="240" w:top="382" w:right="29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3680" w:type="dxa"/>
            <w:vAlign w:val="bottom"/>
          </w:tcPr>
          <w:p>
            <w:pPr>
              <w:ind w:left="620"/>
              <w:spacing w:after="0"/>
              <w:rPr>
                <w:sz w:val="20"/>
                <w:szCs w:val="20"/>
                <w:color w:val="auto"/>
              </w:rPr>
            </w:pPr>
            <w:r>
              <w:rPr>
                <w:rFonts w:ascii="Arial" w:cs="Arial" w:eastAsia="Arial" w:hAnsi="Arial"/>
                <w:sz w:val="18"/>
                <w:szCs w:val="18"/>
                <w:color w:val="auto"/>
              </w:rPr>
              <w:t>PT Bukit Timah</w:t>
            </w:r>
          </w:p>
        </w:tc>
        <w:tc>
          <w:tcPr>
            <w:tcW w:w="1260" w:type="dxa"/>
            <w:vAlign w:val="bottom"/>
          </w:tcPr>
          <w:p>
            <w:pPr>
              <w:ind w:left="700"/>
              <w:spacing w:after="0"/>
              <w:rPr>
                <w:sz w:val="20"/>
                <w:szCs w:val="20"/>
                <w:color w:val="auto"/>
              </w:rPr>
            </w:pPr>
            <w:r>
              <w:rPr>
                <w:rFonts w:ascii="Arial" w:cs="Arial" w:eastAsia="Arial" w:hAnsi="Arial"/>
                <w:sz w:val="18"/>
                <w:szCs w:val="18"/>
                <w:color w:val="auto"/>
              </w:rPr>
              <w:t>CFSP</w:t>
            </w:r>
          </w:p>
        </w:tc>
        <w:tc>
          <w:tcPr>
            <w:tcW w:w="5560" w:type="dxa"/>
            <w:vAlign w:val="bottom"/>
          </w:tcPr>
          <w:p>
            <w:pPr>
              <w:spacing w:after="0"/>
              <w:rPr>
                <w:sz w:val="20"/>
                <w:szCs w:val="20"/>
                <w:color w:val="auto"/>
              </w:rPr>
            </w:pPr>
            <w:r>
              <w:rPr>
                <w:rFonts w:ascii="Arial" w:cs="Arial" w:eastAsia="Arial" w:hAnsi="Arial"/>
                <w:sz w:val="18"/>
                <w:szCs w:val="18"/>
                <w:color w:val="auto"/>
                <w:w w:val="98"/>
              </w:rPr>
              <w:t>DRC- Congo (Kinshasa), Myanmar, Cambodia, Malaysia, Kazakhstan,</w:t>
            </w:r>
          </w:p>
        </w:tc>
      </w:tr>
      <w:tr>
        <w:trPr>
          <w:trHeight w:val="216"/>
        </w:trPr>
        <w:tc>
          <w:tcPr>
            <w:tcW w:w="8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7"/>
              </w:rPr>
              <w:t>Portugal, Mongolia, Austria, Luxembourg, Brazil, Korea, Guyana, Chile,</w:t>
            </w:r>
          </w:p>
        </w:tc>
      </w:tr>
      <w:tr>
        <w:trPr>
          <w:trHeight w:val="216"/>
        </w:trPr>
        <w:tc>
          <w:tcPr>
            <w:tcW w:w="8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Laos, Ecuador, Colombia, Argentina, Hungary, Japan, India, Canada,</w:t>
            </w:r>
          </w:p>
        </w:tc>
      </w:tr>
      <w:tr>
        <w:trPr>
          <w:trHeight w:val="230"/>
        </w:trPr>
        <w:tc>
          <w:tcPr>
            <w:tcW w:w="8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Belgium, Namibia, Taiwan, Peru, Germany</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3680" w:type="dxa"/>
            <w:vAlign w:val="bottom"/>
          </w:tcPr>
          <w:p>
            <w:pPr>
              <w:ind w:left="620"/>
              <w:spacing w:after="0"/>
              <w:rPr>
                <w:sz w:val="20"/>
                <w:szCs w:val="20"/>
                <w:color w:val="auto"/>
              </w:rPr>
            </w:pPr>
            <w:r>
              <w:rPr>
                <w:rFonts w:ascii="Arial" w:cs="Arial" w:eastAsia="Arial" w:hAnsi="Arial"/>
                <w:sz w:val="18"/>
                <w:szCs w:val="18"/>
                <w:color w:val="auto"/>
              </w:rPr>
              <w:t>PT Eunindo Usaha Mandiri</w:t>
            </w:r>
          </w:p>
        </w:tc>
        <w:tc>
          <w:tcPr>
            <w:tcW w:w="1260" w:type="dxa"/>
            <w:vAlign w:val="bottom"/>
          </w:tcPr>
          <w:p>
            <w:pPr>
              <w:ind w:left="700"/>
              <w:spacing w:after="0"/>
              <w:rPr>
                <w:sz w:val="20"/>
                <w:szCs w:val="20"/>
                <w:color w:val="auto"/>
              </w:rPr>
            </w:pPr>
            <w:r>
              <w:rPr>
                <w:rFonts w:ascii="Arial" w:cs="Arial" w:eastAsia="Arial" w:hAnsi="Arial"/>
                <w:sz w:val="18"/>
                <w:szCs w:val="18"/>
                <w:color w:val="auto"/>
              </w:rPr>
              <w:t>CFSP</w:t>
            </w:r>
          </w:p>
        </w:tc>
        <w:tc>
          <w:tcPr>
            <w:tcW w:w="5560" w:type="dxa"/>
            <w:vAlign w:val="bottom"/>
          </w:tcPr>
          <w:p>
            <w:pPr>
              <w:spacing w:after="0"/>
              <w:rPr>
                <w:sz w:val="20"/>
                <w:szCs w:val="20"/>
                <w:color w:val="auto"/>
              </w:rPr>
            </w:pPr>
            <w:r>
              <w:rPr>
                <w:rFonts w:ascii="Arial" w:cs="Arial" w:eastAsia="Arial" w:hAnsi="Arial"/>
                <w:sz w:val="18"/>
                <w:szCs w:val="18"/>
                <w:color w:val="auto"/>
                <w:w w:val="98"/>
              </w:rPr>
              <w:t>DRC- Congo (Kinshasa), Myanmar, Cambodia, Malaysia, Kazakhstan,</w:t>
            </w:r>
          </w:p>
        </w:tc>
      </w:tr>
      <w:tr>
        <w:trPr>
          <w:trHeight w:val="216"/>
        </w:trPr>
        <w:tc>
          <w:tcPr>
            <w:tcW w:w="8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7"/>
              </w:rPr>
              <w:t>Portugal, Mongolia, Austria, Luxembourg, Brazil, Korea, Guyana, Chile,</w:t>
            </w:r>
          </w:p>
        </w:tc>
      </w:tr>
      <w:tr>
        <w:trPr>
          <w:trHeight w:val="216"/>
        </w:trPr>
        <w:tc>
          <w:tcPr>
            <w:tcW w:w="8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Laos, Ecuador, Colombia, Argentina, Hungary, Japan, India, Canada,</w:t>
            </w:r>
          </w:p>
        </w:tc>
      </w:tr>
      <w:tr>
        <w:trPr>
          <w:trHeight w:val="230"/>
        </w:trPr>
        <w:tc>
          <w:tcPr>
            <w:tcW w:w="8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Belgium, Namibia, Taiwan, Peru, Ethiopia</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3680" w:type="dxa"/>
            <w:vAlign w:val="bottom"/>
          </w:tcPr>
          <w:p>
            <w:pPr>
              <w:ind w:left="620"/>
              <w:spacing w:after="0"/>
              <w:rPr>
                <w:sz w:val="20"/>
                <w:szCs w:val="20"/>
                <w:color w:val="auto"/>
              </w:rPr>
            </w:pPr>
            <w:r>
              <w:rPr>
                <w:rFonts w:ascii="Arial" w:cs="Arial" w:eastAsia="Arial" w:hAnsi="Arial"/>
                <w:sz w:val="18"/>
                <w:szCs w:val="18"/>
                <w:color w:val="auto"/>
              </w:rPr>
              <w:t>PT Justindo</w:t>
            </w:r>
          </w:p>
        </w:tc>
        <w:tc>
          <w:tcPr>
            <w:tcW w:w="1260" w:type="dxa"/>
            <w:vAlign w:val="bottom"/>
          </w:tcPr>
          <w:p>
            <w:pPr>
              <w:spacing w:after="0"/>
              <w:rPr>
                <w:sz w:val="24"/>
                <w:szCs w:val="24"/>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5"/>
              </w:rPr>
              <w:t>Burundi, Mozambique, Niger, China, Rwanda, Brazil, Malaysia, Australia,</w:t>
            </w:r>
          </w:p>
        </w:tc>
      </w:tr>
      <w:tr>
        <w:trPr>
          <w:trHeight w:val="230"/>
        </w:trPr>
        <w:tc>
          <w:tcPr>
            <w:tcW w:w="8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Nigeria, Switzerland, Ethiopia, Indonesia</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3680" w:type="dxa"/>
            <w:vAlign w:val="bottom"/>
          </w:tcPr>
          <w:p>
            <w:pPr>
              <w:ind w:left="620"/>
              <w:spacing w:after="0"/>
              <w:rPr>
                <w:sz w:val="20"/>
                <w:szCs w:val="20"/>
                <w:color w:val="auto"/>
              </w:rPr>
            </w:pPr>
            <w:r>
              <w:rPr>
                <w:rFonts w:ascii="Arial" w:cs="Arial" w:eastAsia="Arial" w:hAnsi="Arial"/>
                <w:sz w:val="18"/>
                <w:szCs w:val="18"/>
                <w:color w:val="auto"/>
              </w:rPr>
              <w:t>PT Stanindo Inti Perkasa</w:t>
            </w:r>
          </w:p>
        </w:tc>
        <w:tc>
          <w:tcPr>
            <w:tcW w:w="1260" w:type="dxa"/>
            <w:vAlign w:val="bottom"/>
          </w:tcPr>
          <w:p>
            <w:pPr>
              <w:ind w:left="700"/>
              <w:spacing w:after="0"/>
              <w:rPr>
                <w:sz w:val="20"/>
                <w:szCs w:val="20"/>
                <w:color w:val="auto"/>
              </w:rPr>
            </w:pPr>
            <w:r>
              <w:rPr>
                <w:rFonts w:ascii="Arial" w:cs="Arial" w:eastAsia="Arial" w:hAnsi="Arial"/>
                <w:sz w:val="18"/>
                <w:szCs w:val="18"/>
                <w:color w:val="auto"/>
              </w:rPr>
              <w:t>CFSP</w:t>
            </w:r>
          </w:p>
        </w:tc>
        <w:tc>
          <w:tcPr>
            <w:tcW w:w="5560" w:type="dxa"/>
            <w:vAlign w:val="bottom"/>
          </w:tcPr>
          <w:p>
            <w:pPr>
              <w:spacing w:after="0"/>
              <w:rPr>
                <w:sz w:val="20"/>
                <w:szCs w:val="20"/>
                <w:color w:val="auto"/>
              </w:rPr>
            </w:pPr>
            <w:r>
              <w:rPr>
                <w:rFonts w:ascii="Arial" w:cs="Arial" w:eastAsia="Arial" w:hAnsi="Arial"/>
                <w:sz w:val="18"/>
                <w:szCs w:val="18"/>
                <w:color w:val="auto"/>
                <w:w w:val="98"/>
              </w:rPr>
              <w:t>DRC- Congo (Kinshasa), Myanmar, Cambodia, Malaysia, Kazakhstan,</w:t>
            </w:r>
          </w:p>
        </w:tc>
      </w:tr>
      <w:tr>
        <w:trPr>
          <w:trHeight w:val="216"/>
        </w:trPr>
        <w:tc>
          <w:tcPr>
            <w:tcW w:w="8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6"/>
              </w:rPr>
              <w:t>Portugal, Armenia, Mongolia, Austria, Mozambique, Luxembourg, Brazil,</w:t>
            </w:r>
          </w:p>
        </w:tc>
      </w:tr>
      <w:tr>
        <w:trPr>
          <w:trHeight w:val="216"/>
        </w:trPr>
        <w:tc>
          <w:tcPr>
            <w:tcW w:w="8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0"/>
              </w:rPr>
              <w:t>Korea, Guyana, Chile, Laos, Colombia, Ecuador, Argentina, Hungary, Japan,</w:t>
            </w:r>
          </w:p>
        </w:tc>
      </w:tr>
      <w:tr>
        <w:trPr>
          <w:trHeight w:val="230"/>
        </w:trPr>
        <w:tc>
          <w:tcPr>
            <w:tcW w:w="8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India, Canada, Belgium, Namibia, Tanzania</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3680" w:type="dxa"/>
            <w:vAlign w:val="bottom"/>
          </w:tcPr>
          <w:p>
            <w:pPr>
              <w:ind w:left="620"/>
              <w:spacing w:after="0"/>
              <w:rPr>
                <w:sz w:val="20"/>
                <w:szCs w:val="20"/>
                <w:color w:val="auto"/>
              </w:rPr>
            </w:pPr>
            <w:r>
              <w:rPr>
                <w:rFonts w:ascii="Arial" w:cs="Arial" w:eastAsia="Arial" w:hAnsi="Arial"/>
                <w:sz w:val="18"/>
                <w:szCs w:val="18"/>
                <w:color w:val="auto"/>
              </w:rPr>
              <w:t>PT Sumber Jaya Indah</w:t>
            </w:r>
          </w:p>
        </w:tc>
        <w:tc>
          <w:tcPr>
            <w:tcW w:w="1260" w:type="dxa"/>
            <w:vAlign w:val="bottom"/>
          </w:tcPr>
          <w:p>
            <w:pPr>
              <w:ind w:left="700"/>
              <w:spacing w:after="0"/>
              <w:rPr>
                <w:sz w:val="20"/>
                <w:szCs w:val="20"/>
                <w:color w:val="auto"/>
              </w:rPr>
            </w:pPr>
            <w:r>
              <w:rPr>
                <w:rFonts w:ascii="Arial" w:cs="Arial" w:eastAsia="Arial" w:hAnsi="Arial"/>
                <w:sz w:val="18"/>
                <w:szCs w:val="18"/>
                <w:color w:val="auto"/>
              </w:rPr>
              <w:t>CFSP</w:t>
            </w:r>
          </w:p>
        </w:tc>
        <w:tc>
          <w:tcPr>
            <w:tcW w:w="5560" w:type="dxa"/>
            <w:vAlign w:val="bottom"/>
          </w:tcPr>
          <w:p>
            <w:pPr>
              <w:spacing w:after="0"/>
              <w:rPr>
                <w:sz w:val="20"/>
                <w:szCs w:val="20"/>
                <w:color w:val="auto"/>
              </w:rPr>
            </w:pPr>
            <w:r>
              <w:rPr>
                <w:rFonts w:ascii="Arial" w:cs="Arial" w:eastAsia="Arial" w:hAnsi="Arial"/>
                <w:sz w:val="18"/>
                <w:szCs w:val="18"/>
                <w:color w:val="auto"/>
                <w:w w:val="94"/>
              </w:rPr>
              <w:t>Niger, Japan, China, Rwanda, Brazil, Malaysia, Bolivia, Nigeria, Thailand,</w:t>
            </w:r>
          </w:p>
        </w:tc>
      </w:tr>
      <w:tr>
        <w:trPr>
          <w:trHeight w:val="230"/>
        </w:trPr>
        <w:tc>
          <w:tcPr>
            <w:tcW w:w="8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Ethiopia, India, Indonesia</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3680" w:type="dxa"/>
            <w:vAlign w:val="bottom"/>
          </w:tcPr>
          <w:p>
            <w:pPr>
              <w:ind w:left="620"/>
              <w:spacing w:after="0"/>
              <w:rPr>
                <w:sz w:val="20"/>
                <w:szCs w:val="20"/>
                <w:color w:val="auto"/>
              </w:rPr>
            </w:pPr>
            <w:r>
              <w:rPr>
                <w:rFonts w:ascii="Arial" w:cs="Arial" w:eastAsia="Arial" w:hAnsi="Arial"/>
                <w:sz w:val="18"/>
                <w:szCs w:val="18"/>
                <w:color w:val="auto"/>
              </w:rPr>
              <w:t>PT Timah (Persero) Tbk Kundur</w:t>
            </w:r>
          </w:p>
        </w:tc>
        <w:tc>
          <w:tcPr>
            <w:tcW w:w="1260" w:type="dxa"/>
            <w:vAlign w:val="bottom"/>
          </w:tcPr>
          <w:p>
            <w:pPr>
              <w:ind w:left="700"/>
              <w:spacing w:after="0"/>
              <w:rPr>
                <w:sz w:val="20"/>
                <w:szCs w:val="20"/>
                <w:color w:val="auto"/>
              </w:rPr>
            </w:pPr>
            <w:r>
              <w:rPr>
                <w:rFonts w:ascii="Arial" w:cs="Arial" w:eastAsia="Arial" w:hAnsi="Arial"/>
                <w:sz w:val="18"/>
                <w:szCs w:val="18"/>
                <w:color w:val="auto"/>
              </w:rPr>
              <w:t>CFSP</w:t>
            </w:r>
          </w:p>
        </w:tc>
        <w:tc>
          <w:tcPr>
            <w:tcW w:w="5560" w:type="dxa"/>
            <w:vAlign w:val="bottom"/>
          </w:tcPr>
          <w:p>
            <w:pPr>
              <w:spacing w:after="0"/>
              <w:rPr>
                <w:sz w:val="20"/>
                <w:szCs w:val="20"/>
                <w:color w:val="auto"/>
              </w:rPr>
            </w:pPr>
            <w:r>
              <w:rPr>
                <w:rFonts w:ascii="Arial" w:cs="Arial" w:eastAsia="Arial" w:hAnsi="Arial"/>
                <w:sz w:val="18"/>
                <w:szCs w:val="18"/>
                <w:color w:val="auto"/>
                <w:w w:val="98"/>
              </w:rPr>
              <w:t>DRC- Congo (Kinshasa), Myanmar, Cambodia, Malaysia, Kazakhstan,</w:t>
            </w:r>
          </w:p>
        </w:tc>
      </w:tr>
      <w:tr>
        <w:trPr>
          <w:trHeight w:val="216"/>
        </w:trPr>
        <w:tc>
          <w:tcPr>
            <w:tcW w:w="8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7"/>
              </w:rPr>
              <w:t>Portugal, Austria, Mongolia, Luxembourg, Brazil, Guyana, Korea, Chile,</w:t>
            </w:r>
          </w:p>
        </w:tc>
      </w:tr>
      <w:tr>
        <w:trPr>
          <w:trHeight w:val="216"/>
        </w:trPr>
        <w:tc>
          <w:tcPr>
            <w:tcW w:w="8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Laos, Ecuador, Colombia, Argentina, Hungary, Japan, India, Canada,</w:t>
            </w:r>
          </w:p>
        </w:tc>
      </w:tr>
      <w:tr>
        <w:trPr>
          <w:trHeight w:val="230"/>
        </w:trPr>
        <w:tc>
          <w:tcPr>
            <w:tcW w:w="8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Belgium, Namibia, Taiwan, Peru, Germany</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Tin</w:t>
            </w:r>
          </w:p>
        </w:tc>
        <w:tc>
          <w:tcPr>
            <w:tcW w:w="3680" w:type="dxa"/>
            <w:vAlign w:val="bottom"/>
          </w:tcPr>
          <w:p>
            <w:pPr>
              <w:ind w:left="620"/>
              <w:spacing w:after="0"/>
              <w:rPr>
                <w:sz w:val="20"/>
                <w:szCs w:val="20"/>
                <w:color w:val="auto"/>
              </w:rPr>
            </w:pPr>
            <w:r>
              <w:rPr>
                <w:rFonts w:ascii="Arial" w:cs="Arial" w:eastAsia="Arial" w:hAnsi="Arial"/>
                <w:sz w:val="18"/>
                <w:szCs w:val="18"/>
                <w:color w:val="auto"/>
              </w:rPr>
              <w:t>PT Timah (Persero) Tbk Mentok</w:t>
            </w:r>
          </w:p>
        </w:tc>
        <w:tc>
          <w:tcPr>
            <w:tcW w:w="1260" w:type="dxa"/>
            <w:vAlign w:val="bottom"/>
          </w:tcPr>
          <w:p>
            <w:pPr>
              <w:ind w:left="700"/>
              <w:spacing w:after="0"/>
              <w:rPr>
                <w:sz w:val="20"/>
                <w:szCs w:val="20"/>
                <w:color w:val="auto"/>
              </w:rPr>
            </w:pPr>
            <w:r>
              <w:rPr>
                <w:rFonts w:ascii="Arial" w:cs="Arial" w:eastAsia="Arial" w:hAnsi="Arial"/>
                <w:sz w:val="18"/>
                <w:szCs w:val="18"/>
                <w:color w:val="auto"/>
              </w:rPr>
              <w:t>CFSP</w:t>
            </w:r>
          </w:p>
        </w:tc>
        <w:tc>
          <w:tcPr>
            <w:tcW w:w="5560" w:type="dxa"/>
            <w:vAlign w:val="bottom"/>
          </w:tcPr>
          <w:p>
            <w:pPr>
              <w:spacing w:after="0"/>
              <w:rPr>
                <w:sz w:val="20"/>
                <w:szCs w:val="20"/>
                <w:color w:val="auto"/>
              </w:rPr>
            </w:pPr>
            <w:r>
              <w:rPr>
                <w:rFonts w:ascii="Arial" w:cs="Arial" w:eastAsia="Arial" w:hAnsi="Arial"/>
                <w:sz w:val="18"/>
                <w:szCs w:val="18"/>
                <w:color w:val="auto"/>
                <w:w w:val="98"/>
              </w:rPr>
              <w:t>DRC- Congo (Kinshasa), Myanmar, Cambodia, Malaysia, Kazakhstan,</w:t>
            </w:r>
          </w:p>
        </w:tc>
      </w:tr>
      <w:tr>
        <w:trPr>
          <w:trHeight w:val="216"/>
        </w:trPr>
        <w:tc>
          <w:tcPr>
            <w:tcW w:w="8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7"/>
              </w:rPr>
              <w:t>Portugal, Mongolia, Austria, Luxembourg, Guyana, Korea, Brazil, Chile,</w:t>
            </w:r>
          </w:p>
        </w:tc>
      </w:tr>
      <w:tr>
        <w:trPr>
          <w:trHeight w:val="216"/>
        </w:trPr>
        <w:tc>
          <w:tcPr>
            <w:tcW w:w="8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Laos, Colombia, Ecuador, Argentina, Hungary, Japan, India, Canada,</w:t>
            </w:r>
          </w:p>
        </w:tc>
      </w:tr>
      <w:tr>
        <w:trPr>
          <w:trHeight w:val="230"/>
        </w:trPr>
        <w:tc>
          <w:tcPr>
            <w:tcW w:w="8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Belgium, Namibia, Taiwan, Peru, Germany</w:t>
            </w:r>
          </w:p>
        </w:tc>
      </w:tr>
      <w:tr>
        <w:trPr>
          <w:trHeight w:val="365"/>
        </w:trPr>
        <w:tc>
          <w:tcPr>
            <w:tcW w:w="8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60" w:type="dxa"/>
            <w:vAlign w:val="bottom"/>
          </w:tcPr>
          <w:p>
            <w:pPr>
              <w:ind w:left="1060"/>
              <w:spacing w:after="0"/>
              <w:rPr>
                <w:sz w:val="20"/>
                <w:szCs w:val="20"/>
                <w:color w:val="auto"/>
              </w:rPr>
            </w:pPr>
            <w:r>
              <w:rPr>
                <w:rFonts w:ascii="Arial" w:cs="Arial" w:eastAsia="Arial" w:hAnsi="Arial"/>
                <w:sz w:val="18"/>
                <w:szCs w:val="18"/>
                <w:color w:val="auto"/>
                <w:w w:val="89"/>
              </w:rPr>
              <w:t>13</w:t>
            </w:r>
          </w:p>
        </w:tc>
        <w:tc>
          <w:tcPr>
            <w:tcW w:w="5560" w:type="dxa"/>
            <w:vAlign w:val="bottom"/>
          </w:tcPr>
          <w:p>
            <w:pPr>
              <w:spacing w:after="0"/>
              <w:rPr>
                <w:sz w:val="24"/>
                <w:szCs w:val="24"/>
                <w:color w:val="auto"/>
              </w:rPr>
            </w:pPr>
          </w:p>
        </w:tc>
      </w:tr>
    </w:tbl>
    <w:p>
      <w:pPr>
        <w:sectPr>
          <w:pgSz w:w="11900" w:h="16838" w:orient="portrait"/>
          <w:cols w:equalWidth="0" w:num="1">
            <w:col w:w="11380"/>
          </w:cols>
          <w:pgMar w:left="240" w:top="382" w:right="27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Tin</w:t>
            </w:r>
          </w:p>
        </w:tc>
        <w:tc>
          <w:tcPr>
            <w:tcW w:w="4000" w:type="dxa"/>
            <w:vAlign w:val="bottom"/>
          </w:tcPr>
          <w:p>
            <w:pPr>
              <w:ind w:left="420"/>
              <w:spacing w:after="0"/>
              <w:rPr>
                <w:sz w:val="20"/>
                <w:szCs w:val="20"/>
                <w:color w:val="auto"/>
              </w:rPr>
            </w:pPr>
            <w:r>
              <w:rPr>
                <w:rFonts w:ascii="Arial" w:cs="Arial" w:eastAsia="Arial" w:hAnsi="Arial"/>
                <w:sz w:val="18"/>
                <w:szCs w:val="18"/>
                <w:color w:val="auto"/>
              </w:rPr>
              <w:t>PT Tinindo Inter Nusa</w:t>
            </w:r>
          </w:p>
        </w:tc>
        <w:tc>
          <w:tcPr>
            <w:tcW w:w="740" w:type="dxa"/>
            <w:vAlign w:val="bottom"/>
          </w:tcPr>
          <w:p>
            <w:pPr>
              <w:ind w:left="180"/>
              <w:spacing w:after="0"/>
              <w:rPr>
                <w:sz w:val="20"/>
                <w:szCs w:val="20"/>
                <w:color w:val="auto"/>
              </w:rPr>
            </w:pPr>
            <w:r>
              <w:rPr>
                <w:rFonts w:ascii="Arial" w:cs="Arial" w:eastAsia="Arial" w:hAnsi="Arial"/>
                <w:sz w:val="18"/>
                <w:szCs w:val="18"/>
                <w:color w:val="auto"/>
              </w:rPr>
              <w:t>CFSP</w:t>
            </w:r>
          </w:p>
        </w:tc>
        <w:tc>
          <w:tcPr>
            <w:tcW w:w="5560" w:type="dxa"/>
            <w:vAlign w:val="bottom"/>
          </w:tcPr>
          <w:p>
            <w:pPr>
              <w:spacing w:after="0"/>
              <w:rPr>
                <w:sz w:val="20"/>
                <w:szCs w:val="20"/>
                <w:color w:val="auto"/>
              </w:rPr>
            </w:pPr>
            <w:r>
              <w:rPr>
                <w:rFonts w:ascii="Arial" w:cs="Arial" w:eastAsia="Arial" w:hAnsi="Arial"/>
                <w:sz w:val="18"/>
                <w:szCs w:val="18"/>
                <w:color w:val="auto"/>
                <w:w w:val="98"/>
              </w:rPr>
              <w:t>DRC- Congo (Kinshasa), Myanmar, Cambodia, Malaysia, Kazakhstan,</w:t>
            </w:r>
          </w:p>
        </w:tc>
      </w:tr>
      <w:tr>
        <w:trPr>
          <w:trHeight w:val="216"/>
        </w:trPr>
        <w:tc>
          <w:tcPr>
            <w:tcW w:w="10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7"/>
              </w:rPr>
              <w:t>Portugal, Mongolia, Austria, Luxembourg, Guyana, Korea, Brazil, Chile,</w:t>
            </w:r>
          </w:p>
        </w:tc>
      </w:tr>
      <w:tr>
        <w:trPr>
          <w:trHeight w:val="216"/>
        </w:trPr>
        <w:tc>
          <w:tcPr>
            <w:tcW w:w="10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Laos, Colombia, Ecuador, Argentina, Hungary, Japan, India, Canada,</w:t>
            </w:r>
          </w:p>
        </w:tc>
      </w:tr>
      <w:tr>
        <w:trPr>
          <w:trHeight w:val="230"/>
        </w:trPr>
        <w:tc>
          <w:tcPr>
            <w:tcW w:w="10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Belgium, Namibia, Taiwan, Peru, Ethiopia</w:t>
            </w: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rPr>
              <w:t>Tin</w:t>
            </w:r>
          </w:p>
        </w:tc>
        <w:tc>
          <w:tcPr>
            <w:tcW w:w="4000" w:type="dxa"/>
            <w:vAlign w:val="bottom"/>
          </w:tcPr>
          <w:p>
            <w:pPr>
              <w:ind w:left="420"/>
              <w:spacing w:after="0"/>
              <w:rPr>
                <w:sz w:val="20"/>
                <w:szCs w:val="20"/>
                <w:color w:val="auto"/>
              </w:rPr>
            </w:pPr>
            <w:r>
              <w:rPr>
                <w:rFonts w:ascii="Arial" w:cs="Arial" w:eastAsia="Arial" w:hAnsi="Arial"/>
                <w:sz w:val="18"/>
                <w:szCs w:val="18"/>
                <w:color w:val="auto"/>
              </w:rPr>
              <w:t>Thaisarco</w:t>
            </w:r>
          </w:p>
        </w:tc>
        <w:tc>
          <w:tcPr>
            <w:tcW w:w="740" w:type="dxa"/>
            <w:vAlign w:val="bottom"/>
          </w:tcPr>
          <w:p>
            <w:pPr>
              <w:ind w:left="180"/>
              <w:spacing w:after="0"/>
              <w:rPr>
                <w:sz w:val="20"/>
                <w:szCs w:val="20"/>
                <w:color w:val="auto"/>
              </w:rPr>
            </w:pPr>
            <w:r>
              <w:rPr>
                <w:rFonts w:ascii="Arial" w:cs="Arial" w:eastAsia="Arial" w:hAnsi="Arial"/>
                <w:sz w:val="18"/>
                <w:szCs w:val="18"/>
                <w:color w:val="auto"/>
              </w:rPr>
              <w:t>CFSP</w:t>
            </w:r>
          </w:p>
        </w:tc>
        <w:tc>
          <w:tcPr>
            <w:tcW w:w="5560" w:type="dxa"/>
            <w:vAlign w:val="bottom"/>
          </w:tcPr>
          <w:p>
            <w:pPr>
              <w:spacing w:after="0"/>
              <w:rPr>
                <w:sz w:val="20"/>
                <w:szCs w:val="20"/>
                <w:color w:val="auto"/>
              </w:rPr>
            </w:pPr>
            <w:r>
              <w:rPr>
                <w:rFonts w:ascii="Arial" w:cs="Arial" w:eastAsia="Arial" w:hAnsi="Arial"/>
                <w:sz w:val="18"/>
                <w:szCs w:val="18"/>
                <w:color w:val="auto"/>
              </w:rPr>
              <w:t>DRC- Congo (Kinshasa), Myanmar, Angola, Cambodia, Malaysia,</w:t>
            </w:r>
          </w:p>
        </w:tc>
      </w:tr>
      <w:tr>
        <w:trPr>
          <w:trHeight w:val="216"/>
        </w:trPr>
        <w:tc>
          <w:tcPr>
            <w:tcW w:w="10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7"/>
              </w:rPr>
              <w:t>Kazakhstan, Portugal, Mongolia, Austria, Morocco, Luxembourg, Brazil,</w:t>
            </w:r>
          </w:p>
        </w:tc>
      </w:tr>
      <w:tr>
        <w:trPr>
          <w:trHeight w:val="216"/>
        </w:trPr>
        <w:tc>
          <w:tcPr>
            <w:tcW w:w="10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1"/>
              </w:rPr>
              <w:t>Korea, Guyana, Chile, Laos, Ecuador, Colombia, Argentina, Hungary, South</w:t>
            </w:r>
          </w:p>
        </w:tc>
      </w:tr>
      <w:tr>
        <w:trPr>
          <w:trHeight w:val="230"/>
        </w:trPr>
        <w:tc>
          <w:tcPr>
            <w:tcW w:w="10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Sudan, Japan, Tanzania, Zambia, Congo (Brazzaville)</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Tin</w:t>
            </w:r>
          </w:p>
        </w:tc>
        <w:tc>
          <w:tcPr>
            <w:tcW w:w="4000" w:type="dxa"/>
            <w:vAlign w:val="bottom"/>
          </w:tcPr>
          <w:p>
            <w:pPr>
              <w:ind w:left="420"/>
              <w:spacing w:after="0"/>
              <w:rPr>
                <w:sz w:val="20"/>
                <w:szCs w:val="20"/>
                <w:color w:val="auto"/>
              </w:rPr>
            </w:pPr>
            <w:r>
              <w:rPr>
                <w:rFonts w:ascii="Arial" w:cs="Arial" w:eastAsia="Arial" w:hAnsi="Arial"/>
                <w:sz w:val="18"/>
                <w:szCs w:val="18"/>
                <w:color w:val="auto"/>
              </w:rPr>
              <w:t>VQB Mineral and Trading Group JSC</w:t>
            </w:r>
          </w:p>
        </w:tc>
        <w:tc>
          <w:tcPr>
            <w:tcW w:w="740" w:type="dxa"/>
            <w:vAlign w:val="bottom"/>
          </w:tcPr>
          <w:p>
            <w:pPr>
              <w:ind w:left="180"/>
              <w:spacing w:after="0"/>
              <w:rPr>
                <w:sz w:val="20"/>
                <w:szCs w:val="20"/>
                <w:color w:val="auto"/>
              </w:rPr>
            </w:pPr>
            <w:r>
              <w:rPr>
                <w:rFonts w:ascii="Arial" w:cs="Arial" w:eastAsia="Arial" w:hAnsi="Arial"/>
                <w:sz w:val="18"/>
                <w:szCs w:val="18"/>
                <w:color w:val="auto"/>
              </w:rPr>
              <w:t>CFSP</w:t>
            </w:r>
          </w:p>
        </w:tc>
        <w:tc>
          <w:tcPr>
            <w:tcW w:w="5560" w:type="dxa"/>
            <w:vAlign w:val="bottom"/>
          </w:tcPr>
          <w:p>
            <w:pPr>
              <w:spacing w:after="0"/>
              <w:rPr>
                <w:sz w:val="20"/>
                <w:szCs w:val="20"/>
                <w:color w:val="auto"/>
              </w:rPr>
            </w:pPr>
            <w:r>
              <w:rPr>
                <w:rFonts w:ascii="Arial" w:cs="Arial" w:eastAsia="Arial" w:hAnsi="Arial"/>
                <w:sz w:val="18"/>
                <w:szCs w:val="18"/>
                <w:color w:val="auto"/>
                <w:w w:val="91"/>
              </w:rPr>
              <w:t>DRC- Congo (Kinshasa), Vietnam, China, Japan, Malaysia, Peru, Indonesia</w:t>
            </w: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rPr>
              <w:t>Tungsten</w:t>
            </w:r>
          </w:p>
        </w:tc>
        <w:tc>
          <w:tcPr>
            <w:tcW w:w="4000" w:type="dxa"/>
            <w:vAlign w:val="bottom"/>
          </w:tcPr>
          <w:p>
            <w:pPr>
              <w:ind w:left="420"/>
              <w:spacing w:after="0"/>
              <w:rPr>
                <w:sz w:val="20"/>
                <w:szCs w:val="20"/>
                <w:color w:val="auto"/>
              </w:rPr>
            </w:pPr>
            <w:r>
              <w:rPr>
                <w:rFonts w:ascii="Arial" w:cs="Arial" w:eastAsia="Arial" w:hAnsi="Arial"/>
                <w:sz w:val="18"/>
                <w:szCs w:val="18"/>
                <w:color w:val="auto"/>
              </w:rPr>
              <w:t>A.L.M.T. Corp.</w:t>
            </w:r>
          </w:p>
        </w:tc>
        <w:tc>
          <w:tcPr>
            <w:tcW w:w="740" w:type="dxa"/>
            <w:vAlign w:val="bottom"/>
          </w:tcPr>
          <w:p>
            <w:pPr>
              <w:ind w:left="180"/>
              <w:spacing w:after="0"/>
              <w:rPr>
                <w:sz w:val="20"/>
                <w:szCs w:val="20"/>
                <w:color w:val="auto"/>
              </w:rPr>
            </w:pPr>
            <w:r>
              <w:rPr>
                <w:rFonts w:ascii="Arial" w:cs="Arial" w:eastAsia="Arial" w:hAnsi="Arial"/>
                <w:sz w:val="18"/>
                <w:szCs w:val="18"/>
                <w:color w:val="auto"/>
              </w:rPr>
              <w:t>CFSP</w:t>
            </w:r>
          </w:p>
        </w:tc>
        <w:tc>
          <w:tcPr>
            <w:tcW w:w="5560" w:type="dxa"/>
            <w:vAlign w:val="bottom"/>
          </w:tcPr>
          <w:p>
            <w:pPr>
              <w:spacing w:after="0"/>
              <w:rPr>
                <w:sz w:val="20"/>
                <w:szCs w:val="20"/>
                <w:color w:val="auto"/>
              </w:rPr>
            </w:pPr>
            <w:r>
              <w:rPr>
                <w:rFonts w:ascii="Arial" w:cs="Arial" w:eastAsia="Arial" w:hAnsi="Arial"/>
                <w:sz w:val="18"/>
                <w:szCs w:val="18"/>
                <w:color w:val="auto"/>
                <w:w w:val="98"/>
              </w:rPr>
              <w:t>DRC- Congo (Kinshasa), Myanmar, Cambodia, Malaysia, Kazakhstan,</w:t>
            </w:r>
          </w:p>
        </w:tc>
      </w:tr>
      <w:tr>
        <w:trPr>
          <w:trHeight w:val="216"/>
        </w:trPr>
        <w:tc>
          <w:tcPr>
            <w:tcW w:w="10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7"/>
              </w:rPr>
              <w:t>Portugal, Austria, Mongolia, Luxembourg, Brazil, Korea, Guyana, Chile,</w:t>
            </w:r>
          </w:p>
        </w:tc>
      </w:tr>
      <w:tr>
        <w:trPr>
          <w:trHeight w:val="216"/>
        </w:trPr>
        <w:tc>
          <w:tcPr>
            <w:tcW w:w="10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Laos, Colombia, Ecuador, Argentina, Hungary, Japan, India, Canada,</w:t>
            </w:r>
          </w:p>
        </w:tc>
      </w:tr>
      <w:tr>
        <w:trPr>
          <w:trHeight w:val="230"/>
        </w:trPr>
        <w:tc>
          <w:tcPr>
            <w:tcW w:w="10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Belgium, Namibia, Taiwan, Peru, Germany</w:t>
            </w: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rPr>
              <w:t>Tungsten</w:t>
            </w:r>
          </w:p>
        </w:tc>
        <w:tc>
          <w:tcPr>
            <w:tcW w:w="4000" w:type="dxa"/>
            <w:vAlign w:val="bottom"/>
          </w:tcPr>
          <w:p>
            <w:pPr>
              <w:ind w:left="420"/>
              <w:spacing w:after="0"/>
              <w:rPr>
                <w:sz w:val="20"/>
                <w:szCs w:val="20"/>
                <w:color w:val="auto"/>
              </w:rPr>
            </w:pPr>
            <w:r>
              <w:rPr>
                <w:rFonts w:ascii="Arial" w:cs="Arial" w:eastAsia="Arial" w:hAnsi="Arial"/>
                <w:sz w:val="18"/>
                <w:szCs w:val="18"/>
                <w:color w:val="auto"/>
              </w:rPr>
              <w:t>Asia Tungsten Products Vietnam Ltd.</w:t>
            </w:r>
          </w:p>
        </w:tc>
        <w:tc>
          <w:tcPr>
            <w:tcW w:w="740" w:type="dxa"/>
            <w:vAlign w:val="bottom"/>
          </w:tcPr>
          <w:p>
            <w:pPr>
              <w:ind w:left="180"/>
              <w:spacing w:after="0"/>
              <w:rPr>
                <w:sz w:val="20"/>
                <w:szCs w:val="20"/>
                <w:color w:val="auto"/>
              </w:rPr>
            </w:pPr>
            <w:r>
              <w:rPr>
                <w:rFonts w:ascii="Arial" w:cs="Arial" w:eastAsia="Arial" w:hAnsi="Arial"/>
                <w:sz w:val="18"/>
                <w:szCs w:val="18"/>
                <w:color w:val="auto"/>
              </w:rPr>
              <w:t>CFSP</w:t>
            </w:r>
          </w:p>
        </w:tc>
        <w:tc>
          <w:tcPr>
            <w:tcW w:w="5560" w:type="dxa"/>
            <w:vAlign w:val="bottom"/>
          </w:tcPr>
          <w:p>
            <w:pPr>
              <w:spacing w:after="0"/>
              <w:rPr>
                <w:sz w:val="20"/>
                <w:szCs w:val="20"/>
                <w:color w:val="auto"/>
              </w:rPr>
            </w:pPr>
            <w:r>
              <w:rPr>
                <w:rFonts w:ascii="Arial" w:cs="Arial" w:eastAsia="Arial" w:hAnsi="Arial"/>
                <w:sz w:val="18"/>
                <w:szCs w:val="18"/>
                <w:color w:val="auto"/>
                <w:w w:val="97"/>
              </w:rPr>
              <w:t>Myanmar, Angola, Cambodia, Malaysia, Kazakhstan, Portugal, Austria,</w:t>
            </w:r>
          </w:p>
        </w:tc>
      </w:tr>
      <w:tr>
        <w:trPr>
          <w:trHeight w:val="216"/>
        </w:trPr>
        <w:tc>
          <w:tcPr>
            <w:tcW w:w="10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8"/>
              </w:rPr>
              <w:t>Mongolia, Luxembourg, Korea, Brazil, Guyana, Chile, Laos, Colombia,</w:t>
            </w:r>
          </w:p>
        </w:tc>
      </w:tr>
      <w:tr>
        <w:trPr>
          <w:trHeight w:val="216"/>
        </w:trPr>
        <w:tc>
          <w:tcPr>
            <w:tcW w:w="10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89"/>
              </w:rPr>
              <w:t>Ecuador, Argentina, Hungary, South Sudan, Japan, Tanzania, Zambia, Congo</w:t>
            </w:r>
          </w:p>
        </w:tc>
      </w:tr>
      <w:tr>
        <w:trPr>
          <w:trHeight w:val="230"/>
        </w:trPr>
        <w:tc>
          <w:tcPr>
            <w:tcW w:w="10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(Brazzaville), India, Canada, Belguim</w:t>
            </w: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rPr>
              <w:t>Tungsten</w:t>
            </w:r>
          </w:p>
        </w:tc>
        <w:tc>
          <w:tcPr>
            <w:tcW w:w="4000" w:type="dxa"/>
            <w:vAlign w:val="bottom"/>
          </w:tcPr>
          <w:p>
            <w:pPr>
              <w:ind w:left="420"/>
              <w:spacing w:after="0"/>
              <w:rPr>
                <w:sz w:val="20"/>
                <w:szCs w:val="20"/>
                <w:color w:val="auto"/>
              </w:rPr>
            </w:pPr>
            <w:r>
              <w:rPr>
                <w:rFonts w:ascii="Arial" w:cs="Arial" w:eastAsia="Arial" w:hAnsi="Arial"/>
                <w:sz w:val="18"/>
                <w:szCs w:val="18"/>
                <w:color w:val="auto"/>
              </w:rPr>
              <w:t>Chongyi Zhangyuan Tungsten Co., Ltd.</w:t>
            </w:r>
          </w:p>
        </w:tc>
        <w:tc>
          <w:tcPr>
            <w:tcW w:w="740" w:type="dxa"/>
            <w:vAlign w:val="bottom"/>
          </w:tcPr>
          <w:p>
            <w:pPr>
              <w:ind w:left="180"/>
              <w:spacing w:after="0"/>
              <w:rPr>
                <w:sz w:val="20"/>
                <w:szCs w:val="20"/>
                <w:color w:val="auto"/>
              </w:rPr>
            </w:pPr>
            <w:r>
              <w:rPr>
                <w:rFonts w:ascii="Arial" w:cs="Arial" w:eastAsia="Arial" w:hAnsi="Arial"/>
                <w:sz w:val="18"/>
                <w:szCs w:val="18"/>
                <w:color w:val="auto"/>
              </w:rPr>
              <w:t>CFSP</w:t>
            </w:r>
          </w:p>
        </w:tc>
        <w:tc>
          <w:tcPr>
            <w:tcW w:w="5560" w:type="dxa"/>
            <w:vAlign w:val="bottom"/>
          </w:tcPr>
          <w:p>
            <w:pPr>
              <w:spacing w:after="0"/>
              <w:rPr>
                <w:sz w:val="20"/>
                <w:szCs w:val="20"/>
                <w:color w:val="auto"/>
              </w:rPr>
            </w:pPr>
            <w:r>
              <w:rPr>
                <w:rFonts w:ascii="Arial" w:cs="Arial" w:eastAsia="Arial" w:hAnsi="Arial"/>
                <w:sz w:val="18"/>
                <w:szCs w:val="18"/>
                <w:color w:val="auto"/>
                <w:w w:val="98"/>
              </w:rPr>
              <w:t>DRC- Congo (Kinshasa), Myanmar, Cambodia, Malaysia, Kazakhstan,</w:t>
            </w:r>
          </w:p>
        </w:tc>
      </w:tr>
      <w:tr>
        <w:trPr>
          <w:trHeight w:val="216"/>
        </w:trPr>
        <w:tc>
          <w:tcPr>
            <w:tcW w:w="10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7"/>
              </w:rPr>
              <w:t>Portugal, Mongolia, Austria, Luxembourg, Korea, Brazil, Guyana, Chile,</w:t>
            </w:r>
          </w:p>
        </w:tc>
      </w:tr>
      <w:tr>
        <w:trPr>
          <w:trHeight w:val="216"/>
        </w:trPr>
        <w:tc>
          <w:tcPr>
            <w:tcW w:w="10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7"/>
              </w:rPr>
              <w:t>Laos, Ecuador, Colombia, Argentina, Hungary, India, Canada, Belgium,</w:t>
            </w:r>
          </w:p>
        </w:tc>
      </w:tr>
      <w:tr>
        <w:trPr>
          <w:trHeight w:val="230"/>
        </w:trPr>
        <w:tc>
          <w:tcPr>
            <w:tcW w:w="10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Namibia, Taiwan, Peru, Ethiopia, Germany</w:t>
            </w: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rPr>
              <w:t>Tungsten</w:t>
            </w:r>
          </w:p>
        </w:tc>
        <w:tc>
          <w:tcPr>
            <w:tcW w:w="4000" w:type="dxa"/>
            <w:vAlign w:val="bottom"/>
          </w:tcPr>
          <w:p>
            <w:pPr>
              <w:ind w:left="420"/>
              <w:spacing w:after="0"/>
              <w:rPr>
                <w:sz w:val="20"/>
                <w:szCs w:val="20"/>
                <w:color w:val="auto"/>
              </w:rPr>
            </w:pPr>
            <w:r>
              <w:rPr>
                <w:rFonts w:ascii="Arial" w:cs="Arial" w:eastAsia="Arial" w:hAnsi="Arial"/>
                <w:sz w:val="18"/>
                <w:szCs w:val="18"/>
                <w:color w:val="auto"/>
                <w:w w:val="95"/>
              </w:rPr>
              <w:t>Ganzhou Huaxing Tungsten Products Co., Ltd.</w:t>
            </w:r>
          </w:p>
        </w:tc>
        <w:tc>
          <w:tcPr>
            <w:tcW w:w="740" w:type="dxa"/>
            <w:vAlign w:val="bottom"/>
          </w:tcPr>
          <w:p>
            <w:pPr>
              <w:ind w:left="180"/>
              <w:spacing w:after="0"/>
              <w:rPr>
                <w:sz w:val="20"/>
                <w:szCs w:val="20"/>
                <w:color w:val="auto"/>
              </w:rPr>
            </w:pPr>
            <w:r>
              <w:rPr>
                <w:rFonts w:ascii="Arial" w:cs="Arial" w:eastAsia="Arial" w:hAnsi="Arial"/>
                <w:sz w:val="18"/>
                <w:szCs w:val="18"/>
                <w:color w:val="auto"/>
              </w:rPr>
              <w:t>CFSP</w:t>
            </w:r>
          </w:p>
        </w:tc>
        <w:tc>
          <w:tcPr>
            <w:tcW w:w="5560" w:type="dxa"/>
            <w:vAlign w:val="bottom"/>
          </w:tcPr>
          <w:p>
            <w:pPr>
              <w:spacing w:after="0"/>
              <w:rPr>
                <w:sz w:val="20"/>
                <w:szCs w:val="20"/>
                <w:color w:val="auto"/>
              </w:rPr>
            </w:pPr>
            <w:r>
              <w:rPr>
                <w:rFonts w:ascii="Arial" w:cs="Arial" w:eastAsia="Arial" w:hAnsi="Arial"/>
                <w:sz w:val="18"/>
                <w:szCs w:val="18"/>
                <w:color w:val="auto"/>
                <w:w w:val="94"/>
              </w:rPr>
              <w:t>Myanmar, Cambodia, Malaysia, Kazakhstan, Portugal, Mongolia, Austria,</w:t>
            </w:r>
          </w:p>
        </w:tc>
      </w:tr>
      <w:tr>
        <w:trPr>
          <w:trHeight w:val="216"/>
        </w:trPr>
        <w:tc>
          <w:tcPr>
            <w:tcW w:w="10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3"/>
              </w:rPr>
              <w:t>Mozambique, Luxembourg, Brazil, Korea, Guyana, Chile, Laos, Colombia,</w:t>
            </w:r>
          </w:p>
        </w:tc>
      </w:tr>
      <w:tr>
        <w:trPr>
          <w:trHeight w:val="216"/>
        </w:trPr>
        <w:tc>
          <w:tcPr>
            <w:tcW w:w="10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w w:val="97"/>
              </w:rPr>
              <w:t>Ecuador, Argentina, Hungary, Japan, India, Canada, Belgium, Namibia,</w:t>
            </w:r>
          </w:p>
        </w:tc>
      </w:tr>
      <w:tr>
        <w:trPr>
          <w:trHeight w:val="230"/>
        </w:trPr>
        <w:tc>
          <w:tcPr>
            <w:tcW w:w="10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Taiwan, Peru, Ethiopia, Germany</w:t>
            </w:r>
          </w:p>
        </w:tc>
      </w:tr>
      <w:tr>
        <w:trPr>
          <w:trHeight w:val="365"/>
        </w:trPr>
        <w:tc>
          <w:tcPr>
            <w:tcW w:w="10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40" w:type="dxa"/>
            <w:vAlign w:val="bottom"/>
          </w:tcPr>
          <w:p>
            <w:pPr>
              <w:ind w:left="540"/>
              <w:spacing w:after="0"/>
              <w:rPr>
                <w:sz w:val="20"/>
                <w:szCs w:val="20"/>
                <w:color w:val="auto"/>
              </w:rPr>
            </w:pPr>
            <w:r>
              <w:rPr>
                <w:rFonts w:ascii="Arial" w:cs="Arial" w:eastAsia="Arial" w:hAnsi="Arial"/>
                <w:sz w:val="18"/>
                <w:szCs w:val="18"/>
                <w:color w:val="auto"/>
                <w:w w:val="89"/>
              </w:rPr>
              <w:t>14</w:t>
            </w:r>
          </w:p>
        </w:tc>
        <w:tc>
          <w:tcPr>
            <w:tcW w:w="5560" w:type="dxa"/>
            <w:vAlign w:val="bottom"/>
          </w:tcPr>
          <w:p>
            <w:pPr>
              <w:spacing w:after="0"/>
              <w:rPr>
                <w:sz w:val="24"/>
                <w:szCs w:val="24"/>
                <w:color w:val="auto"/>
              </w:rPr>
            </w:pPr>
          </w:p>
        </w:tc>
      </w:tr>
    </w:tbl>
    <w:p>
      <w:pPr>
        <w:sectPr>
          <w:pgSz w:w="11900" w:h="16838" w:orient="portrait"/>
          <w:cols w:equalWidth="0" w:num="1">
            <w:col w:w="11380"/>
          </w:cols>
          <w:pgMar w:left="240" w:top="382" w:right="27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Tungsten</w:t>
            </w:r>
          </w:p>
        </w:tc>
        <w:tc>
          <w:tcPr>
            <w:tcW w:w="4020" w:type="dxa"/>
            <w:vAlign w:val="bottom"/>
          </w:tcPr>
          <w:p>
            <w:pPr>
              <w:ind w:left="420"/>
              <w:spacing w:after="0"/>
              <w:rPr>
                <w:sz w:val="20"/>
                <w:szCs w:val="20"/>
                <w:color w:val="auto"/>
              </w:rPr>
            </w:pPr>
            <w:r>
              <w:rPr>
                <w:rFonts w:ascii="Arial" w:cs="Arial" w:eastAsia="Arial" w:hAnsi="Arial"/>
                <w:sz w:val="18"/>
                <w:szCs w:val="18"/>
                <w:color w:val="auto"/>
              </w:rPr>
              <w:t>Ganzhou Jiangwu Ferrotungsten Co., Ltd.</w:t>
            </w:r>
          </w:p>
        </w:tc>
        <w:tc>
          <w:tcPr>
            <w:tcW w:w="720" w:type="dxa"/>
            <w:vAlign w:val="bottom"/>
          </w:tcPr>
          <w:p>
            <w:pPr>
              <w:ind w:left="160"/>
              <w:spacing w:after="0"/>
              <w:rPr>
                <w:sz w:val="20"/>
                <w:szCs w:val="20"/>
                <w:color w:val="auto"/>
              </w:rPr>
            </w:pPr>
            <w:r>
              <w:rPr>
                <w:rFonts w:ascii="Arial" w:cs="Arial" w:eastAsia="Arial" w:hAnsi="Arial"/>
                <w:sz w:val="18"/>
                <w:szCs w:val="18"/>
                <w:color w:val="auto"/>
              </w:rPr>
              <w:t>CFSP</w:t>
            </w:r>
          </w:p>
        </w:tc>
        <w:tc>
          <w:tcPr>
            <w:tcW w:w="5440" w:type="dxa"/>
            <w:vAlign w:val="bottom"/>
          </w:tcPr>
          <w:p>
            <w:pPr>
              <w:spacing w:after="0"/>
              <w:rPr>
                <w:sz w:val="20"/>
                <w:szCs w:val="20"/>
                <w:color w:val="auto"/>
              </w:rPr>
            </w:pPr>
            <w:r>
              <w:rPr>
                <w:rFonts w:ascii="Arial" w:cs="Arial" w:eastAsia="Arial" w:hAnsi="Arial"/>
                <w:sz w:val="18"/>
                <w:szCs w:val="18"/>
                <w:color w:val="auto"/>
                <w:w w:val="96"/>
              </w:rPr>
              <w:t>DRC- Congo (Kinshasa), Myanmar, Cambodia, Malaysia, Kazakhstan,</w:t>
            </w:r>
          </w:p>
        </w:tc>
      </w:tr>
      <w:tr>
        <w:trPr>
          <w:trHeight w:val="216"/>
        </w:trPr>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5"/>
              </w:rPr>
              <w:t>Portugal, Mongolia, Austria, Luxembourg, Brazil, Korea, Guyana, Chile,</w:t>
            </w:r>
          </w:p>
        </w:tc>
      </w:tr>
      <w:tr>
        <w:trPr>
          <w:trHeight w:val="216"/>
        </w:trPr>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7"/>
              </w:rPr>
              <w:t>Laos, Ecuador, Colombia, Argentina, Hungary, Japan, India, Canada,</w:t>
            </w:r>
          </w:p>
        </w:tc>
      </w:tr>
      <w:tr>
        <w:trPr>
          <w:trHeight w:val="230"/>
        </w:trPr>
        <w:tc>
          <w:tcPr>
            <w:tcW w:w="1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Belgium, Namibia, Taiwan, Peru, Ethiopia</w:t>
            </w: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rPr>
              <w:t>Tungsten</w:t>
            </w:r>
          </w:p>
        </w:tc>
        <w:tc>
          <w:tcPr>
            <w:tcW w:w="4020" w:type="dxa"/>
            <w:vAlign w:val="bottom"/>
          </w:tcPr>
          <w:p>
            <w:pPr>
              <w:ind w:left="420"/>
              <w:spacing w:after="0"/>
              <w:rPr>
                <w:sz w:val="20"/>
                <w:szCs w:val="20"/>
                <w:color w:val="auto"/>
              </w:rPr>
            </w:pPr>
            <w:r>
              <w:rPr>
                <w:rFonts w:ascii="Arial" w:cs="Arial" w:eastAsia="Arial" w:hAnsi="Arial"/>
                <w:sz w:val="18"/>
                <w:szCs w:val="18"/>
                <w:color w:val="auto"/>
              </w:rPr>
              <w:t>H.C. Starck Tungsten GmbH</w:t>
            </w:r>
          </w:p>
        </w:tc>
        <w:tc>
          <w:tcPr>
            <w:tcW w:w="720" w:type="dxa"/>
            <w:vAlign w:val="bottom"/>
          </w:tcPr>
          <w:p>
            <w:pPr>
              <w:ind w:left="160"/>
              <w:spacing w:after="0"/>
              <w:rPr>
                <w:sz w:val="20"/>
                <w:szCs w:val="20"/>
                <w:color w:val="auto"/>
              </w:rPr>
            </w:pPr>
            <w:r>
              <w:rPr>
                <w:rFonts w:ascii="Arial" w:cs="Arial" w:eastAsia="Arial" w:hAnsi="Arial"/>
                <w:sz w:val="18"/>
                <w:szCs w:val="18"/>
                <w:color w:val="auto"/>
              </w:rPr>
              <w:t>CFSP</w:t>
            </w:r>
          </w:p>
        </w:tc>
        <w:tc>
          <w:tcPr>
            <w:tcW w:w="5440" w:type="dxa"/>
            <w:vAlign w:val="bottom"/>
          </w:tcPr>
          <w:p>
            <w:pPr>
              <w:spacing w:after="0"/>
              <w:rPr>
                <w:sz w:val="20"/>
                <w:szCs w:val="20"/>
                <w:color w:val="auto"/>
              </w:rPr>
            </w:pPr>
            <w:r>
              <w:rPr>
                <w:rFonts w:ascii="Arial" w:cs="Arial" w:eastAsia="Arial" w:hAnsi="Arial"/>
                <w:sz w:val="18"/>
                <w:szCs w:val="18"/>
                <w:color w:val="auto"/>
                <w:w w:val="92"/>
              </w:rPr>
              <w:t>Myanmar, Cambodia, Malaysia, Kazakhstan, Portugal, Mongolia, Austria,</w:t>
            </w:r>
          </w:p>
        </w:tc>
      </w:tr>
      <w:tr>
        <w:trPr>
          <w:trHeight w:val="216"/>
        </w:trPr>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1"/>
              </w:rPr>
              <w:t>Mozambique, Luxembourg, Korea, Brazil, Guyana, Chile, Laos, Colombia,</w:t>
            </w:r>
          </w:p>
        </w:tc>
      </w:tr>
      <w:tr>
        <w:trPr>
          <w:trHeight w:val="216"/>
        </w:trPr>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5"/>
              </w:rPr>
              <w:t>Ecuador, Argentina, Hungary, Japan, India, Canada, Belgium, Namibia,</w:t>
            </w:r>
          </w:p>
        </w:tc>
      </w:tr>
      <w:tr>
        <w:trPr>
          <w:trHeight w:val="230"/>
        </w:trPr>
        <w:tc>
          <w:tcPr>
            <w:tcW w:w="1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Taiwan, Peru, Germany, Ethiopia</w:t>
            </w: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rPr>
              <w:t>Tungsten</w:t>
            </w:r>
          </w:p>
        </w:tc>
        <w:tc>
          <w:tcPr>
            <w:tcW w:w="4020" w:type="dxa"/>
            <w:vAlign w:val="bottom"/>
          </w:tcPr>
          <w:p>
            <w:pPr>
              <w:ind w:left="420"/>
              <w:spacing w:after="0"/>
              <w:rPr>
                <w:sz w:val="20"/>
                <w:szCs w:val="20"/>
                <w:color w:val="auto"/>
              </w:rPr>
            </w:pPr>
            <w:r>
              <w:rPr>
                <w:rFonts w:ascii="Arial" w:cs="Arial" w:eastAsia="Arial" w:hAnsi="Arial"/>
                <w:sz w:val="18"/>
                <w:szCs w:val="18"/>
                <w:color w:val="auto"/>
              </w:rPr>
              <w:t>Hydrometallurg, JSC</w:t>
            </w:r>
          </w:p>
        </w:tc>
        <w:tc>
          <w:tcPr>
            <w:tcW w:w="720" w:type="dxa"/>
            <w:vAlign w:val="bottom"/>
          </w:tcPr>
          <w:p>
            <w:pPr>
              <w:ind w:left="160"/>
              <w:spacing w:after="0"/>
              <w:rPr>
                <w:sz w:val="20"/>
                <w:szCs w:val="20"/>
                <w:color w:val="auto"/>
              </w:rPr>
            </w:pPr>
            <w:r>
              <w:rPr>
                <w:rFonts w:ascii="Arial" w:cs="Arial" w:eastAsia="Arial" w:hAnsi="Arial"/>
                <w:sz w:val="18"/>
                <w:szCs w:val="18"/>
                <w:color w:val="auto"/>
              </w:rPr>
              <w:t>CFSP</w:t>
            </w:r>
          </w:p>
        </w:tc>
        <w:tc>
          <w:tcPr>
            <w:tcW w:w="5440" w:type="dxa"/>
            <w:vAlign w:val="bottom"/>
          </w:tcPr>
          <w:p>
            <w:pPr>
              <w:spacing w:after="0"/>
              <w:rPr>
                <w:sz w:val="20"/>
                <w:szCs w:val="20"/>
                <w:color w:val="auto"/>
              </w:rPr>
            </w:pPr>
            <w:r>
              <w:rPr>
                <w:rFonts w:ascii="Arial" w:cs="Arial" w:eastAsia="Arial" w:hAnsi="Arial"/>
                <w:sz w:val="18"/>
                <w:szCs w:val="18"/>
                <w:color w:val="auto"/>
                <w:w w:val="96"/>
              </w:rPr>
              <w:t>DRC- Congo (Kinshasa), Myanmar, Cambodia, Malaysia, Kazakhstan,</w:t>
            </w:r>
          </w:p>
        </w:tc>
      </w:tr>
      <w:tr>
        <w:trPr>
          <w:trHeight w:val="216"/>
        </w:trPr>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5"/>
              </w:rPr>
              <w:t>Portugal, Austria, Mongolia, Luxembourg, Brazil, Guyana, Korea, Chile,</w:t>
            </w:r>
          </w:p>
        </w:tc>
      </w:tr>
      <w:tr>
        <w:trPr>
          <w:trHeight w:val="216"/>
        </w:trPr>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9"/>
              </w:rPr>
              <w:t>Laos, Ecuador, Argentina, Hungary, Japan, India, Canada, Belgium,</w:t>
            </w:r>
          </w:p>
        </w:tc>
      </w:tr>
      <w:tr>
        <w:trPr>
          <w:trHeight w:val="230"/>
        </w:trPr>
        <w:tc>
          <w:tcPr>
            <w:tcW w:w="1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Namibia, Taiwan, Peru, Germany, Ethiopia</w:t>
            </w: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rPr>
              <w:t>Tungsten</w:t>
            </w:r>
          </w:p>
        </w:tc>
        <w:tc>
          <w:tcPr>
            <w:tcW w:w="4020" w:type="dxa"/>
            <w:vAlign w:val="bottom"/>
          </w:tcPr>
          <w:p>
            <w:pPr>
              <w:ind w:left="420"/>
              <w:spacing w:after="0"/>
              <w:rPr>
                <w:sz w:val="20"/>
                <w:szCs w:val="20"/>
                <w:color w:val="auto"/>
              </w:rPr>
            </w:pPr>
            <w:r>
              <w:rPr>
                <w:rFonts w:ascii="Arial" w:cs="Arial" w:eastAsia="Arial" w:hAnsi="Arial"/>
                <w:sz w:val="18"/>
                <w:szCs w:val="18"/>
                <w:color w:val="auto"/>
                <w:w w:val="99"/>
              </w:rPr>
              <w:t>Jiangxi Xinsheng Tungsten Industry Co., Ltd.</w:t>
            </w:r>
          </w:p>
        </w:tc>
        <w:tc>
          <w:tcPr>
            <w:tcW w:w="720" w:type="dxa"/>
            <w:vAlign w:val="bottom"/>
          </w:tcPr>
          <w:p>
            <w:pPr>
              <w:ind w:left="160"/>
              <w:spacing w:after="0"/>
              <w:rPr>
                <w:sz w:val="20"/>
                <w:szCs w:val="20"/>
                <w:color w:val="auto"/>
              </w:rPr>
            </w:pPr>
            <w:r>
              <w:rPr>
                <w:rFonts w:ascii="Arial" w:cs="Arial" w:eastAsia="Arial" w:hAnsi="Arial"/>
                <w:sz w:val="18"/>
                <w:szCs w:val="18"/>
                <w:color w:val="auto"/>
              </w:rPr>
              <w:t>CFSP</w:t>
            </w:r>
          </w:p>
        </w:tc>
        <w:tc>
          <w:tcPr>
            <w:tcW w:w="5440" w:type="dxa"/>
            <w:vAlign w:val="bottom"/>
          </w:tcPr>
          <w:p>
            <w:pPr>
              <w:spacing w:after="0"/>
              <w:rPr>
                <w:sz w:val="20"/>
                <w:szCs w:val="20"/>
                <w:color w:val="auto"/>
              </w:rPr>
            </w:pPr>
            <w:r>
              <w:rPr>
                <w:rFonts w:ascii="Arial" w:cs="Arial" w:eastAsia="Arial" w:hAnsi="Arial"/>
                <w:sz w:val="18"/>
                <w:szCs w:val="18"/>
                <w:color w:val="auto"/>
                <w:w w:val="98"/>
              </w:rPr>
              <w:t>DRC- Congo (Kinshasa), Canada, Russian Federation, China, Brazil,</w:t>
            </w:r>
          </w:p>
        </w:tc>
      </w:tr>
      <w:tr>
        <w:trPr>
          <w:trHeight w:val="230"/>
        </w:trPr>
        <w:tc>
          <w:tcPr>
            <w:tcW w:w="1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Malaysia, Australia, Bolivia, Peru, Indonesia</w:t>
            </w: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rPr>
              <w:t>Tungsten</w:t>
            </w:r>
          </w:p>
        </w:tc>
        <w:tc>
          <w:tcPr>
            <w:tcW w:w="4020" w:type="dxa"/>
            <w:vAlign w:val="bottom"/>
          </w:tcPr>
          <w:p>
            <w:pPr>
              <w:ind w:left="420"/>
              <w:spacing w:after="0"/>
              <w:rPr>
                <w:sz w:val="20"/>
                <w:szCs w:val="20"/>
                <w:color w:val="auto"/>
              </w:rPr>
            </w:pPr>
            <w:r>
              <w:rPr>
                <w:rFonts w:ascii="Arial" w:cs="Arial" w:eastAsia="Arial" w:hAnsi="Arial"/>
                <w:sz w:val="18"/>
                <w:szCs w:val="18"/>
                <w:color w:val="auto"/>
                <w:w w:val="95"/>
              </w:rPr>
              <w:t>Vietnam Youngsun Tungsten Industry Co., Ltd.</w:t>
            </w:r>
          </w:p>
        </w:tc>
        <w:tc>
          <w:tcPr>
            <w:tcW w:w="720" w:type="dxa"/>
            <w:vAlign w:val="bottom"/>
          </w:tcPr>
          <w:p>
            <w:pPr>
              <w:ind w:left="160"/>
              <w:spacing w:after="0"/>
              <w:rPr>
                <w:sz w:val="20"/>
                <w:szCs w:val="20"/>
                <w:color w:val="auto"/>
              </w:rPr>
            </w:pPr>
            <w:r>
              <w:rPr>
                <w:rFonts w:ascii="Arial" w:cs="Arial" w:eastAsia="Arial" w:hAnsi="Arial"/>
                <w:sz w:val="18"/>
                <w:szCs w:val="18"/>
                <w:color w:val="auto"/>
              </w:rPr>
              <w:t>CFSP</w:t>
            </w:r>
          </w:p>
        </w:tc>
        <w:tc>
          <w:tcPr>
            <w:tcW w:w="5440" w:type="dxa"/>
            <w:vAlign w:val="bottom"/>
          </w:tcPr>
          <w:p>
            <w:pPr>
              <w:spacing w:after="0"/>
              <w:rPr>
                <w:sz w:val="20"/>
                <w:szCs w:val="20"/>
                <w:color w:val="auto"/>
              </w:rPr>
            </w:pPr>
            <w:r>
              <w:rPr>
                <w:rFonts w:ascii="Arial" w:cs="Arial" w:eastAsia="Arial" w:hAnsi="Arial"/>
                <w:sz w:val="18"/>
                <w:szCs w:val="18"/>
                <w:color w:val="auto"/>
              </w:rPr>
              <w:t>DRC- Congo (Kinshasa), Myanmar, Angola, Cambodia, Malaysia,</w:t>
            </w:r>
          </w:p>
        </w:tc>
      </w:tr>
      <w:tr>
        <w:trPr>
          <w:trHeight w:val="216"/>
        </w:trPr>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5"/>
              </w:rPr>
              <w:t>Kazakhstan, Portugal, Austria, Mongolia, Luxembourg, Guyana, Korea,</w:t>
            </w:r>
          </w:p>
        </w:tc>
      </w:tr>
      <w:tr>
        <w:trPr>
          <w:trHeight w:val="216"/>
        </w:trPr>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1"/>
              </w:rPr>
              <w:t>Brazil, Chile, Laos, Ecuador, Colombia, Argentina, Hungary, South Sudan,</w:t>
            </w:r>
          </w:p>
        </w:tc>
      </w:tr>
      <w:tr>
        <w:trPr>
          <w:trHeight w:val="230"/>
        </w:trPr>
        <w:tc>
          <w:tcPr>
            <w:tcW w:w="1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Japan, Tanzania, Zambia, Congo (Brazzaville)</w:t>
            </w: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rPr>
              <w:t>Tungsten</w:t>
            </w:r>
          </w:p>
        </w:tc>
        <w:tc>
          <w:tcPr>
            <w:tcW w:w="4020" w:type="dxa"/>
            <w:vAlign w:val="bottom"/>
          </w:tcPr>
          <w:p>
            <w:pPr>
              <w:ind w:left="420"/>
              <w:spacing w:after="0"/>
              <w:rPr>
                <w:sz w:val="20"/>
                <w:szCs w:val="20"/>
                <w:color w:val="auto"/>
              </w:rPr>
            </w:pPr>
            <w:r>
              <w:rPr>
                <w:rFonts w:ascii="Arial" w:cs="Arial" w:eastAsia="Arial" w:hAnsi="Arial"/>
                <w:sz w:val="18"/>
                <w:szCs w:val="18"/>
                <w:color w:val="auto"/>
              </w:rPr>
              <w:t>Xiamen Tungsten (H.C.) Co., Ltd.</w:t>
            </w:r>
          </w:p>
        </w:tc>
        <w:tc>
          <w:tcPr>
            <w:tcW w:w="720" w:type="dxa"/>
            <w:vAlign w:val="bottom"/>
          </w:tcPr>
          <w:p>
            <w:pPr>
              <w:ind w:left="160"/>
              <w:spacing w:after="0"/>
              <w:rPr>
                <w:sz w:val="20"/>
                <w:szCs w:val="20"/>
                <w:color w:val="auto"/>
              </w:rPr>
            </w:pPr>
            <w:r>
              <w:rPr>
                <w:rFonts w:ascii="Arial" w:cs="Arial" w:eastAsia="Arial" w:hAnsi="Arial"/>
                <w:sz w:val="18"/>
                <w:szCs w:val="18"/>
                <w:color w:val="auto"/>
              </w:rPr>
              <w:t>CFSP</w:t>
            </w:r>
          </w:p>
        </w:tc>
        <w:tc>
          <w:tcPr>
            <w:tcW w:w="5440" w:type="dxa"/>
            <w:vAlign w:val="bottom"/>
          </w:tcPr>
          <w:p>
            <w:pPr>
              <w:spacing w:after="0"/>
              <w:rPr>
                <w:sz w:val="20"/>
                <w:szCs w:val="20"/>
                <w:color w:val="auto"/>
              </w:rPr>
            </w:pPr>
            <w:r>
              <w:rPr>
                <w:rFonts w:ascii="Arial" w:cs="Arial" w:eastAsia="Arial" w:hAnsi="Arial"/>
                <w:sz w:val="18"/>
                <w:szCs w:val="18"/>
                <w:color w:val="auto"/>
                <w:w w:val="92"/>
              </w:rPr>
              <w:t>Russian Federation, Burundi, Niger, Rwanda, Malaysia, Thailand, Bolivia,</w:t>
            </w:r>
          </w:p>
        </w:tc>
      </w:tr>
      <w:tr>
        <w:trPr>
          <w:trHeight w:val="230"/>
        </w:trPr>
        <w:tc>
          <w:tcPr>
            <w:tcW w:w="1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Spain, Canada, China, Brazil, Mexico, Australia, Nigeria</w:t>
            </w:r>
          </w:p>
        </w:tc>
      </w:tr>
      <w:tr>
        <w:trPr>
          <w:trHeight w:val="310"/>
        </w:trPr>
        <w:tc>
          <w:tcPr>
            <w:tcW w:w="1080" w:type="dxa"/>
            <w:vAlign w:val="bottom"/>
          </w:tcPr>
          <w:p>
            <w:pPr>
              <w:spacing w:after="0"/>
              <w:rPr>
                <w:sz w:val="20"/>
                <w:szCs w:val="20"/>
                <w:color w:val="auto"/>
              </w:rPr>
            </w:pPr>
            <w:r>
              <w:rPr>
                <w:rFonts w:ascii="Arial" w:cs="Arial" w:eastAsia="Arial" w:hAnsi="Arial"/>
                <w:sz w:val="18"/>
                <w:szCs w:val="18"/>
                <w:color w:val="auto"/>
              </w:rPr>
              <w:t>Tungsten</w:t>
            </w:r>
          </w:p>
        </w:tc>
        <w:tc>
          <w:tcPr>
            <w:tcW w:w="4020" w:type="dxa"/>
            <w:vAlign w:val="bottom"/>
          </w:tcPr>
          <w:p>
            <w:pPr>
              <w:ind w:left="420"/>
              <w:spacing w:after="0"/>
              <w:rPr>
                <w:sz w:val="20"/>
                <w:szCs w:val="20"/>
                <w:color w:val="auto"/>
              </w:rPr>
            </w:pPr>
            <w:r>
              <w:rPr>
                <w:rFonts w:ascii="Arial" w:cs="Arial" w:eastAsia="Arial" w:hAnsi="Arial"/>
                <w:sz w:val="18"/>
                <w:szCs w:val="18"/>
                <w:color w:val="auto"/>
              </w:rPr>
              <w:t>Xiamen Tungsten Co., Ltd.</w:t>
            </w:r>
          </w:p>
        </w:tc>
        <w:tc>
          <w:tcPr>
            <w:tcW w:w="720" w:type="dxa"/>
            <w:vAlign w:val="bottom"/>
          </w:tcPr>
          <w:p>
            <w:pPr>
              <w:ind w:left="160"/>
              <w:spacing w:after="0"/>
              <w:rPr>
                <w:sz w:val="20"/>
                <w:szCs w:val="20"/>
                <w:color w:val="auto"/>
              </w:rPr>
            </w:pPr>
            <w:r>
              <w:rPr>
                <w:rFonts w:ascii="Arial" w:cs="Arial" w:eastAsia="Arial" w:hAnsi="Arial"/>
                <w:sz w:val="18"/>
                <w:szCs w:val="18"/>
                <w:color w:val="auto"/>
              </w:rPr>
              <w:t>CFSP</w:t>
            </w:r>
          </w:p>
        </w:tc>
        <w:tc>
          <w:tcPr>
            <w:tcW w:w="5440" w:type="dxa"/>
            <w:vAlign w:val="bottom"/>
          </w:tcPr>
          <w:p>
            <w:pPr>
              <w:spacing w:after="0"/>
              <w:rPr>
                <w:sz w:val="20"/>
                <w:szCs w:val="20"/>
                <w:color w:val="auto"/>
              </w:rPr>
            </w:pPr>
            <w:r>
              <w:rPr>
                <w:rFonts w:ascii="Arial" w:cs="Arial" w:eastAsia="Arial" w:hAnsi="Arial"/>
                <w:sz w:val="18"/>
                <w:szCs w:val="18"/>
                <w:color w:val="auto"/>
                <w:w w:val="96"/>
              </w:rPr>
              <w:t>DRC- Congo (Kinshasa), Myanmar, Cambodia, Malaysia, Kazakhstan,</w:t>
            </w:r>
          </w:p>
        </w:tc>
      </w:tr>
      <w:tr>
        <w:trPr>
          <w:trHeight w:val="216"/>
        </w:trPr>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5"/>
              </w:rPr>
              <w:t>Portugal, Austria, Mongolia, Luxembourg, Korea, Brazil, Guyana, Chile,</w:t>
            </w:r>
          </w:p>
        </w:tc>
      </w:tr>
      <w:tr>
        <w:trPr>
          <w:trHeight w:val="216"/>
        </w:trPr>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7"/>
              </w:rPr>
              <w:t>Laos, Colombia, Ecuador, Argentina, Hungary, Japan, India, Canada,</w:t>
            </w:r>
          </w:p>
        </w:tc>
      </w:tr>
      <w:tr>
        <w:trPr>
          <w:trHeight w:val="230"/>
        </w:trPr>
        <w:tc>
          <w:tcPr>
            <w:tcW w:w="1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Belgium, Namibia, Taiwan, Peru, Germany</w:t>
            </w:r>
          </w:p>
        </w:tc>
      </w:tr>
      <w:tr>
        <w:trPr>
          <w:trHeight w:val="365"/>
        </w:trPr>
        <w:tc>
          <w:tcPr>
            <w:tcW w:w="10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20" w:type="dxa"/>
            <w:vAlign w:val="bottom"/>
          </w:tcPr>
          <w:p>
            <w:pPr>
              <w:ind w:left="520"/>
              <w:spacing w:after="0"/>
              <w:rPr>
                <w:sz w:val="20"/>
                <w:szCs w:val="20"/>
                <w:color w:val="auto"/>
              </w:rPr>
            </w:pPr>
            <w:r>
              <w:rPr>
                <w:rFonts w:ascii="Arial" w:cs="Arial" w:eastAsia="Arial" w:hAnsi="Arial"/>
                <w:sz w:val="18"/>
                <w:szCs w:val="18"/>
                <w:color w:val="auto"/>
                <w:w w:val="89"/>
              </w:rPr>
              <w:t>15</w:t>
            </w:r>
          </w:p>
        </w:tc>
        <w:tc>
          <w:tcPr>
            <w:tcW w:w="5440" w:type="dxa"/>
            <w:vAlign w:val="bottom"/>
          </w:tcPr>
          <w:p>
            <w:pPr>
              <w:spacing w:after="0"/>
              <w:rPr>
                <w:sz w:val="24"/>
                <w:szCs w:val="24"/>
                <w:color w:val="auto"/>
              </w:rPr>
            </w:pPr>
          </w:p>
        </w:tc>
      </w:tr>
    </w:tbl>
    <w:p>
      <w:pPr>
        <w:sectPr>
          <w:pgSz w:w="11900" w:h="16838" w:orient="portrait"/>
          <w:cols w:equalWidth="0" w:num="1">
            <w:col w:w="11260"/>
          </w:cols>
          <w:pgMar w:left="240" w:top="382" w:right="399" w:bottom="1440" w:gutter="0" w:footer="0" w:header="0"/>
        </w:sectPr>
      </w:pPr>
    </w:p>
    <w:bookmarkStart w:id="18" w:name="page19"/>
    <w:bookmarkEnd w:id="18"/>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which is as of May 1, 2017, lists the SORs known to us to have supplied necessary conflict minerals contained in our covered products but that did not source conflict minerals from any of the covered countries: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Metal</w:t>
            </w:r>
          </w:p>
        </w:tc>
        <w:tc>
          <w:tcPr>
            <w:tcW w:w="1120" w:type="dxa"/>
            <w:vAlign w:val="bottom"/>
          </w:tcPr>
          <w:p>
            <w:pPr>
              <w:spacing w:after="0"/>
              <w:rPr>
                <w:sz w:val="15"/>
                <w:szCs w:val="15"/>
                <w:color w:val="auto"/>
              </w:rPr>
            </w:pPr>
          </w:p>
        </w:tc>
        <w:tc>
          <w:tcPr>
            <w:tcW w:w="36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5"/>
                <w:szCs w:val="15"/>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5"/>
                <w:szCs w:val="15"/>
                <w:color w:val="auto"/>
              </w:rPr>
            </w:pPr>
          </w:p>
        </w:tc>
        <w:tc>
          <w:tcPr>
            <w:tcW w:w="4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Mine Countries of Origin</w:t>
            </w:r>
          </w:p>
        </w:tc>
      </w:tr>
      <w:tr>
        <w:trPr>
          <w:trHeight w:val="311"/>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Advanced Chemical Company</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States, Peru, Indonesia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AngloGold Ashanti</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Brazil, South Africa, Australia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Argor-Heraeus SA</w:t>
            </w:r>
          </w:p>
        </w:tc>
        <w:tc>
          <w:tcPr>
            <w:tcW w:w="1420" w:type="dxa"/>
            <w:vAlign w:val="bottom"/>
          </w:tcPr>
          <w:p>
            <w:pPr>
              <w:spacing w:after="0"/>
              <w:rPr>
                <w:sz w:val="20"/>
                <w:szCs w:val="20"/>
                <w:color w:val="auto"/>
              </w:rPr>
            </w:pPr>
            <w:r>
              <w:rPr>
                <w:rFonts w:ascii="Arial" w:cs="Arial" w:eastAsia="Arial" w:hAnsi="Arial"/>
                <w:sz w:val="18"/>
                <w:szCs w:val="18"/>
                <w:color w:val="auto"/>
              </w:rPr>
              <w:t>LBMA, RJC,</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Argentina, Singapore, Hong Kong, Philippines, China, South</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Africa, Chile, Switzerland, Indonesia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Asahi Pretec Corporation</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Papua New Guinea, Cambodia, Malaysia,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Kazakhstan, Portugal, Mongolia, Austria, Luxembourg,</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Guyana, Brazil, Korea, Chile, Laos, Colombia, Ecuador,</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Argentina, Hungary, Japan, India, Canada, Belgium, Namibia,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Taiwan, Peru, Germany, Ethiopia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Asahi Refining Canada Limited</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Japan, Australia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Asahi Refining USA Inc.</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Hong Kong, United States, China, Uzbekistan,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Malaysia, Bermuda, Chile, Australia, Peru, Indonesia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Atasay Kuyumculuk Sanayi Ve Ticaret A.S.</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Turkey, Brazil, Australia, Indonesia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w w:val="97"/>
              </w:rPr>
              <w:t>Bangko Sentral ng Pilipinas (Central Bank of the</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Philippines, China, Brazil, Italy, Indonesia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Philippines)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Boliden AB</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Sweden, China, Ireland, Finland, Indonesia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 Hafner GmbH + Co. KG</w:t>
            </w:r>
          </w:p>
        </w:tc>
        <w:tc>
          <w:tcPr>
            <w:tcW w:w="1420" w:type="dxa"/>
            <w:vAlign w:val="bottom"/>
          </w:tcPr>
          <w:p>
            <w:pPr>
              <w:spacing w:after="0"/>
              <w:rPr>
                <w:sz w:val="20"/>
                <w:szCs w:val="20"/>
                <w:color w:val="auto"/>
              </w:rPr>
            </w:pPr>
            <w:r>
              <w:rPr>
                <w:rFonts w:ascii="Arial" w:cs="Arial" w:eastAsia="Arial" w:hAnsi="Arial"/>
                <w:sz w:val="18"/>
                <w:szCs w:val="18"/>
                <w:color w:val="auto"/>
              </w:rPr>
              <w:t>LBMA, RJC,</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Japan, China, Brazil, Chile, Australia, Peru, Germany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Caridad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 Japan, Korea, Mexico, Chile, Bolivia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China Gold International Resources Corp. Ltd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Mongolia, China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Chugai Mining</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Canada, United States, Japan, Australia, Chile, Peru, Indonesia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Daejin Indus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Japan, Korea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Daye Non-Ferrous Metals Mining Ltd.</w:t>
            </w:r>
          </w:p>
        </w:tc>
        <w:tc>
          <w:tcPr>
            <w:tcW w:w="1420" w:type="dxa"/>
            <w:vAlign w:val="bottom"/>
          </w:tcPr>
          <w:p>
            <w:pPr>
              <w:spacing w:after="0"/>
              <w:rPr>
                <w:sz w:val="20"/>
                <w:szCs w:val="20"/>
                <w:color w:val="auto"/>
              </w:rPr>
            </w:pPr>
            <w:r>
              <w:rPr>
                <w:rFonts w:ascii="Arial" w:cs="Arial" w:eastAsia="Arial" w:hAnsi="Arial"/>
                <w:sz w:val="18"/>
                <w:szCs w:val="18"/>
                <w:color w:val="auto"/>
              </w:rPr>
              <w:t>LBMA</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9"/>
              </w:rPr>
              <w:t>Singapore, Hong Kong, United States, Japan, Uzbekistan,</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9"/>
              </w:rPr>
              <w:t>United Kingdom, Malaysia, Switzerland, Canada, Belgium,</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 Mexico, South Africa, Australia, Chile</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Dowa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Guyana, Brazil, Korea,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Colombia, Ecuador,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Germany, Ethiopia,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Emirates Gold DMCC</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Arab Emirates</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Fidelity Printers and Refiners Ltd.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Zimbabwe</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Gansu Seemine Material Hi-Tech Co Ltd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Geib Refining Corporation</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States, China</w:t>
            </w:r>
          </w:p>
        </w:tc>
      </w:tr>
      <w:tr>
        <w:trPr>
          <w:trHeight w:val="365"/>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Metal</w:t>
            </w:r>
          </w:p>
        </w:tc>
        <w:tc>
          <w:tcPr>
            <w:tcW w:w="1120" w:type="dxa"/>
            <w:vAlign w:val="bottom"/>
          </w:tcPr>
          <w:p>
            <w:pPr>
              <w:spacing w:after="0"/>
              <w:rPr>
                <w:sz w:val="15"/>
                <w:szCs w:val="15"/>
                <w:color w:val="auto"/>
              </w:rPr>
            </w:pPr>
          </w:p>
        </w:tc>
        <w:tc>
          <w:tcPr>
            <w:tcW w:w="36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5"/>
                <w:szCs w:val="15"/>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5"/>
                <w:szCs w:val="15"/>
                <w:color w:val="auto"/>
              </w:rPr>
            </w:pPr>
          </w:p>
        </w:tc>
        <w:tc>
          <w:tcPr>
            <w:tcW w:w="4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Mine Countries of Origin</w:t>
            </w:r>
          </w:p>
        </w:tc>
      </w:tr>
      <w:tr>
        <w:trPr>
          <w:trHeight w:val="29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Gold Refinery of Zijin Mining Group Co., Ltd</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8"/>
              </w:rPr>
              <w:t>Papua New Guinea, Russian Federation, Japan, Malaysia,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Bolivia, Canada, Mongolia, Mozambique, China, Brazil,</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Poland, Australia, Peru, Kyrgyzstan, Tajikistan, Indonesia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Great Wall Precious Metals Co., Ltd. of CBPM</w:t>
            </w:r>
          </w:p>
        </w:tc>
        <w:tc>
          <w:tcPr>
            <w:tcW w:w="1420" w:type="dxa"/>
            <w:vAlign w:val="bottom"/>
          </w:tcPr>
          <w:p>
            <w:pPr>
              <w:spacing w:after="0"/>
              <w:rPr>
                <w:sz w:val="20"/>
                <w:szCs w:val="20"/>
                <w:color w:val="auto"/>
              </w:rPr>
            </w:pPr>
            <w:r>
              <w:rPr>
                <w:rFonts w:ascii="Arial" w:cs="Arial" w:eastAsia="Arial" w:hAnsi="Arial"/>
                <w:sz w:val="18"/>
                <w:szCs w:val="18"/>
                <w:color w:val="auto"/>
              </w:rPr>
              <w:t>LBMA</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 China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Guangdong Jinding Gold Limited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 Taiwan, Brazil, Australia, Peru</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w w:val="95"/>
              </w:rPr>
              <w:t>Guoda Safina High-Tech Environmental Refinery</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 Ltd.</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Hangzhou Fuchunjiang Smelting Co., Ltd.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 Korea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Heraeus Metals Hong Kong Ltd</w:t>
            </w:r>
          </w:p>
        </w:tc>
        <w:tc>
          <w:tcPr>
            <w:tcW w:w="1420" w:type="dxa"/>
            <w:vAlign w:val="bottom"/>
          </w:tcPr>
          <w:p>
            <w:pPr>
              <w:spacing w:after="0"/>
              <w:rPr>
                <w:sz w:val="20"/>
                <w:szCs w:val="20"/>
                <w:color w:val="auto"/>
              </w:rPr>
            </w:pPr>
            <w:r>
              <w:rPr>
                <w:rFonts w:ascii="Arial" w:cs="Arial" w:eastAsia="Arial" w:hAnsi="Arial"/>
                <w:sz w:val="18"/>
                <w:szCs w:val="18"/>
                <w:color w:val="auto"/>
              </w:rPr>
              <w:t>LBMA, RJC,</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Singapore, Vietnam, Hong Kong, Philippines, Japan, Malaysia,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Thailand, Switzerland, Canada, Mozambique, China, Taiwan,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South Africa, Australia, France, Laos, Peru, Germany</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Heraeus Precious Metals GmbH &amp; Co. KG</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Hong Kong, United States, Malaysia, United Arab Emirates,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Bolivia, Switzerland, Saudi Arabia, Turkey, China, Jersey,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Chile, Australia, Peru, Germany</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Hunan Chenzhou Mining Co., Ltd.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Mozambique, China, Australia, Switzerland</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HwaSeong CJ Co. Ltd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Hong Kong, United States, Japan, China, Korea,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Mexico, Australia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Inner Mongolia Qiankun Gold and Silver</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Mongolia, China, Mexico</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Refinery Share Co., Ltd.</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Ishifuku Metal Industry Co., Ltd.</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United States, Japan, China, Australia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Istanbul Gold Refinery</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Turkey</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Japan Mint</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Japan, Italy, Mexico, Australia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Jinlong Copper Co., Ltd.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States, China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w w:val="95"/>
              </w:rPr>
              <w:t>JSC Ekaterinburg Non-Ferrous Metal Processing</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Russian Federation, Japan, Australia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Plant</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JSC Uralelectromed</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9"/>
              </w:rPr>
              <w:t>Russian Federation, Taiwan, Brazil, Australia, Switzerland</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JX Nippon Mining &amp; Metals Co., Ltd.</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Saudi Arabia, Taiwan, United Kingdom, Chile, Indonesia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Kaloti Precious Metals</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Arab Emirates</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Kazzinc</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0"/>
              </w:rPr>
              <w:t>China, Japan, Taiwan, Australia, Kazakhstan, Switzerland, Peru</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Kennecott Utah Copper LLC</w:t>
            </w:r>
          </w:p>
        </w:tc>
        <w:tc>
          <w:tcPr>
            <w:tcW w:w="1420" w:type="dxa"/>
            <w:vAlign w:val="bottom"/>
          </w:tcPr>
          <w:p>
            <w:pPr>
              <w:spacing w:after="0"/>
              <w:rPr>
                <w:sz w:val="20"/>
                <w:szCs w:val="20"/>
                <w:color w:val="auto"/>
              </w:rPr>
            </w:pPr>
            <w:r>
              <w:rPr>
                <w:rFonts w:ascii="Arial" w:cs="Arial" w:eastAsia="Arial" w:hAnsi="Arial"/>
                <w:sz w:val="18"/>
                <w:szCs w:val="18"/>
                <w:color w:val="auto"/>
              </w:rPr>
              <w:t>LBMA, RJC,</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KGHM Polska Miedź Spółka Akcyjna</w:t>
            </w:r>
          </w:p>
        </w:tc>
        <w:tc>
          <w:tcPr>
            <w:tcW w:w="1420" w:type="dxa"/>
            <w:vAlign w:val="bottom"/>
          </w:tcPr>
          <w:p>
            <w:pPr>
              <w:spacing w:after="0"/>
              <w:rPr>
                <w:sz w:val="20"/>
                <w:szCs w:val="20"/>
                <w:color w:val="auto"/>
              </w:rPr>
            </w:pPr>
            <w:r>
              <w:rPr>
                <w:rFonts w:ascii="Arial" w:cs="Arial" w:eastAsia="Arial" w:hAnsi="Arial"/>
                <w:sz w:val="18"/>
                <w:szCs w:val="18"/>
                <w:color w:val="auto"/>
              </w:rPr>
              <w:t>CFSP - Active</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Chile</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Kojima Chemicals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Korea, Brazil, Guyana,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Ecuador, Colombia,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Ethiopia, Germany,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65"/>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Metal</w:t>
            </w:r>
          </w:p>
        </w:tc>
        <w:tc>
          <w:tcPr>
            <w:tcW w:w="1120" w:type="dxa"/>
            <w:vAlign w:val="bottom"/>
          </w:tcPr>
          <w:p>
            <w:pPr>
              <w:spacing w:after="0"/>
              <w:rPr>
                <w:sz w:val="15"/>
                <w:szCs w:val="15"/>
                <w:color w:val="auto"/>
              </w:rPr>
            </w:pPr>
          </w:p>
        </w:tc>
        <w:tc>
          <w:tcPr>
            <w:tcW w:w="36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5"/>
                <w:szCs w:val="15"/>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5"/>
                <w:szCs w:val="15"/>
                <w:color w:val="auto"/>
              </w:rPr>
            </w:pPr>
          </w:p>
        </w:tc>
        <w:tc>
          <w:tcPr>
            <w:tcW w:w="4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Mine Countries of Origin</w:t>
            </w:r>
          </w:p>
        </w:tc>
      </w:tr>
      <w:tr>
        <w:trPr>
          <w:trHeight w:val="311"/>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Kyrgyzaltyn JSC</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Brazil, Australia, Kyrgyzstan</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L’azurde Company For Jewelry</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Saudi Arabia, Canada, Japan, Taiwan, Australia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Lingbao Gold Company Ltd.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Lingbao Jinyuan Tonghui Refinery Co. Ltd.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LS-NIKKO Copper Inc.</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8"/>
              </w:rPr>
              <w:t>Singapore, Hong Kong, United States, Japan, Kazakhstan,</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India, China, Brazil, Korea, Mexico, South Africa, Chile,</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Australia, Peru, Indonesia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Luoyang Zijin Yinhui Gold Refinery Co., Ltd.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Materion</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Korea, Guyana, Brazil,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Ecuador, Colombia,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Germany, Ethiopia,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Matsuda Sangyo Co., Ltd.</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Hong Kong, United States, China, Japan, United</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Kingdom, Australia, Indonesia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Metalor Technologies (Hong Kong) Ltd.</w:t>
            </w:r>
          </w:p>
        </w:tc>
        <w:tc>
          <w:tcPr>
            <w:tcW w:w="1420" w:type="dxa"/>
            <w:vAlign w:val="bottom"/>
          </w:tcPr>
          <w:p>
            <w:pPr>
              <w:spacing w:after="0"/>
              <w:rPr>
                <w:sz w:val="20"/>
                <w:szCs w:val="20"/>
                <w:color w:val="auto"/>
              </w:rPr>
            </w:pPr>
            <w:r>
              <w:rPr>
                <w:rFonts w:ascii="Arial" w:cs="Arial" w:eastAsia="Arial" w:hAnsi="Arial"/>
                <w:sz w:val="18"/>
                <w:szCs w:val="18"/>
                <w:color w:val="auto"/>
              </w:rPr>
              <w:t>LBMA, RJC,</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Hong Kong, United States, Japan, China, Australia,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Switzerland, Peru</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Metalor Technologies (Singapore) Pte., Ltd.</w:t>
            </w:r>
          </w:p>
        </w:tc>
        <w:tc>
          <w:tcPr>
            <w:tcW w:w="1420" w:type="dxa"/>
            <w:vAlign w:val="bottom"/>
          </w:tcPr>
          <w:p>
            <w:pPr>
              <w:spacing w:after="0"/>
              <w:rPr>
                <w:sz w:val="20"/>
                <w:szCs w:val="20"/>
                <w:color w:val="auto"/>
              </w:rPr>
            </w:pPr>
            <w:r>
              <w:rPr>
                <w:rFonts w:ascii="Arial" w:cs="Arial" w:eastAsia="Arial" w:hAnsi="Arial"/>
                <w:sz w:val="18"/>
                <w:szCs w:val="18"/>
                <w:color w:val="auto"/>
              </w:rPr>
              <w:t>LBMA, RJC,</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Singapore, China, Switzerland</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Metalor Technologies (Suzhou) Co Ltd</w:t>
            </w:r>
          </w:p>
        </w:tc>
        <w:tc>
          <w:tcPr>
            <w:tcW w:w="1420" w:type="dxa"/>
            <w:vAlign w:val="bottom"/>
          </w:tcPr>
          <w:p>
            <w:pPr>
              <w:spacing w:after="0"/>
              <w:rPr>
                <w:sz w:val="20"/>
                <w:szCs w:val="20"/>
                <w:color w:val="auto"/>
              </w:rPr>
            </w:pPr>
            <w:r>
              <w:rPr>
                <w:rFonts w:ascii="Arial" w:cs="Arial" w:eastAsia="Arial" w:hAnsi="Arial"/>
                <w:sz w:val="18"/>
                <w:szCs w:val="18"/>
                <w:color w:val="auto"/>
              </w:rPr>
              <w:t>RJC,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 South Africa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Metalor Technologies SA</w:t>
            </w:r>
          </w:p>
        </w:tc>
        <w:tc>
          <w:tcPr>
            <w:tcW w:w="1420" w:type="dxa"/>
            <w:vAlign w:val="bottom"/>
          </w:tcPr>
          <w:p>
            <w:pPr>
              <w:spacing w:after="0"/>
              <w:rPr>
                <w:sz w:val="20"/>
                <w:szCs w:val="20"/>
                <w:color w:val="auto"/>
              </w:rPr>
            </w:pPr>
            <w:r>
              <w:rPr>
                <w:rFonts w:ascii="Arial" w:cs="Arial" w:eastAsia="Arial" w:hAnsi="Arial"/>
                <w:sz w:val="18"/>
                <w:szCs w:val="18"/>
                <w:color w:val="auto"/>
              </w:rPr>
              <w:t>LBMA, RJC,</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Sweden, Belgium, Hong Kong, United States, China,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Kingdom, Switzerland, Indonesia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Metalor USA Refining Corporation</w:t>
            </w:r>
          </w:p>
        </w:tc>
        <w:tc>
          <w:tcPr>
            <w:tcW w:w="1420" w:type="dxa"/>
            <w:vAlign w:val="bottom"/>
          </w:tcPr>
          <w:p>
            <w:pPr>
              <w:spacing w:after="0"/>
              <w:rPr>
                <w:sz w:val="20"/>
                <w:szCs w:val="20"/>
                <w:color w:val="auto"/>
              </w:rPr>
            </w:pPr>
            <w:r>
              <w:rPr>
                <w:rFonts w:ascii="Arial" w:cs="Arial" w:eastAsia="Arial" w:hAnsi="Arial"/>
                <w:sz w:val="18"/>
                <w:szCs w:val="18"/>
                <w:color w:val="auto"/>
              </w:rPr>
              <w:t>LBMA, RJC,</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United States, China, Mexico, Switzerland</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METALÚRGICA MET-MEX PEÑOLES, S.A.</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 Mexico</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DE C.V</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Mitsui Mining and Smelting Co., Ltd.</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Japan, China, Australia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MMTC-PAMP India Pvt., Ltd.</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States, India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Moscow Special Alloys Processing Plant</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 China, Bolivia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Nadir Metal Rafineri San. Ve Tic. A.Ş.</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Saudi Arabia, Turkey, United Arab Emirates</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Navoi Mining and Metallurgical Combinat</w:t>
            </w:r>
          </w:p>
        </w:tc>
        <w:tc>
          <w:tcPr>
            <w:tcW w:w="1420" w:type="dxa"/>
            <w:vAlign w:val="bottom"/>
          </w:tcPr>
          <w:p>
            <w:pPr>
              <w:spacing w:after="0"/>
              <w:rPr>
                <w:sz w:val="20"/>
                <w:szCs w:val="20"/>
                <w:color w:val="auto"/>
              </w:rPr>
            </w:pPr>
            <w:r>
              <w:rPr>
                <w:rFonts w:ascii="Arial" w:cs="Arial" w:eastAsia="Arial" w:hAnsi="Arial"/>
                <w:sz w:val="18"/>
                <w:szCs w:val="18"/>
                <w:color w:val="auto"/>
              </w:rPr>
              <w:t>LBMA, CFSP -</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States, China, Uzbekistan, Indonesia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Active</w:t>
            </w: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Ögussa Österreichische Gold- und Silber-</w:t>
            </w:r>
          </w:p>
        </w:tc>
        <w:tc>
          <w:tcPr>
            <w:tcW w:w="1420" w:type="dxa"/>
            <w:vAlign w:val="bottom"/>
          </w:tcPr>
          <w:p>
            <w:pPr>
              <w:spacing w:after="0"/>
              <w:rPr>
                <w:sz w:val="20"/>
                <w:szCs w:val="20"/>
                <w:color w:val="auto"/>
              </w:rPr>
            </w:pPr>
            <w:r>
              <w:rPr>
                <w:rFonts w:ascii="Arial" w:cs="Arial" w:eastAsia="Arial" w:hAnsi="Arial"/>
                <w:sz w:val="18"/>
                <w:szCs w:val="18"/>
                <w:color w:val="auto"/>
              </w:rPr>
              <w:t>RJC,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Austria, Indonesia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Scheideanstalt GmbH</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Ohura Precious Metal Industry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Korea, Brazil, Guyana,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Ecuador, Colombia,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Belgium, Namibia, Taiwan, South Africa, Peru,</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Germany, Ethiopia</w:t>
            </w:r>
          </w:p>
        </w:tc>
      </w:tr>
      <w:tr>
        <w:trPr>
          <w:trHeight w:val="365"/>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Metal</w:t>
            </w:r>
          </w:p>
        </w:tc>
        <w:tc>
          <w:tcPr>
            <w:tcW w:w="1120" w:type="dxa"/>
            <w:vAlign w:val="bottom"/>
          </w:tcPr>
          <w:p>
            <w:pPr>
              <w:spacing w:after="0"/>
              <w:rPr>
                <w:sz w:val="15"/>
                <w:szCs w:val="15"/>
                <w:color w:val="auto"/>
              </w:rPr>
            </w:pPr>
          </w:p>
        </w:tc>
        <w:tc>
          <w:tcPr>
            <w:tcW w:w="36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5"/>
                <w:szCs w:val="15"/>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5"/>
                <w:szCs w:val="15"/>
                <w:color w:val="auto"/>
              </w:rPr>
            </w:pPr>
          </w:p>
        </w:tc>
        <w:tc>
          <w:tcPr>
            <w:tcW w:w="4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Mine Countries of Origin</w:t>
            </w:r>
          </w:p>
        </w:tc>
      </w:tr>
      <w:tr>
        <w:trPr>
          <w:trHeight w:val="296"/>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OJSC “The Gulidov Krasnoyarsk Non-Ferrous</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Metals Plant” (OJSC Krastsvetmet)</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OJSC Novosibirsk Refinery</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5"/>
              </w:rPr>
              <w:t>Canada, Russian Federation, Philippines, China, Brazil, Italy,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Malaysia, Bolivia, Peru, Switzerland</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PAMP S.A.</w:t>
            </w:r>
          </w:p>
        </w:tc>
        <w:tc>
          <w:tcPr>
            <w:tcW w:w="1420" w:type="dxa"/>
            <w:vAlign w:val="bottom"/>
          </w:tcPr>
          <w:p>
            <w:pPr>
              <w:spacing w:after="0"/>
              <w:rPr>
                <w:sz w:val="20"/>
                <w:szCs w:val="20"/>
                <w:color w:val="auto"/>
              </w:rPr>
            </w:pPr>
            <w:r>
              <w:rPr>
                <w:rFonts w:ascii="Arial" w:cs="Arial" w:eastAsia="Arial" w:hAnsi="Arial"/>
                <w:sz w:val="18"/>
                <w:szCs w:val="18"/>
                <w:color w:val="auto"/>
              </w:rPr>
              <w:t>LBMA, RJC,</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Hong Kong, United States, Japan, China, United</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Kingdom, Mexico, South Africa, Australia, Switzerland,</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Penglai Penggang Gold Industry Co Ltd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Aneka Tambang (Persero) Tbk</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Brazil, Malaysia, Bolivia, Chile, Australia, Peru,</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Switzerland, Ethiopia, Germany, Indonesia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PX Precinox SA</w:t>
            </w:r>
          </w:p>
        </w:tc>
        <w:tc>
          <w:tcPr>
            <w:tcW w:w="1420" w:type="dxa"/>
            <w:vAlign w:val="bottom"/>
          </w:tcPr>
          <w:p>
            <w:pPr>
              <w:spacing w:after="0"/>
              <w:rPr>
                <w:sz w:val="20"/>
                <w:szCs w:val="20"/>
                <w:color w:val="auto"/>
              </w:rPr>
            </w:pPr>
            <w:r>
              <w:rPr>
                <w:rFonts w:ascii="Arial" w:cs="Arial" w:eastAsia="Arial" w:hAnsi="Arial"/>
                <w:sz w:val="18"/>
                <w:szCs w:val="18"/>
                <w:color w:val="auto"/>
              </w:rPr>
              <w:t>LBMA, RJC,</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Mozambique, Australia, Switzerland</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Republic Metals Corporation</w:t>
            </w:r>
          </w:p>
        </w:tc>
        <w:tc>
          <w:tcPr>
            <w:tcW w:w="1420" w:type="dxa"/>
            <w:vAlign w:val="bottom"/>
          </w:tcPr>
          <w:p>
            <w:pPr>
              <w:spacing w:after="0"/>
              <w:rPr>
                <w:sz w:val="20"/>
                <w:szCs w:val="20"/>
                <w:color w:val="auto"/>
              </w:rPr>
            </w:pPr>
            <w:r>
              <w:rPr>
                <w:rFonts w:ascii="Arial" w:cs="Arial" w:eastAsia="Arial" w:hAnsi="Arial"/>
                <w:sz w:val="18"/>
                <w:szCs w:val="18"/>
                <w:color w:val="auto"/>
              </w:rPr>
              <w:t>LBMA, RJC,</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Royal Canadian Mint</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Canada, United States, Japan, Guyana, Mexico, Suriname,</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Chile, Peru, Switzerland, Germany</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Sabin Metal Corp.</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9"/>
              </w:rPr>
              <w:t>Canada, Russian Federation, United States, China, Brazil,</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Mexico, Portugal</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SAFINA A.S.</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Czech Republic</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SAMWON METALS Corp.</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Sweden, Hong Kong, China, Korea, Australia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SAXONIA Edelmetalle GmbH</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Germany</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Schone Edelmetaal B.V.</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Netherlands, Hong Kong, Belgium, China, Australia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SEMPSA Joyería Platería SA</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Spain</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w w:val="99"/>
              </w:rPr>
              <w:t>Shandong Tiancheng Biological Gold Industrial</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 Ltd.</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Shandong Zhaojin Gold &amp; Silver Refinery Co.,</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States, China, Japan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Ltd.</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Singway Technology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Brazil, Korea, Guyana,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Ecuador, Colombia,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Ethiopia, Germany,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So Accurate Group, Inc.</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States, China, Thailand</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w w:val="94"/>
              </w:rPr>
              <w:t>SOE Shyolkovsky Factory of Secondary Precious</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 Taiwan, Germany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Metals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Solar Applied Materials Technology Corp.</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Guyana, Brazil, Korea,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Ecuador, Colombia,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Ethiopia, Germany,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w w:val="94"/>
              </w:rPr>
              <w:t>Gold</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Sumitomo Metal Mining Co., Ltd.</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Philippines, Japan, Chile, Indonesia</w:t>
            </w:r>
          </w:p>
        </w:tc>
      </w:tr>
      <w:tr>
        <w:trPr>
          <w:trHeight w:val="365"/>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Metal</w:t>
            </w:r>
          </w:p>
        </w:tc>
        <w:tc>
          <w:tcPr>
            <w:tcW w:w="36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5"/>
                <w:szCs w:val="15"/>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5"/>
                <w:szCs w:val="15"/>
                <w:color w:val="auto"/>
              </w:rPr>
            </w:pPr>
          </w:p>
        </w:tc>
        <w:tc>
          <w:tcPr>
            <w:tcW w:w="4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Mine Countries of Origin</w:t>
            </w:r>
          </w:p>
        </w:tc>
      </w:tr>
      <w:tr>
        <w:trPr>
          <w:trHeight w:val="311"/>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T.C.A S.p.A</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Italy</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Tanaka Kikinzoku Kogyo K.K.</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9"/>
              </w:rPr>
              <w:t>Singapore, Hong Kong, United States, Japan, Uzbekistan,</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Kingdom, Malaysia, Bolivia, Switzerland,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Belgium, China, South Africa, Mexico, Australia, Chile,</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w w:val="97"/>
              </w:rPr>
              <w:t>The Refinery of Shandong Gold Mining Co., Ltd.</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 Peru</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Tokuriki Honten Co., Ltd.</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5"/>
              </w:rPr>
              <w:t>Canada, Hong Kong, United States, China, Japan, Australia,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Chile, Peru</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TongLing Nonferrous Metals Group Holdings</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 Ltd.</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Torecom</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 China, Korea, Brazil, Mexico, Chile,</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Bolivia, Indonesia</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Umicore Brasil Ltda.</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Austria, Japan, Brazil</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Umicore Precious Metals Thailand</w:t>
            </w:r>
          </w:p>
        </w:tc>
        <w:tc>
          <w:tcPr>
            <w:tcW w:w="1420" w:type="dxa"/>
            <w:vAlign w:val="bottom"/>
          </w:tcPr>
          <w:p>
            <w:pPr>
              <w:spacing w:after="0"/>
              <w:rPr>
                <w:sz w:val="20"/>
                <w:szCs w:val="20"/>
                <w:color w:val="auto"/>
              </w:rPr>
            </w:pPr>
            <w:r>
              <w:rPr>
                <w:rFonts w:ascii="Arial" w:cs="Arial" w:eastAsia="Arial" w:hAnsi="Arial"/>
                <w:sz w:val="18"/>
                <w:szCs w:val="18"/>
                <w:color w:val="auto"/>
              </w:rPr>
              <w:t>RJC,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States, China, Thailand, Peru</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Umicore SA Business Unit Precious Metals</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Japan, China, Bolivia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Refining</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United Precious Metal Refining, Inc.</w:t>
            </w:r>
          </w:p>
        </w:tc>
        <w:tc>
          <w:tcPr>
            <w:tcW w:w="1420" w:type="dxa"/>
            <w:vAlign w:val="bottom"/>
          </w:tcPr>
          <w:p>
            <w:pPr>
              <w:spacing w:after="0"/>
              <w:rPr>
                <w:sz w:val="20"/>
                <w:szCs w:val="20"/>
                <w:color w:val="auto"/>
              </w:rPr>
            </w:pPr>
            <w:r>
              <w:rPr>
                <w:rFonts w:ascii="Arial" w:cs="Arial" w:eastAsia="Arial" w:hAnsi="Arial"/>
                <w:sz w:val="18"/>
                <w:szCs w:val="18"/>
                <w:color w:val="auto"/>
              </w:rPr>
              <w:t>RJC,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5"/>
              </w:rPr>
              <w:t>Canada, Russian Federation, Belgium, United States, China,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Japan, Australia, Thailand, Bolivia, Peru, Switzerland,</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Valcambi SA</w:t>
            </w:r>
          </w:p>
        </w:tc>
        <w:tc>
          <w:tcPr>
            <w:tcW w:w="1420" w:type="dxa"/>
            <w:vAlign w:val="bottom"/>
          </w:tcPr>
          <w:p>
            <w:pPr>
              <w:spacing w:after="0"/>
              <w:rPr>
                <w:sz w:val="20"/>
                <w:szCs w:val="20"/>
                <w:color w:val="auto"/>
              </w:rPr>
            </w:pPr>
            <w:r>
              <w:rPr>
                <w:rFonts w:ascii="Arial" w:cs="Arial" w:eastAsia="Arial" w:hAnsi="Arial"/>
                <w:sz w:val="18"/>
                <w:szCs w:val="18"/>
                <w:color w:val="auto"/>
              </w:rPr>
              <w:t>LBMA, RJC,</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9"/>
              </w:rPr>
              <w:t>Hong Kong, Japan, China, Taiwan, Australia, Switzerland,</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Germany</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Western Australian Mint trading as The Perth</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Papua New Guinea, Hong Kong, Guinea, China, Korea,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Mint</w:t>
            </w: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Australia, Chile, Bolivia, Peru</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WIELAND Edelmetalle GmbH</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Germany</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Yamamoto Precious Metal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8"/>
              </w:rPr>
              <w:t>Canada, Mozambique, United States, Japan, China, Brazil,</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Australia</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Yokohama Metal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 Japan, Brazil, Malaysia, Spain</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Yunnan Copper Industry Co Ltd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China, Chile</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Gold</w:t>
            </w:r>
          </w:p>
        </w:tc>
        <w:tc>
          <w:tcPr>
            <w:tcW w:w="3760" w:type="dxa"/>
            <w:vAlign w:val="bottom"/>
            <w:gridSpan w:val="2"/>
          </w:tcPr>
          <w:p>
            <w:pPr>
              <w:spacing w:after="0"/>
              <w:rPr>
                <w:sz w:val="20"/>
                <w:szCs w:val="20"/>
                <w:color w:val="auto"/>
              </w:rPr>
            </w:pPr>
            <w:r>
              <w:rPr>
                <w:rFonts w:ascii="Arial" w:cs="Arial" w:eastAsia="Arial" w:hAnsi="Arial"/>
                <w:sz w:val="18"/>
                <w:szCs w:val="18"/>
                <w:color w:val="auto"/>
              </w:rPr>
              <w:t>Zhongyuan Gold Smelter of Zhongjin Gold</w:t>
            </w:r>
          </w:p>
        </w:tc>
        <w:tc>
          <w:tcPr>
            <w:tcW w:w="1420" w:type="dxa"/>
            <w:vAlign w:val="bottom"/>
          </w:tcPr>
          <w:p>
            <w:pPr>
              <w:spacing w:after="0"/>
              <w:rPr>
                <w:sz w:val="20"/>
                <w:szCs w:val="20"/>
                <w:color w:val="auto"/>
              </w:rPr>
            </w:pPr>
            <w:r>
              <w:rPr>
                <w:rFonts w:ascii="Arial" w:cs="Arial" w:eastAsia="Arial" w:hAnsi="Arial"/>
                <w:sz w:val="18"/>
                <w:szCs w:val="18"/>
                <w:color w:val="auto"/>
              </w:rPr>
              <w:t>LBMA, 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Canada, Mongolia, Mozambique, China, Philippines, Thailand,</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Corporation</w:t>
            </w: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Australia, Laos, Switzerland, Ethiopia, Germany</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rPr>
              <w:t>D Block Metals, LLC</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rPr>
              <w:t>Exotech Inc.</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Mozambique, Luxembourg, Brazil, Guyana, Korea,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5"/>
              </w:rPr>
              <w:t>Chile, Laos, Ecuador, Colombia, Argentina, Hungary, Japan,</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8"/>
              </w:rPr>
              <w:t>India, Canada, Belgium, Namibia, Taiwan, Peru, Germany,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Ethiopia</w:t>
            </w:r>
          </w:p>
        </w:tc>
      </w:tr>
      <w:tr>
        <w:trPr>
          <w:trHeight w:val="365"/>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Metal</w:t>
            </w:r>
          </w:p>
        </w:tc>
        <w:tc>
          <w:tcPr>
            <w:tcW w:w="36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5"/>
                <w:szCs w:val="15"/>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5"/>
                <w:szCs w:val="15"/>
                <w:color w:val="auto"/>
              </w:rPr>
            </w:pPr>
          </w:p>
        </w:tc>
        <w:tc>
          <w:tcPr>
            <w:tcW w:w="4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Mine Countries of Origin</w:t>
            </w:r>
          </w:p>
        </w:tc>
      </w:tr>
      <w:tr>
        <w:trPr>
          <w:trHeight w:val="296"/>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rPr>
              <w:t>FIR Metals &amp; Resource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Brazil, Guyana, Korea,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Colombia, Ecuador,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Germany, Ethiopia,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w w:val="99"/>
              </w:rPr>
              <w:t>Hengyang King Xing Lifeng New Materials Co.,</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Ltd.</w:t>
            </w: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Korea, Guyana, Brazil,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Colombia, Ecuador,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Ethiopia, Germany,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rPr>
              <w:t>King-Tan Tantalum Industry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Guyana, Korea, Brazil,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Ecuador, Colombia,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Germany, Ethiopia,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rPr>
              <w:t>Metallurgical Products India Pvt.,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Mongolia, Austria, Mozambique, Luxembourg, Brazil, Korea,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5"/>
              </w:rPr>
              <w:t>Guyana, Jersey, Chile, Laos, Colombia, Ecuador, Argentina,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Hungary, Japan, India, Canada, Belgium, Namibia, Taiwan,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South Africa, Per</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rPr>
              <w:t>Mineração Taboca S.A.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Brazil</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rPr>
              <w:t>Mitsui Mining and Smelting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Japan, Brazil, United Kingdom, Malaysia, Australia, Chile</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rPr>
              <w:t>NPM Silmet AS</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Korea, Brazil, Guyana,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Colombia, Ecuador,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Ethiopia, Germany,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rPr>
              <w:t>QuantumClean</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States, Poland, Brazil</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rPr>
              <w:t>RFH Tantalum Smeltry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 China, Peru</w:t>
            </w:r>
          </w:p>
        </w:tc>
      </w:tr>
      <w:tr>
        <w:trPr>
          <w:trHeight w:val="365"/>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Metal</w:t>
            </w:r>
          </w:p>
        </w:tc>
        <w:tc>
          <w:tcPr>
            <w:tcW w:w="36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5"/>
                <w:szCs w:val="15"/>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5"/>
                <w:szCs w:val="15"/>
                <w:color w:val="auto"/>
              </w:rPr>
            </w:pPr>
          </w:p>
        </w:tc>
        <w:tc>
          <w:tcPr>
            <w:tcW w:w="4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Mine Countries of Origin</w:t>
            </w:r>
          </w:p>
        </w:tc>
      </w:tr>
      <w:tr>
        <w:trPr>
          <w:trHeight w:val="296"/>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rPr>
              <w:t>Solikamsk Magnesium Works OAO</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Guyana, Korea, Brazil,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Colombia, Ecuador,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Ethiopia, Germany,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rPr>
              <w:t>Telex Metals</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Brazil, Korea, Guyana,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Ecuador, Colombia,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Ethiopia, Germany,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rPr>
              <w:t>Tranzact, Inc.</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rPr>
              <w:t>XinXing Haorong Electronic Material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760" w:type="dxa"/>
            <w:vAlign w:val="bottom"/>
            <w:gridSpan w:val="2"/>
          </w:tcPr>
          <w:p>
            <w:pPr>
              <w:spacing w:after="0"/>
              <w:rPr>
                <w:sz w:val="20"/>
                <w:szCs w:val="20"/>
                <w:color w:val="auto"/>
              </w:rPr>
            </w:pPr>
            <w:r>
              <w:rPr>
                <w:rFonts w:ascii="Arial" w:cs="Arial" w:eastAsia="Arial" w:hAnsi="Arial"/>
                <w:sz w:val="18"/>
                <w:szCs w:val="18"/>
                <w:color w:val="auto"/>
              </w:rPr>
              <w:t>Yichun Jin Yang Rare Metal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Mongolia, Austria, Mozambique, Luxembourg, Guyana, Korea,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Brazil, Chile, Laos, Colombia, Ecuador, Argentina, Hungary,</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Japan, India, Canada, Belgium, Namibia, Taiwan, South Africa,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Peru, Germany</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Tin</w:t>
            </w:r>
          </w:p>
        </w:tc>
        <w:tc>
          <w:tcPr>
            <w:tcW w:w="3760" w:type="dxa"/>
            <w:vAlign w:val="bottom"/>
            <w:gridSpan w:val="2"/>
          </w:tcPr>
          <w:p>
            <w:pPr>
              <w:spacing w:after="0"/>
              <w:rPr>
                <w:sz w:val="20"/>
                <w:szCs w:val="20"/>
                <w:color w:val="auto"/>
              </w:rPr>
            </w:pPr>
            <w:r>
              <w:rPr>
                <w:rFonts w:ascii="Arial" w:cs="Arial" w:eastAsia="Arial" w:hAnsi="Arial"/>
                <w:sz w:val="18"/>
                <w:szCs w:val="18"/>
                <w:color w:val="auto"/>
              </w:rPr>
              <w:t>Alpha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Mongolia, Austria, Luxembourg, Brazil, Guyana, Korea, Jersey,</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5"/>
              </w:rPr>
              <w:t>Chile, Laos, Ecuador, Colombia, Argentina, Hungary, Japan,</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8"/>
              </w:rPr>
              <w:t>India, Canada, Belgium, Namibia, Taiwan, Peru, Germany,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Ethiopia, Russ</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Tin</w:t>
            </w:r>
          </w:p>
        </w:tc>
        <w:tc>
          <w:tcPr>
            <w:tcW w:w="3760" w:type="dxa"/>
            <w:vAlign w:val="bottom"/>
            <w:gridSpan w:val="2"/>
          </w:tcPr>
          <w:p>
            <w:pPr>
              <w:spacing w:after="0"/>
              <w:rPr>
                <w:sz w:val="20"/>
                <w:szCs w:val="20"/>
                <w:color w:val="auto"/>
              </w:rPr>
            </w:pPr>
            <w:r>
              <w:rPr>
                <w:rFonts w:ascii="Arial" w:cs="Arial" w:eastAsia="Arial" w:hAnsi="Arial"/>
                <w:sz w:val="18"/>
                <w:szCs w:val="18"/>
                <w:color w:val="auto"/>
              </w:rPr>
              <w:t>An Vinh Joint Stock Mineral Processing</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Vietnam, Turkey, Brazil</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Tin</w:t>
            </w:r>
          </w:p>
        </w:tc>
        <w:tc>
          <w:tcPr>
            <w:tcW w:w="3760" w:type="dxa"/>
            <w:vAlign w:val="bottom"/>
            <w:gridSpan w:val="2"/>
          </w:tcPr>
          <w:p>
            <w:pPr>
              <w:spacing w:after="0"/>
              <w:rPr>
                <w:sz w:val="20"/>
                <w:szCs w:val="20"/>
                <w:color w:val="auto"/>
              </w:rPr>
            </w:pPr>
            <w:r>
              <w:rPr>
                <w:rFonts w:ascii="Arial" w:cs="Arial" w:eastAsia="Arial" w:hAnsi="Arial"/>
                <w:sz w:val="18"/>
                <w:szCs w:val="18"/>
                <w:color w:val="auto"/>
              </w:rPr>
              <w:t>Chenzhou Yunxiang Mining and Metallurgy</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Company Limited</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Tin</w:t>
            </w:r>
          </w:p>
        </w:tc>
        <w:tc>
          <w:tcPr>
            <w:tcW w:w="3760" w:type="dxa"/>
            <w:vAlign w:val="bottom"/>
            <w:gridSpan w:val="2"/>
          </w:tcPr>
          <w:p>
            <w:pPr>
              <w:spacing w:after="0"/>
              <w:rPr>
                <w:sz w:val="20"/>
                <w:szCs w:val="20"/>
                <w:color w:val="auto"/>
              </w:rPr>
            </w:pPr>
            <w:r>
              <w:rPr>
                <w:rFonts w:ascii="Arial" w:cs="Arial" w:eastAsia="Arial" w:hAnsi="Arial"/>
                <w:sz w:val="18"/>
                <w:szCs w:val="18"/>
                <w:color w:val="auto"/>
              </w:rPr>
              <w:t>CNMC (Guangxi) PGMA Co. Ltd.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Canada, Belgium, United States, China, Brazil, Malaysia, Chile,</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Bolivia, Thailand, France, Peru, Indonesia</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Tin</w:t>
            </w:r>
          </w:p>
        </w:tc>
        <w:tc>
          <w:tcPr>
            <w:tcW w:w="3760" w:type="dxa"/>
            <w:vAlign w:val="bottom"/>
            <w:gridSpan w:val="2"/>
          </w:tcPr>
          <w:p>
            <w:pPr>
              <w:spacing w:after="0"/>
              <w:rPr>
                <w:sz w:val="20"/>
                <w:szCs w:val="20"/>
                <w:color w:val="auto"/>
              </w:rPr>
            </w:pPr>
            <w:r>
              <w:rPr>
                <w:rFonts w:ascii="Arial" w:cs="Arial" w:eastAsia="Arial" w:hAnsi="Arial"/>
                <w:sz w:val="18"/>
                <w:szCs w:val="18"/>
                <w:color w:val="auto"/>
              </w:rPr>
              <w:t>Complejo Metalurgico Vinto S.A.</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Brazil, Bolivia</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Tin</w:t>
            </w:r>
          </w:p>
        </w:tc>
        <w:tc>
          <w:tcPr>
            <w:tcW w:w="3760" w:type="dxa"/>
            <w:vAlign w:val="bottom"/>
            <w:gridSpan w:val="2"/>
          </w:tcPr>
          <w:p>
            <w:pPr>
              <w:spacing w:after="0"/>
              <w:rPr>
                <w:sz w:val="20"/>
                <w:szCs w:val="20"/>
                <w:color w:val="auto"/>
              </w:rPr>
            </w:pPr>
            <w:r>
              <w:rPr>
                <w:rFonts w:ascii="Arial" w:cs="Arial" w:eastAsia="Arial" w:hAnsi="Arial"/>
                <w:sz w:val="18"/>
                <w:szCs w:val="18"/>
                <w:color w:val="auto"/>
              </w:rPr>
              <w:t>Cooperativa Metalurgica de Rondônia Ltda.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Brazil, Australia, Peru</w:t>
            </w:r>
          </w:p>
        </w:tc>
      </w:tr>
      <w:tr>
        <w:trPr>
          <w:trHeight w:val="365"/>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Metal</w:t>
            </w:r>
          </w:p>
        </w:tc>
        <w:tc>
          <w:tcPr>
            <w:tcW w:w="1120" w:type="dxa"/>
            <w:vAlign w:val="bottom"/>
          </w:tcPr>
          <w:p>
            <w:pPr>
              <w:spacing w:after="0"/>
              <w:rPr>
                <w:sz w:val="15"/>
                <w:szCs w:val="15"/>
                <w:color w:val="auto"/>
              </w:rPr>
            </w:pPr>
          </w:p>
        </w:tc>
        <w:tc>
          <w:tcPr>
            <w:tcW w:w="36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5"/>
                <w:szCs w:val="15"/>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5"/>
                <w:szCs w:val="15"/>
                <w:color w:val="auto"/>
              </w:rPr>
            </w:pPr>
          </w:p>
        </w:tc>
        <w:tc>
          <w:tcPr>
            <w:tcW w:w="4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Mine Countries of Origin</w:t>
            </w:r>
          </w:p>
        </w:tc>
      </w:tr>
      <w:tr>
        <w:trPr>
          <w:trHeight w:val="296"/>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CV Ayi Jaya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Korea, Brazil, Guyana,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Ecuador, Argentina, Hungary, Japan, India, Canada, Belgium,</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0"/>
              </w:rPr>
              <w:t>Namibia, Taiwan, Peru, Ethiopia, Germany, Russian Federation,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Vietnam</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CV Gita Pesona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Korea, Guyana, Brazil,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Ecuador, Colombia,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Ethiopia, Germany,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CV Serumpun Sebalai</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Korea, Brazil, Guyana,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Colombia, Ecuador,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Ethiopia, Germany,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Electro-Mechanical Facility of the Cao Bang</w:t>
            </w:r>
          </w:p>
        </w:tc>
        <w:tc>
          <w:tcPr>
            <w:tcW w:w="1420" w:type="dxa"/>
            <w:vAlign w:val="bottom"/>
          </w:tcPr>
          <w:p>
            <w:pPr>
              <w:spacing w:after="0"/>
              <w:rPr>
                <w:sz w:val="20"/>
                <w:szCs w:val="20"/>
                <w:color w:val="auto"/>
              </w:rPr>
            </w:pPr>
            <w:r>
              <w:rPr>
                <w:rFonts w:ascii="Arial" w:cs="Arial" w:eastAsia="Arial" w:hAnsi="Arial"/>
                <w:sz w:val="18"/>
                <w:szCs w:val="18"/>
                <w:color w:val="auto"/>
              </w:rPr>
              <w:t>CFSP - Active</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Vietnam, United States, China, Brazil, Chile</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Minerals &amp; Metallurgy Joint Stock Company</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Elmet S.L.U.</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Spain</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Estanho de Rondônia S.A.</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Taiwan, Brazil</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Gejiu Kai Meng Industry and Trade LLC</w:t>
            </w:r>
          </w:p>
        </w:tc>
        <w:tc>
          <w:tcPr>
            <w:tcW w:w="1420" w:type="dxa"/>
            <w:vAlign w:val="bottom"/>
          </w:tcPr>
          <w:p>
            <w:pPr>
              <w:spacing w:after="0"/>
              <w:rPr>
                <w:sz w:val="20"/>
                <w:szCs w:val="20"/>
                <w:color w:val="auto"/>
              </w:rPr>
            </w:pPr>
            <w:r>
              <w:rPr>
                <w:rFonts w:ascii="Arial" w:cs="Arial" w:eastAsia="Arial" w:hAnsi="Arial"/>
                <w:sz w:val="18"/>
                <w:szCs w:val="18"/>
                <w:color w:val="auto"/>
              </w:rPr>
              <w:t>CFSP - Active</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Gejiu Non-Ferrous Metal Processing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Brazil, Korea, Guyana,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Ecuador, Colombia,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Ethiopia, Germany,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Gejiu Yunxin Nonferrous Electrolysis Co., Ltd.</w:t>
            </w:r>
          </w:p>
        </w:tc>
        <w:tc>
          <w:tcPr>
            <w:tcW w:w="1420" w:type="dxa"/>
            <w:vAlign w:val="bottom"/>
          </w:tcPr>
          <w:p>
            <w:pPr>
              <w:spacing w:after="0"/>
              <w:rPr>
                <w:sz w:val="20"/>
                <w:szCs w:val="20"/>
                <w:color w:val="auto"/>
              </w:rPr>
            </w:pPr>
            <w:r>
              <w:rPr>
                <w:rFonts w:ascii="Arial" w:cs="Arial" w:eastAsia="Arial" w:hAnsi="Arial"/>
                <w:sz w:val="18"/>
                <w:szCs w:val="18"/>
                <w:color w:val="auto"/>
              </w:rPr>
              <w:t>CFSP - Active</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Huichang Jinshunda Tin Co. Ltd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Jean Goldschmidt International SA</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Belgium, China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Melt Metais e Ligas S.A.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Brazil, Guyana, Korea,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Ecuador, Colombia,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Ethiopia, Germany,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Metallic Resources, Inc.</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Mineração Taboca S.A.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Brazil, Thailand</w:t>
            </w:r>
          </w:p>
        </w:tc>
      </w:tr>
      <w:tr>
        <w:trPr>
          <w:trHeight w:val="365"/>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26" w:name="page27"/>
    <w:bookmarkEnd w:id="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Metal</w:t>
            </w:r>
          </w:p>
        </w:tc>
        <w:tc>
          <w:tcPr>
            <w:tcW w:w="1120" w:type="dxa"/>
            <w:vAlign w:val="bottom"/>
          </w:tcPr>
          <w:p>
            <w:pPr>
              <w:spacing w:after="0"/>
              <w:rPr>
                <w:sz w:val="15"/>
                <w:szCs w:val="15"/>
                <w:color w:val="auto"/>
              </w:rPr>
            </w:pPr>
          </w:p>
        </w:tc>
        <w:tc>
          <w:tcPr>
            <w:tcW w:w="36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5"/>
                <w:szCs w:val="15"/>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5"/>
                <w:szCs w:val="15"/>
                <w:color w:val="auto"/>
              </w:rPr>
            </w:pPr>
          </w:p>
        </w:tc>
        <w:tc>
          <w:tcPr>
            <w:tcW w:w="4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Mine Countries of Origin</w:t>
            </w:r>
          </w:p>
        </w:tc>
      </w:tr>
      <w:tr>
        <w:trPr>
          <w:trHeight w:val="311"/>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Mitsubishi Materials Corporation</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Papua New Guinea, Japan, Indonesia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Nankang Nanshan Tin Co., Ltd.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 China, Bolivia, Portugal</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Nghe Tinh Non-Ferrous Metals Joint Stock</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Vietnam, Estonia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O.M. Manufacturing (Thailand)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Netherlands, China, Philippines, Thailand</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O.M. Manufacturing Philippines, Inc.</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Canada, Japan, Philippines, China, Brazil, Malaysia, Bolivia,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Peru</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Aries Kencana Sejahtera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Korea, Brazil, Guyana,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Ecuador, Colombia,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Germany, Ethiopia,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Artha Cipta Langgeng</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Korea, Guyana, Brazil,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Colombia, Ecuador,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Germany, Ethiopia,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ATD Makmur Mandiri Jaya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Brazil, Guyana, Korea,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Colombia, Ecuador,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Germany, Ethiopia,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Babel Inti Perkasa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Korea, Guyana, Brazil,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Colombia, Ecuador,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Ethiopia, Germany,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Bangka Prima Tin</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Guyana, Korea, Brazil,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Ecuador, Colombia,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Germany, Ethiopia,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65"/>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Metal</w:t>
            </w:r>
          </w:p>
        </w:tc>
        <w:tc>
          <w:tcPr>
            <w:tcW w:w="1120" w:type="dxa"/>
            <w:vAlign w:val="bottom"/>
          </w:tcPr>
          <w:p>
            <w:pPr>
              <w:spacing w:after="0"/>
              <w:rPr>
                <w:sz w:val="15"/>
                <w:szCs w:val="15"/>
                <w:color w:val="auto"/>
              </w:rPr>
            </w:pPr>
          </w:p>
        </w:tc>
        <w:tc>
          <w:tcPr>
            <w:tcW w:w="36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5"/>
                <w:szCs w:val="15"/>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5"/>
                <w:szCs w:val="15"/>
                <w:color w:val="auto"/>
              </w:rPr>
            </w:pPr>
          </w:p>
        </w:tc>
        <w:tc>
          <w:tcPr>
            <w:tcW w:w="4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Mine Countries of Origin</w:t>
            </w:r>
          </w:p>
        </w:tc>
      </w:tr>
      <w:tr>
        <w:trPr>
          <w:trHeight w:val="296"/>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Belitung Industri Sejahtera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Korea, Brazil, Guyana,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Colombia, Ecuador,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Germany, Ethiopia,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Cipta Persada Mulia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Singapore, United States, Japan, Kazakhstan, India, China,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Brazil, Korea, South Africa, Australia, Chile, Peru, Indonesia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DS Jaya Abadi</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Mongolia, Austria, Mozambique, Luxembourg, Brazil, Guyana,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5"/>
              </w:rPr>
              <w:t>Korea, Chile, Laos, Ecuador, Colombia, Argentina, Hungary,</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Japan, India, Canada, Belgium, Namibia, Taiwan, Peru,</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Ethiopia, Germany</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Inti Stania Prima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Brazil, Guyana, Korea,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Colombia, Ecuador,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Germany, Ethiopia,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Karimun Mining</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 Indonesia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Mitra Stania Prima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Guyana, Brazil, Korea,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Ecuador, Colombia,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Germany, Ethiopia,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Panca Mega Persada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Korea, Guyana, Brazil,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Colombia, Ecuador,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Germany, Ethiopia,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65"/>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Metal</w:t>
            </w:r>
          </w:p>
        </w:tc>
        <w:tc>
          <w:tcPr>
            <w:tcW w:w="1120" w:type="dxa"/>
            <w:vAlign w:val="bottom"/>
          </w:tcPr>
          <w:p>
            <w:pPr>
              <w:spacing w:after="0"/>
              <w:rPr>
                <w:sz w:val="15"/>
                <w:szCs w:val="15"/>
                <w:color w:val="auto"/>
              </w:rPr>
            </w:pPr>
          </w:p>
        </w:tc>
        <w:tc>
          <w:tcPr>
            <w:tcW w:w="36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5"/>
                <w:szCs w:val="15"/>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5"/>
                <w:szCs w:val="15"/>
                <w:color w:val="auto"/>
              </w:rPr>
            </w:pPr>
          </w:p>
        </w:tc>
        <w:tc>
          <w:tcPr>
            <w:tcW w:w="4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Mine Countries of Origin</w:t>
            </w:r>
          </w:p>
        </w:tc>
      </w:tr>
      <w:tr>
        <w:trPr>
          <w:trHeight w:val="296"/>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Prima Timah Utama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Korea, Guyana, Brazil,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Colombia, Ecuador,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Ethiopia, Germany,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Refined Bangka Tin</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Korea, Brazil, Guyana,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Ecuador, Colombia,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Germany, Ethiopia,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Sariwiguna Binasentosa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Brazil, Guyana, Korea,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Ecuador, Colombia,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Ethiopia, Germany,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Sukses Inti Makmur</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Brazil, Korea, Guyana,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Colombia, Ecuador,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Germany, Ethiopia,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Tirus Putra Mandiri</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 Indonesia</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Tommy Utama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Indonesia</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PT WAHANA PERKIT JAYA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Korea, Guyana, Brazil,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Colombia, Ecuador,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Ethiopia, Germany,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Rui Da Hung</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Japan, China, Taiwan, Brazil</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Tin</w:t>
            </w:r>
          </w:p>
        </w:tc>
        <w:tc>
          <w:tcPr>
            <w:tcW w:w="112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Soft Metais Ltda.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Guyana, Korea, Brazil,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Colombia, Ecuador,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Germany, Ethiopia,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65"/>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Metal</w:t>
            </w:r>
          </w:p>
        </w:tc>
        <w:tc>
          <w:tcPr>
            <w:tcW w:w="36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5"/>
                <w:szCs w:val="15"/>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5"/>
                <w:szCs w:val="15"/>
                <w:color w:val="auto"/>
              </w:rPr>
            </w:pPr>
          </w:p>
        </w:tc>
        <w:tc>
          <w:tcPr>
            <w:tcW w:w="4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Mine Countries of Origin</w:t>
            </w:r>
          </w:p>
        </w:tc>
      </w:tr>
      <w:tr>
        <w:trPr>
          <w:trHeight w:val="296"/>
        </w:trPr>
        <w:tc>
          <w:tcPr>
            <w:tcW w:w="1500" w:type="dxa"/>
            <w:vAlign w:val="bottom"/>
            <w:gridSpan w:val="2"/>
          </w:tcPr>
          <w:p>
            <w:pPr>
              <w:spacing w:after="0"/>
              <w:rPr>
                <w:sz w:val="20"/>
                <w:szCs w:val="20"/>
                <w:color w:val="auto"/>
              </w:rPr>
            </w:pPr>
            <w:r>
              <w:rPr>
                <w:rFonts w:ascii="Arial" w:cs="Arial" w:eastAsia="Arial" w:hAnsi="Arial"/>
                <w:sz w:val="18"/>
                <w:szCs w:val="18"/>
                <w:color w:val="auto"/>
              </w:rPr>
              <w:t>Tin</w:t>
            </w:r>
          </w:p>
        </w:tc>
        <w:tc>
          <w:tcPr>
            <w:tcW w:w="3760" w:type="dxa"/>
            <w:vAlign w:val="bottom"/>
            <w:gridSpan w:val="2"/>
          </w:tcPr>
          <w:p>
            <w:pPr>
              <w:spacing w:after="0"/>
              <w:rPr>
                <w:sz w:val="20"/>
                <w:szCs w:val="20"/>
                <w:color w:val="auto"/>
              </w:rPr>
            </w:pPr>
            <w:r>
              <w:rPr>
                <w:rFonts w:ascii="Arial" w:cs="Arial" w:eastAsia="Arial" w:hAnsi="Arial"/>
                <w:sz w:val="18"/>
                <w:szCs w:val="18"/>
                <w:color w:val="auto"/>
              </w:rPr>
              <w:t>Tuyen Quang Non-Ferrous Metals Joint Stock</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Vietnam, Indonesia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Tin</w:t>
            </w:r>
          </w:p>
        </w:tc>
        <w:tc>
          <w:tcPr>
            <w:tcW w:w="3760" w:type="dxa"/>
            <w:vAlign w:val="bottom"/>
            <w:gridSpan w:val="2"/>
          </w:tcPr>
          <w:p>
            <w:pPr>
              <w:spacing w:after="0"/>
              <w:rPr>
                <w:sz w:val="20"/>
                <w:szCs w:val="20"/>
                <w:color w:val="auto"/>
              </w:rPr>
            </w:pPr>
            <w:r>
              <w:rPr>
                <w:rFonts w:ascii="Arial" w:cs="Arial" w:eastAsia="Arial" w:hAnsi="Arial"/>
                <w:sz w:val="18"/>
                <w:szCs w:val="18"/>
                <w:color w:val="auto"/>
              </w:rPr>
              <w:t>White Solder Metalurgia e Mineração Ltda.</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 Brazil, Thailand, Peru, Germany</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Tin</w:t>
            </w:r>
          </w:p>
        </w:tc>
        <w:tc>
          <w:tcPr>
            <w:tcW w:w="3760" w:type="dxa"/>
            <w:vAlign w:val="bottom"/>
            <w:gridSpan w:val="2"/>
          </w:tcPr>
          <w:p>
            <w:pPr>
              <w:spacing w:after="0"/>
              <w:rPr>
                <w:sz w:val="20"/>
                <w:szCs w:val="20"/>
                <w:color w:val="auto"/>
              </w:rPr>
            </w:pPr>
            <w:r>
              <w:rPr>
                <w:rFonts w:ascii="Arial" w:cs="Arial" w:eastAsia="Arial" w:hAnsi="Arial"/>
                <w:sz w:val="18"/>
                <w:szCs w:val="18"/>
                <w:color w:val="auto"/>
              </w:rPr>
              <w:t>Yunnan Tin Group (Holding) Company Limited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Hong Kong, United States, Malaysia, Bolivia,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Canada, Belgium, China, Brazil, Australia, Peru, Ethiopia,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Germany, Indonesia</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w w:val="96"/>
              </w:rPr>
              <w:t>Chenzhou Diamond Tungsten Products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Korea, Brazil, Guyana,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Ecuador, Colombia,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Germany, Ethiopia,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Exotech Inc.</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Fujian Jinxin Tungsten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Brazil, Guyana, Korea,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Ecuador, Colombia,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Germany, Ethiopia,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Ganzhou Seadragon W &amp; Mo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Brazil, Guyana, Korea,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Ecuador, Colombia,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Ethiopia, Germany,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Ganzhou Yatai Tungsten Co., Ltd.</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Korea, Brazil, Guyana,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Colombia, Ecuador,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Ethiopia, Germany,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Global Tungsten &amp; Powders Corp.</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Guyana, Korea, Brazil,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Colombia, Ecuador,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Germany, Ethiopia,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65"/>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Metal</w:t>
            </w:r>
          </w:p>
        </w:tc>
        <w:tc>
          <w:tcPr>
            <w:tcW w:w="36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5"/>
                <w:szCs w:val="15"/>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5"/>
                <w:szCs w:val="15"/>
                <w:color w:val="auto"/>
              </w:rPr>
            </w:pPr>
          </w:p>
        </w:tc>
        <w:tc>
          <w:tcPr>
            <w:tcW w:w="4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Mine Countries of Origin</w:t>
            </w:r>
          </w:p>
        </w:tc>
      </w:tr>
      <w:tr>
        <w:trPr>
          <w:trHeight w:val="296"/>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Guangdong Xianglu Tungsten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Guyana, Korea, Brazil,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Ecuador, Colombia,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Germany, Ethiopia,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Hunan Chenzhou Mining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Guyana, Korea, Brazil,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Ecuador, Colombia,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Ethiopia, Germany,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w w:val="98"/>
              </w:rPr>
              <w:t>Hunan Chuangda Vanadium Tungsten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Wuji</w:t>
            </w: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Brazil, Guyana, Korea,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Ecuador, Colombia,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Ethiopia, Germany,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w w:val="99"/>
              </w:rPr>
              <w:t>Hunan Chunchang Nonferrous Metals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Mozambique, Luxembourg, Guyana, Brazil, Korea,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5"/>
              </w:rPr>
              <w:t>Chile, Laos, Ecuador, Colombia, Argentina, Hungary, Japan,</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8"/>
              </w:rPr>
              <w:t>India, Canada, Belgium, Namibia, Taiwan, Peru, Germany,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Ethiopia,</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Japan New Metals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Brazil, Guyana, Korea,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Ecuador, Argentina, Hungary, Japan, India, Canada, Belgium,</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Namibia, Taiwan, Peru, Ethiopia, Germany, Russian Federation</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w w:val="95"/>
              </w:rPr>
              <w:t>Jiangwu H.C. Starck Tungsten Products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Jiangxi Gan Bei Tungsten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Korea, Guyana, Brazil,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8"/>
              </w:rPr>
              <w:t>Laos, Ecuador,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Germany, Ethiopia,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Jiangxi Minmetals Gao’an Non-ferrous Metals</w:t>
            </w:r>
          </w:p>
        </w:tc>
        <w:tc>
          <w:tcPr>
            <w:tcW w:w="1420" w:type="dxa"/>
            <w:vAlign w:val="bottom"/>
          </w:tcPr>
          <w:p>
            <w:pPr>
              <w:spacing w:after="0"/>
              <w:rPr>
                <w:sz w:val="24"/>
                <w:szCs w:val="24"/>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 Ltd.</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Jiangxi Tonggu Non-ferrous Metallurgical &amp;</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China, Korea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Chemical Co., Ltd.</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65"/>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Metal</w:t>
            </w:r>
          </w:p>
        </w:tc>
        <w:tc>
          <w:tcPr>
            <w:tcW w:w="36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5"/>
                <w:szCs w:val="15"/>
                <w:color w:val="auto"/>
              </w:rPr>
            </w:pP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5"/>
                <w:szCs w:val="15"/>
                <w:color w:val="auto"/>
              </w:rPr>
            </w:pPr>
          </w:p>
        </w:tc>
        <w:tc>
          <w:tcPr>
            <w:tcW w:w="4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Mine Countries of Origin</w:t>
            </w:r>
          </w:p>
        </w:tc>
      </w:tr>
      <w:tr>
        <w:trPr>
          <w:trHeight w:val="296"/>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w w:val="95"/>
              </w:rPr>
              <w:t>Jiangxi Xiushui Xianggan Nonferrous Metals Co.,</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Ltd.</w:t>
            </w: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Brazil, Korea, Guyana,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Ecuador, Argentina, Hungary, Japan, India, Canada, Belgium,</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Namibia, Taiwan, Peru, Germany, Ethiopia, Russian Federation</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Jiangxi Yaosheng Tungsten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9"/>
              </w:rPr>
              <w:t>Papua New Guinea, Argentina, Singapore, Guinea, United</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States, Japan, Canada, China, Brazil, Mexico, Chile, Australia,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Peru</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Kennametal Huntsville</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Korea, Guyana, Brazil,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Ecuador, Colombia,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Belgium, Namibia, Taiwan, South Africa, Peru, Ethiopia,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Germany</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Malipo Haiyu Tungsten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Brazil, Korea, Guyana,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Colombia, Ecuador,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Germany, Ethiopia,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Niagara Refining LLC</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Guyana, Brazil, Korea,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Colombia, Ecuador,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Germany, Ethiopia,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Nui Phao H.C. Starck Tungsten Chemicals</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2"/>
              </w:rPr>
              <w:t>Myanmar, Cambodia, Malaysia, Kazakhstan, Portugal, Austria,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Manufacturing LLC</w:t>
            </w: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7"/>
              </w:rPr>
              <w:t>Mongolia, Luxembourg, Brazil, Guyana, Korea, Chile, Laos,</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1"/>
              </w:rPr>
              <w:t>Colombia, Ecuador, Argentina, Hungary, Japan, India, Canada,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Belgium, Namibia, Taiwan, Peru, Ethiopia, Germany, Russian</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Federation</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Tejing (Vietnam) Tungsten Co., Ltd.</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Korea, Guyana, Brazil,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Colombia, Ecuador,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Germany, Ethiopia,</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Wolfram Bergbau und Hütten AG</w:t>
            </w:r>
          </w:p>
        </w:tc>
        <w:tc>
          <w:tcPr>
            <w:tcW w:w="1420" w:type="dxa"/>
            <w:vAlign w:val="bottom"/>
          </w:tcPr>
          <w:p>
            <w:pPr>
              <w:spacing w:after="0"/>
              <w:rPr>
                <w:sz w:val="20"/>
                <w:szCs w:val="20"/>
                <w:color w:val="auto"/>
              </w:rPr>
            </w:pPr>
            <w:r>
              <w:rPr>
                <w:rFonts w:ascii="Arial" w:cs="Arial" w:eastAsia="Arial" w:hAnsi="Arial"/>
                <w:sz w:val="18"/>
                <w:szCs w:val="18"/>
                <w:color w:val="auto"/>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Austria, China, Australia</w:t>
            </w:r>
          </w:p>
        </w:tc>
      </w:tr>
      <w:tr>
        <w:trPr>
          <w:trHeight w:val="365"/>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8"/>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Metal</w:t>
            </w:r>
          </w:p>
        </w:tc>
        <w:tc>
          <w:tcPr>
            <w:tcW w:w="36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Smelter/Refiner</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Certification Status</w:t>
            </w:r>
          </w:p>
        </w:tc>
        <w:tc>
          <w:tcPr>
            <w:tcW w:w="100" w:type="dxa"/>
            <w:vAlign w:val="bottom"/>
          </w:tcPr>
          <w:p>
            <w:pPr>
              <w:spacing w:after="0"/>
              <w:rPr>
                <w:sz w:val="15"/>
                <w:szCs w:val="15"/>
                <w:color w:val="auto"/>
              </w:rPr>
            </w:pPr>
          </w:p>
        </w:tc>
        <w:tc>
          <w:tcPr>
            <w:tcW w:w="4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Mine Countries of Origin</w:t>
            </w:r>
          </w:p>
        </w:tc>
      </w:tr>
      <w:tr>
        <w:trPr>
          <w:trHeight w:val="296"/>
        </w:trPr>
        <w:tc>
          <w:tcPr>
            <w:tcW w:w="150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760" w:type="dxa"/>
            <w:vAlign w:val="bottom"/>
            <w:gridSpan w:val="2"/>
          </w:tcPr>
          <w:p>
            <w:pPr>
              <w:spacing w:after="0"/>
              <w:rPr>
                <w:sz w:val="20"/>
                <w:szCs w:val="20"/>
                <w:color w:val="auto"/>
              </w:rPr>
            </w:pPr>
            <w:r>
              <w:rPr>
                <w:rFonts w:ascii="Arial" w:cs="Arial" w:eastAsia="Arial" w:hAnsi="Arial"/>
                <w:sz w:val="18"/>
                <w:szCs w:val="18"/>
                <w:color w:val="auto"/>
              </w:rPr>
              <w:t>Xinhai Rendan Shaoguan Tungsten Co., Ltd.</w:t>
            </w:r>
          </w:p>
        </w:tc>
        <w:tc>
          <w:tcPr>
            <w:tcW w:w="1420" w:type="dxa"/>
            <w:vAlign w:val="bottom"/>
          </w:tcPr>
          <w:p>
            <w:pPr>
              <w:jc w:val="right"/>
              <w:ind w:right="916"/>
              <w:spacing w:after="0"/>
              <w:rPr>
                <w:sz w:val="20"/>
                <w:szCs w:val="20"/>
                <w:color w:val="auto"/>
              </w:rPr>
            </w:pPr>
            <w:r>
              <w:rPr>
                <w:rFonts w:ascii="Arial" w:cs="Arial" w:eastAsia="Arial" w:hAnsi="Arial"/>
                <w:sz w:val="18"/>
                <w:szCs w:val="18"/>
                <w:color w:val="auto"/>
                <w:w w:val="83"/>
              </w:rPr>
              <w:t>CFSP</w:t>
            </w: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4"/>
              </w:rPr>
              <w:t>Mongolia, Austria, Luxembourg, Korea, Guyana, Brazil, Chile,</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6"/>
              </w:rPr>
              <w:t>Laos, Colombia, Ecuador, Argentina, Hungary, Japan, India,</w:t>
            </w:r>
          </w:p>
        </w:tc>
      </w:tr>
      <w:tr>
        <w:trPr>
          <w:trHeight w:val="216"/>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w w:val="93"/>
              </w:rPr>
              <w:t>Canada, Belgium, Namibia, Taiwan, Peru, Ethiopia, Germany,</w:t>
            </w:r>
          </w:p>
        </w:tc>
      </w:tr>
      <w:tr>
        <w:trPr>
          <w:trHeight w:val="230"/>
        </w:trPr>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40" w:type="dxa"/>
            <w:vAlign w:val="bottom"/>
            <w:gridSpan w:val="2"/>
          </w:tcPr>
          <w:p>
            <w:pPr>
              <w:ind w:left="100"/>
              <w:spacing w:after="0"/>
              <w:rPr>
                <w:sz w:val="20"/>
                <w:szCs w:val="20"/>
                <w:color w:val="auto"/>
              </w:rPr>
            </w:pPr>
            <w:r>
              <w:rPr>
                <w:rFonts w:ascii="Arial" w:cs="Arial" w:eastAsia="Arial" w:hAnsi="Arial"/>
                <w:sz w:val="18"/>
                <w:szCs w:val="18"/>
                <w:color w:val="auto"/>
              </w:rPr>
              <w:t>Russian Federation</w:t>
            </w:r>
          </w:p>
        </w:tc>
      </w:tr>
      <w:tr>
        <w:trPr>
          <w:trHeight w:val="365"/>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ind w:right="796"/>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33" w:name="page34"/>
    <w:bookmarkEnd w:id="33"/>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20" w:firstLine="913"/>
        <w:spacing w:after="0" w:line="264" w:lineRule="auto"/>
        <w:rPr>
          <w:sz w:val="20"/>
          <w:szCs w:val="20"/>
          <w:color w:val="auto"/>
        </w:rPr>
      </w:pPr>
      <w:r>
        <w:rPr>
          <w:rFonts w:ascii="Arial" w:cs="Arial" w:eastAsia="Arial" w:hAnsi="Arial"/>
          <w:sz w:val="18"/>
          <w:szCs w:val="18"/>
          <w:color w:val="auto"/>
        </w:rPr>
        <w:t>The table below, which is as of May 1, 2017, lists the SORs known to us to have supplied necessary conflict minerals contained in our covered products and that were either certified by one or more conflict free certification programs or that used only recycled or scrap minerals, but as to which we were unable to determine the countries of origin from which they sourced such conflict minerals: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Metal</w:t>
            </w:r>
          </w:p>
        </w:tc>
        <w:tc>
          <w:tcPr>
            <w:tcW w:w="820" w:type="dxa"/>
            <w:vAlign w:val="bottom"/>
          </w:tcPr>
          <w:p>
            <w:pPr>
              <w:spacing w:after="0"/>
              <w:rPr>
                <w:sz w:val="15"/>
                <w:szCs w:val="15"/>
                <w:color w:val="auto"/>
              </w:rPr>
            </w:pPr>
          </w:p>
        </w:tc>
        <w:tc>
          <w:tcPr>
            <w:tcW w:w="460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Smelter/Refiner</w:t>
            </w:r>
          </w:p>
        </w:tc>
        <w:tc>
          <w:tcPr>
            <w:tcW w:w="120" w:type="dxa"/>
            <w:vAlign w:val="bottom"/>
          </w:tcPr>
          <w:p>
            <w:pPr>
              <w:spacing w:after="0"/>
              <w:rPr>
                <w:sz w:val="15"/>
                <w:szCs w:val="15"/>
                <w:color w:val="auto"/>
              </w:rPr>
            </w:pPr>
          </w:p>
        </w:tc>
        <w:tc>
          <w:tcPr>
            <w:tcW w:w="440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Certification Status</w:t>
            </w:r>
          </w:p>
        </w:tc>
      </w:tr>
      <w:tr>
        <w:trPr>
          <w:trHeight w:val="311"/>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Abington Reldan Metals, LLC</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Aida Chemical Industries Co., Ltd.</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Al Etihad Gold</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Allgemeine Gold-und Silberscheideanstalt A.G.</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LBMA, RJC, 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AU Traders and Refiners</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RJC, 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Aurubis AG</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LBMA, 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Bangalore Refinery</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Cendres + Métaux SA</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Chimet S.p.A.</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LBMA, 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DODUCO GmbH</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DSC (Do Sung Corporation)</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Eco-System Recycling Co., Ltd.</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Heimerle + Meule GmbH</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LBMA, 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Italpreziosi S.p.A.</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RJC</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Korea Zinc Co., Ltd.</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Modeltech Sdn Bhd</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Rio Tinto Group</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RJC</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SAAMP</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RJC</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Sichuan Tianze Precious Metals Co., Ltd.</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LBMA, 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Gold</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Sungeel Hitech Co., Ltd.</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Jiangxi Dinghai Tantalum &amp; Niobium Co., Ltd.</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Jiangxi Tuohong New Raw Material</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Power Resources Ltd.</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Resind Indústria e Comércio Ltda.</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Tin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CV Dua Sekawan</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Tin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CV Tiga Sekawan</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Tin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Dowa</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Tin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Fenix Metals</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Tin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Gejiu Fengming Metallurgy Chemical Plant</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Tin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Gejiu Jinye Mineral Company</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Tin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Guanyang Guida Nonferrous Metal Smelting Plant</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Tin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HuiChang Hill Tin Industry Co., Ltd.</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Tin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PT Kijang Jaya Mandiri</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Tin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PT Lautan Harmonis Sejahtera</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Tin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PT Menara Cipta Mulia</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Tin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PT O.M. Indonesia</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Tin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Resind Indústria e Comércio Ltda.</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Tin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Yunnan Chengfeng Non-ferrous Metals Co.,Ltd.</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H.C. Starck Smelting GmbH &amp; Co. KG</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Kennametal Fallon</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Moliren Ltd</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Philippine Chuangxin Industrial Co., Inc.</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w w:val="94"/>
              </w:rPr>
              <w:t>South-East Nonferrous Metal Company Limited of Hengyang</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230"/>
        </w:trPr>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City</w:t>
            </w:r>
          </w:p>
        </w:tc>
        <w:tc>
          <w:tcPr>
            <w:tcW w:w="12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Unecha Refractory Metals Plant</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Woltech Korea Co., Ltd.</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310"/>
        </w:trPr>
        <w:tc>
          <w:tcPr>
            <w:tcW w:w="148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w w:val="96"/>
              </w:rPr>
              <w:t>Xinfeng Huarui Tungsten &amp; Molybdenum New Material Co.,</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CFSP</w:t>
            </w:r>
          </w:p>
        </w:tc>
      </w:tr>
      <w:tr>
        <w:trPr>
          <w:trHeight w:val="230"/>
        </w:trPr>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Ltd.</w:t>
            </w:r>
          </w:p>
        </w:tc>
        <w:tc>
          <w:tcPr>
            <w:tcW w:w="120" w:type="dxa"/>
            <w:vAlign w:val="bottom"/>
          </w:tcPr>
          <w:p>
            <w:pPr>
              <w:spacing w:after="0"/>
              <w:rPr>
                <w:sz w:val="20"/>
                <w:szCs w:val="20"/>
                <w:color w:val="auto"/>
              </w:rPr>
            </w:pPr>
          </w:p>
        </w:tc>
        <w:tc>
          <w:tcPr>
            <w:tcW w:w="4400" w:type="dxa"/>
            <w:vAlign w:val="bottom"/>
          </w:tcPr>
          <w:p>
            <w:pPr>
              <w:spacing w:after="0"/>
              <w:rPr>
                <w:sz w:val="20"/>
                <w:szCs w:val="20"/>
                <w:color w:val="auto"/>
              </w:rPr>
            </w:pPr>
          </w:p>
        </w:tc>
      </w:tr>
    </w:tbl>
    <w:p>
      <w:pPr>
        <w:sectPr>
          <w:pgSz w:w="11900" w:h="16884" w:orient="portrait"/>
          <w:cols w:equalWidth="0" w:num="1">
            <w:col w:w="11420"/>
          </w:cols>
          <w:pgMar w:left="240" w:top="274" w:right="239" w:bottom="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019"/>
          </w:cols>
          <w:pgMar w:left="1440" w:top="274" w:right="1440" w:bottom="1440" w:gutter="0" w:footer="0" w:header="0"/>
        </w:sectPr>
      </w:pPr>
    </w:p>
    <w:bookmarkStart w:id="35" w:name="page36"/>
    <w:bookmarkEnd w:id="35"/>
    <w:p>
      <w:pPr>
        <w:ind w:right="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which is as of May 1, 2017, lists the SORs known to us to have supplied necessary conflict minerals contained in our covered products and that were not certified by one or more conflict free certification programs. In addition, despite our diligence efforts we were unable to determine the countries from which these SORs sourced necessary conflict minerals: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Metal</w:t>
            </w:r>
          </w:p>
        </w:tc>
        <w:tc>
          <w:tcPr>
            <w:tcW w:w="8080" w:type="dxa"/>
            <w:vAlign w:val="bottom"/>
            <w:tcBorders>
              <w:bottom w:val="single" w:sz="8" w:color="auto"/>
            </w:tcBorders>
          </w:tcPr>
          <w:p>
            <w:pPr>
              <w:ind w:left="3540"/>
              <w:spacing w:after="0"/>
              <w:rPr>
                <w:sz w:val="20"/>
                <w:szCs w:val="20"/>
                <w:color w:val="auto"/>
              </w:rPr>
            </w:pPr>
            <w:r>
              <w:rPr>
                <w:rFonts w:ascii="Arial" w:cs="Arial" w:eastAsia="Arial" w:hAnsi="Arial"/>
                <w:sz w:val="14"/>
                <w:szCs w:val="14"/>
                <w:b w:val="1"/>
                <w:bCs w:val="1"/>
                <w:color w:val="auto"/>
              </w:rPr>
              <w:t>Smelter/Refiner</w:t>
            </w:r>
          </w:p>
        </w:tc>
      </w:tr>
      <w:tr>
        <w:trPr>
          <w:trHeight w:val="311"/>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Changcheng Gold &amp; Silver Refining Factory</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Degussa Sonne / Mond Goldhandel GmbH</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Gannon &amp; Scott</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Gujarat Gold Centre</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Henan Yuguang Gold &amp; Lead Co., Ltd.</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Johnson Matthey Chemicals Ltd.</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Lingbao Jinyuan Mining Co., Ltd.</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L’Orfebre S.A.</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Minsur</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Morris and Watson</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Morris and Watson Gold Coast</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Pease &amp; Curren</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Philippine Associated Smelting and Refining Corporation</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Remondis Argentia B.V.</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Sai Refinery</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Sudan Gold Refinery</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Tony Goetz NV</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Gold</w:t>
            </w:r>
          </w:p>
        </w:tc>
        <w:tc>
          <w:tcPr>
            <w:tcW w:w="8080" w:type="dxa"/>
            <w:vAlign w:val="bottom"/>
          </w:tcPr>
          <w:p>
            <w:pPr>
              <w:spacing w:after="0"/>
              <w:rPr>
                <w:sz w:val="20"/>
                <w:szCs w:val="20"/>
                <w:color w:val="auto"/>
              </w:rPr>
            </w:pPr>
            <w:r>
              <w:rPr>
                <w:rFonts w:ascii="Arial" w:cs="Arial" w:eastAsia="Arial" w:hAnsi="Arial"/>
                <w:sz w:val="18"/>
                <w:szCs w:val="18"/>
                <w:color w:val="auto"/>
              </w:rPr>
              <w:t>Universal Precious Metals Refining Zambia</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Tin</w:t>
            </w:r>
          </w:p>
        </w:tc>
        <w:tc>
          <w:tcPr>
            <w:tcW w:w="8080" w:type="dxa"/>
            <w:vAlign w:val="bottom"/>
          </w:tcPr>
          <w:p>
            <w:pPr>
              <w:spacing w:after="0"/>
              <w:rPr>
                <w:sz w:val="20"/>
                <w:szCs w:val="20"/>
                <w:color w:val="auto"/>
              </w:rPr>
            </w:pPr>
            <w:r>
              <w:rPr>
                <w:rFonts w:ascii="Arial" w:cs="Arial" w:eastAsia="Arial" w:hAnsi="Arial"/>
                <w:sz w:val="18"/>
                <w:szCs w:val="18"/>
                <w:color w:val="auto"/>
              </w:rPr>
              <w:t>5NPLUS</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Tin</w:t>
            </w:r>
          </w:p>
        </w:tc>
        <w:tc>
          <w:tcPr>
            <w:tcW w:w="8080" w:type="dxa"/>
            <w:vAlign w:val="bottom"/>
          </w:tcPr>
          <w:p>
            <w:pPr>
              <w:spacing w:after="0"/>
              <w:rPr>
                <w:sz w:val="20"/>
                <w:szCs w:val="20"/>
                <w:color w:val="auto"/>
              </w:rPr>
            </w:pPr>
            <w:r>
              <w:rPr>
                <w:rFonts w:ascii="Arial" w:cs="Arial" w:eastAsia="Arial" w:hAnsi="Arial"/>
                <w:sz w:val="18"/>
                <w:szCs w:val="18"/>
                <w:color w:val="auto"/>
              </w:rPr>
              <w:t>An Thai Minerals Company Limited</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Tin</w:t>
            </w:r>
          </w:p>
        </w:tc>
        <w:tc>
          <w:tcPr>
            <w:tcW w:w="8080" w:type="dxa"/>
            <w:vAlign w:val="bottom"/>
          </w:tcPr>
          <w:p>
            <w:pPr>
              <w:spacing w:after="0"/>
              <w:rPr>
                <w:sz w:val="20"/>
                <w:szCs w:val="20"/>
                <w:color w:val="auto"/>
              </w:rPr>
            </w:pPr>
            <w:r>
              <w:rPr>
                <w:rFonts w:ascii="Arial" w:cs="Arial" w:eastAsia="Arial" w:hAnsi="Arial"/>
                <w:sz w:val="18"/>
                <w:szCs w:val="18"/>
                <w:color w:val="auto"/>
              </w:rPr>
              <w:t>Aoki Laboratories Ltd.</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Tin</w:t>
            </w:r>
          </w:p>
        </w:tc>
        <w:tc>
          <w:tcPr>
            <w:tcW w:w="8080" w:type="dxa"/>
            <w:vAlign w:val="bottom"/>
          </w:tcPr>
          <w:p>
            <w:pPr>
              <w:spacing w:after="0"/>
              <w:rPr>
                <w:sz w:val="20"/>
                <w:szCs w:val="20"/>
                <w:color w:val="auto"/>
              </w:rPr>
            </w:pPr>
            <w:r>
              <w:rPr>
                <w:rFonts w:ascii="Arial" w:cs="Arial" w:eastAsia="Arial" w:hAnsi="Arial"/>
                <w:sz w:val="18"/>
                <w:szCs w:val="18"/>
                <w:color w:val="auto"/>
              </w:rPr>
              <w:t>Elmet S.A. de C.V.</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Tin</w:t>
            </w:r>
          </w:p>
        </w:tc>
        <w:tc>
          <w:tcPr>
            <w:tcW w:w="8080" w:type="dxa"/>
            <w:vAlign w:val="bottom"/>
          </w:tcPr>
          <w:p>
            <w:pPr>
              <w:spacing w:after="0"/>
              <w:rPr>
                <w:sz w:val="20"/>
                <w:szCs w:val="20"/>
                <w:color w:val="auto"/>
              </w:rPr>
            </w:pPr>
            <w:r>
              <w:rPr>
                <w:rFonts w:ascii="Arial" w:cs="Arial" w:eastAsia="Arial" w:hAnsi="Arial"/>
                <w:sz w:val="18"/>
                <w:szCs w:val="18"/>
                <w:color w:val="auto"/>
              </w:rPr>
              <w:t>Gejiu Zili Mining And Metallurgy Co., Ltd.</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Tin</w:t>
            </w:r>
          </w:p>
        </w:tc>
        <w:tc>
          <w:tcPr>
            <w:tcW w:w="8080" w:type="dxa"/>
            <w:vAlign w:val="bottom"/>
          </w:tcPr>
          <w:p>
            <w:pPr>
              <w:spacing w:after="0"/>
              <w:rPr>
                <w:sz w:val="20"/>
                <w:szCs w:val="20"/>
                <w:color w:val="auto"/>
              </w:rPr>
            </w:pPr>
            <w:r>
              <w:rPr>
                <w:rFonts w:ascii="Arial" w:cs="Arial" w:eastAsia="Arial" w:hAnsi="Arial"/>
                <w:sz w:val="18"/>
                <w:szCs w:val="18"/>
                <w:color w:val="auto"/>
              </w:rPr>
              <w:t>JX Nippon Mining &amp; Metals Co., Ltd.</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Tin</w:t>
            </w:r>
          </w:p>
        </w:tc>
        <w:tc>
          <w:tcPr>
            <w:tcW w:w="8080" w:type="dxa"/>
            <w:vAlign w:val="bottom"/>
          </w:tcPr>
          <w:p>
            <w:pPr>
              <w:spacing w:after="0"/>
              <w:rPr>
                <w:sz w:val="20"/>
                <w:szCs w:val="20"/>
                <w:color w:val="auto"/>
              </w:rPr>
            </w:pPr>
            <w:r>
              <w:rPr>
                <w:rFonts w:ascii="Arial" w:cs="Arial" w:eastAsia="Arial" w:hAnsi="Arial"/>
                <w:sz w:val="18"/>
                <w:szCs w:val="18"/>
                <w:color w:val="auto"/>
              </w:rPr>
              <w:t>Modeltech Sdn Bhd</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Tin</w:t>
            </w:r>
          </w:p>
        </w:tc>
        <w:tc>
          <w:tcPr>
            <w:tcW w:w="8080" w:type="dxa"/>
            <w:vAlign w:val="bottom"/>
          </w:tcPr>
          <w:p>
            <w:pPr>
              <w:spacing w:after="0"/>
              <w:rPr>
                <w:sz w:val="20"/>
                <w:szCs w:val="20"/>
                <w:color w:val="auto"/>
              </w:rPr>
            </w:pPr>
            <w:r>
              <w:rPr>
                <w:rFonts w:ascii="Arial" w:cs="Arial" w:eastAsia="Arial" w:hAnsi="Arial"/>
                <w:sz w:val="18"/>
                <w:szCs w:val="18"/>
                <w:color w:val="auto"/>
              </w:rPr>
              <w:t>Shangrao Xuri Smelting Factory</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Tin</w:t>
            </w:r>
          </w:p>
        </w:tc>
        <w:tc>
          <w:tcPr>
            <w:tcW w:w="8080" w:type="dxa"/>
            <w:vAlign w:val="bottom"/>
          </w:tcPr>
          <w:p>
            <w:pPr>
              <w:spacing w:after="0"/>
              <w:rPr>
                <w:sz w:val="20"/>
                <w:szCs w:val="20"/>
                <w:color w:val="auto"/>
              </w:rPr>
            </w:pPr>
            <w:r>
              <w:rPr>
                <w:rFonts w:ascii="Arial" w:cs="Arial" w:eastAsia="Arial" w:hAnsi="Arial"/>
                <w:sz w:val="18"/>
                <w:szCs w:val="18"/>
                <w:color w:val="auto"/>
              </w:rPr>
              <w:t>Yuntinic Chemical GmbH</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8080" w:type="dxa"/>
            <w:vAlign w:val="bottom"/>
          </w:tcPr>
          <w:p>
            <w:pPr>
              <w:spacing w:after="0"/>
              <w:rPr>
                <w:sz w:val="20"/>
                <w:szCs w:val="20"/>
                <w:color w:val="auto"/>
              </w:rPr>
            </w:pPr>
            <w:r>
              <w:rPr>
                <w:rFonts w:ascii="Arial" w:cs="Arial" w:eastAsia="Arial" w:hAnsi="Arial"/>
                <w:sz w:val="18"/>
                <w:szCs w:val="18"/>
                <w:color w:val="auto"/>
              </w:rPr>
              <w:t>ACL Metais Eireli</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8080" w:type="dxa"/>
            <w:vAlign w:val="bottom"/>
          </w:tcPr>
          <w:p>
            <w:pPr>
              <w:spacing w:after="0"/>
              <w:rPr>
                <w:sz w:val="20"/>
                <w:szCs w:val="20"/>
                <w:color w:val="auto"/>
              </w:rPr>
            </w:pPr>
            <w:r>
              <w:rPr>
                <w:rFonts w:ascii="Arial" w:cs="Arial" w:eastAsia="Arial" w:hAnsi="Arial"/>
                <w:sz w:val="18"/>
                <w:szCs w:val="18"/>
                <w:color w:val="auto"/>
              </w:rPr>
              <w:t>Buffalo Tungsten</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8080" w:type="dxa"/>
            <w:vAlign w:val="bottom"/>
          </w:tcPr>
          <w:p>
            <w:pPr>
              <w:spacing w:after="0"/>
              <w:rPr>
                <w:sz w:val="20"/>
                <w:szCs w:val="20"/>
                <w:color w:val="auto"/>
              </w:rPr>
            </w:pPr>
            <w:r>
              <w:rPr>
                <w:rFonts w:ascii="Arial" w:cs="Arial" w:eastAsia="Arial" w:hAnsi="Arial"/>
                <w:sz w:val="18"/>
                <w:szCs w:val="18"/>
                <w:color w:val="auto"/>
              </w:rPr>
              <w:t>Ganzhou Haichuang Tungsten Industry Co., Ltd.</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8080" w:type="dxa"/>
            <w:vAlign w:val="bottom"/>
          </w:tcPr>
          <w:p>
            <w:pPr>
              <w:spacing w:after="0"/>
              <w:rPr>
                <w:sz w:val="20"/>
                <w:szCs w:val="20"/>
                <w:color w:val="auto"/>
              </w:rPr>
            </w:pPr>
            <w:r>
              <w:rPr>
                <w:rFonts w:ascii="Arial" w:cs="Arial" w:eastAsia="Arial" w:hAnsi="Arial"/>
                <w:sz w:val="18"/>
                <w:szCs w:val="18"/>
                <w:color w:val="auto"/>
              </w:rPr>
              <w:t>Jiangxi Dayu Longxintai Tungsten Co., Ltd.</w:t>
            </w:r>
          </w:p>
        </w:tc>
      </w:tr>
      <w:tr>
        <w:trPr>
          <w:trHeight w:val="324"/>
        </w:trPr>
        <w:tc>
          <w:tcPr>
            <w:tcW w:w="33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8080" w:type="dxa"/>
            <w:vAlign w:val="bottom"/>
          </w:tcPr>
          <w:p>
            <w:pPr>
              <w:spacing w:after="0"/>
              <w:rPr>
                <w:sz w:val="20"/>
                <w:szCs w:val="20"/>
                <w:color w:val="auto"/>
              </w:rPr>
            </w:pPr>
            <w:r>
              <w:rPr>
                <w:rFonts w:ascii="Arial" w:cs="Arial" w:eastAsia="Arial" w:hAnsi="Arial"/>
                <w:sz w:val="18"/>
                <w:szCs w:val="18"/>
                <w:color w:val="auto"/>
              </w:rPr>
              <w:t>TaeguTec Ltd.</w:t>
            </w:r>
          </w:p>
        </w:tc>
      </w:tr>
      <w:tr>
        <w:trPr>
          <w:trHeight w:val="365"/>
        </w:trPr>
        <w:tc>
          <w:tcPr>
            <w:tcW w:w="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80" w:type="dxa"/>
            <w:vAlign w:val="bottom"/>
          </w:tcPr>
          <w:p>
            <w:pPr>
              <w:ind w:left="2280"/>
              <w:spacing w:after="0"/>
              <w:rPr>
                <w:sz w:val="20"/>
                <w:szCs w:val="20"/>
                <w:color w:val="auto"/>
              </w:rPr>
            </w:pPr>
            <w:r>
              <w:rPr>
                <w:rFonts w:ascii="Arial" w:cs="Arial" w:eastAsia="Arial" w:hAnsi="Arial"/>
                <w:sz w:val="18"/>
                <w:szCs w:val="18"/>
                <w:color w:val="auto"/>
              </w:rPr>
              <w:t>32</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2019-12-05T06:50:40Z</dcterms:created>
  <dcterms:modified xsi:type="dcterms:W3CDTF">2019-12-05T06:50:40Z</dcterms:modified>
</cp:coreProperties>
</file>