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111125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3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6"/>
          <w:szCs w:val="16"/>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quarterly period ended September 30, 2022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ind w:left="4420" w:right="1480" w:hanging="4412"/>
        <w:spacing w:after="0" w:line="339" w:lineRule="auto"/>
        <w:tabs>
          <w:tab w:leader="none" w:pos="503" w:val="left"/>
        </w:tabs>
        <w:numPr>
          <w:ilvl w:val="0"/>
          <w:numId w:val="2"/>
        </w:numPr>
        <w:rPr>
          <w:rFonts w:ascii="MS PGothic" w:cs="MS PGothic" w:eastAsia="MS PGothic" w:hAnsi="MS PGothic"/>
          <w:sz w:val="16"/>
          <w:szCs w:val="16"/>
          <w:color w:val="auto"/>
        </w:rPr>
      </w:pPr>
      <w:r>
        <w:rPr>
          <w:rFonts w:ascii="Arial" w:cs="Arial" w:eastAsia="Arial" w:hAnsi="Arial"/>
          <w:sz w:val="18"/>
          <w:szCs w:val="18"/>
          <w:b w:val="1"/>
          <w:bCs w:val="1"/>
          <w:color w:val="auto"/>
        </w:rPr>
        <w:t>TRANSITION REPORT PURSUANT TO SECTION 13 OR 15(d) OF THE SECURITIES EXCHANGE ACT OF 1934 Commission file No.: 1-4601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SCHLUMBERGER N.V.</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(SCHLUMBERGER LIMITED)</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83185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6" w:lineRule="exact"/>
        <w:rPr>
          <w:sz w:val="24"/>
          <w:szCs w:val="24"/>
          <w:color w:val="auto"/>
        </w:rPr>
      </w:pPr>
    </w:p>
    <w:tbl>
      <w:tblPr>
        <w:tblLayout w:type="fixed"/>
        <w:tblInd w:w="1160" w:type="dxa"/>
        <w:tblCellMar>
          <w:top w:w="0" w:type="dxa"/>
          <w:left w:w="0" w:type="dxa"/>
          <w:bottom w:w="0" w:type="dxa"/>
          <w:right w:w="0" w:type="dxa"/>
        </w:tblCellMar>
      </w:tblPr>
      <w:tr>
        <w:trPr>
          <w:trHeight w:val="194"/>
        </w:trPr>
        <w:tc>
          <w:tcPr>
            <w:tcW w:w="4980" w:type="dxa"/>
            <w:vAlign w:val="bottom"/>
          </w:tcPr>
          <w:p>
            <w:pPr>
              <w:jc w:val="center"/>
              <w:ind w:right="1701"/>
              <w:spacing w:after="0"/>
              <w:rPr>
                <w:sz w:val="20"/>
                <w:szCs w:val="20"/>
                <w:color w:val="auto"/>
              </w:rPr>
            </w:pPr>
            <w:r>
              <w:rPr>
                <w:rFonts w:ascii="Arial" w:cs="Arial" w:eastAsia="Arial" w:hAnsi="Arial"/>
                <w:sz w:val="16"/>
                <w:szCs w:val="16"/>
                <w:b w:val="1"/>
                <w:bCs w:val="1"/>
                <w:color w:val="auto"/>
                <w:w w:val="99"/>
              </w:rPr>
              <w:t>Curaçao</w:t>
            </w:r>
          </w:p>
        </w:tc>
        <w:tc>
          <w:tcPr>
            <w:tcW w:w="2920" w:type="dxa"/>
            <w:vAlign w:val="bottom"/>
          </w:tcPr>
          <w:p>
            <w:pPr>
              <w:jc w:val="center"/>
              <w:ind w:left="1701"/>
              <w:spacing w:after="0"/>
              <w:rPr>
                <w:sz w:val="20"/>
                <w:szCs w:val="20"/>
                <w:color w:val="auto"/>
              </w:rPr>
            </w:pPr>
            <w:r>
              <w:rPr>
                <w:rFonts w:ascii="Arial" w:cs="Arial" w:eastAsia="Arial" w:hAnsi="Arial"/>
                <w:sz w:val="16"/>
                <w:szCs w:val="16"/>
                <w:b w:val="1"/>
                <w:bCs w:val="1"/>
                <w:color w:val="auto"/>
              </w:rPr>
              <w:t>52-0684746</w:t>
            </w:r>
          </w:p>
        </w:tc>
        <w:tc>
          <w:tcPr>
            <w:tcW w:w="0" w:type="dxa"/>
            <w:vAlign w:val="bottom"/>
          </w:tcPr>
          <w:p>
            <w:pPr>
              <w:spacing w:after="0"/>
              <w:rPr>
                <w:sz w:val="1"/>
                <w:szCs w:val="1"/>
                <w:color w:val="auto"/>
              </w:rPr>
            </w:pPr>
          </w:p>
        </w:tc>
      </w:tr>
      <w:tr>
        <w:trPr>
          <w:trHeight w:val="162"/>
        </w:trPr>
        <w:tc>
          <w:tcPr>
            <w:tcW w:w="4980" w:type="dxa"/>
            <w:vAlign w:val="bottom"/>
          </w:tcPr>
          <w:p>
            <w:pPr>
              <w:jc w:val="center"/>
              <w:ind w:right="1701"/>
              <w:spacing w:after="0"/>
              <w:rPr>
                <w:sz w:val="20"/>
                <w:szCs w:val="20"/>
                <w:color w:val="auto"/>
              </w:rPr>
            </w:pPr>
            <w:r>
              <w:rPr>
                <w:rFonts w:ascii="Arial" w:cs="Arial" w:eastAsia="Arial" w:hAnsi="Arial"/>
                <w:sz w:val="14"/>
                <w:szCs w:val="14"/>
                <w:color w:val="auto"/>
              </w:rPr>
              <w:t>(State or other jurisdiction of</w:t>
            </w:r>
          </w:p>
        </w:tc>
        <w:tc>
          <w:tcPr>
            <w:tcW w:w="2920" w:type="dxa"/>
            <w:vAlign w:val="bottom"/>
          </w:tcPr>
          <w:p>
            <w:pPr>
              <w:jc w:val="center"/>
              <w:ind w:left="1701"/>
              <w:spacing w:after="0"/>
              <w:rPr>
                <w:sz w:val="20"/>
                <w:szCs w:val="20"/>
                <w:color w:val="auto"/>
              </w:rPr>
            </w:pPr>
            <w:r>
              <w:rPr>
                <w:rFonts w:ascii="Arial" w:cs="Arial" w:eastAsia="Arial" w:hAnsi="Arial"/>
                <w:sz w:val="14"/>
                <w:szCs w:val="14"/>
                <w:color w:val="auto"/>
              </w:rPr>
              <w:t>(IRS Employer</w:t>
            </w:r>
          </w:p>
        </w:tc>
        <w:tc>
          <w:tcPr>
            <w:tcW w:w="0" w:type="dxa"/>
            <w:vAlign w:val="bottom"/>
          </w:tcPr>
          <w:p>
            <w:pPr>
              <w:spacing w:after="0"/>
              <w:rPr>
                <w:sz w:val="1"/>
                <w:szCs w:val="1"/>
                <w:color w:val="auto"/>
              </w:rPr>
            </w:pPr>
          </w:p>
        </w:tc>
      </w:tr>
      <w:tr>
        <w:trPr>
          <w:trHeight w:val="190"/>
        </w:trPr>
        <w:tc>
          <w:tcPr>
            <w:tcW w:w="4980" w:type="dxa"/>
            <w:vAlign w:val="bottom"/>
          </w:tcPr>
          <w:p>
            <w:pPr>
              <w:jc w:val="center"/>
              <w:ind w:right="1701"/>
              <w:spacing w:after="0"/>
              <w:rPr>
                <w:sz w:val="20"/>
                <w:szCs w:val="20"/>
                <w:color w:val="auto"/>
              </w:rPr>
            </w:pPr>
            <w:r>
              <w:rPr>
                <w:rFonts w:ascii="Arial" w:cs="Arial" w:eastAsia="Arial" w:hAnsi="Arial"/>
                <w:sz w:val="14"/>
                <w:szCs w:val="14"/>
                <w:color w:val="auto"/>
              </w:rPr>
              <w:t>incorporation or organization)</w:t>
            </w:r>
          </w:p>
        </w:tc>
        <w:tc>
          <w:tcPr>
            <w:tcW w:w="2920" w:type="dxa"/>
            <w:vAlign w:val="bottom"/>
          </w:tcPr>
          <w:p>
            <w:pPr>
              <w:jc w:val="center"/>
              <w:ind w:left="1721"/>
              <w:spacing w:after="0"/>
              <w:rPr>
                <w:sz w:val="20"/>
                <w:szCs w:val="20"/>
                <w:color w:val="auto"/>
              </w:rPr>
            </w:pPr>
            <w:r>
              <w:rPr>
                <w:rFonts w:ascii="Arial" w:cs="Arial" w:eastAsia="Arial" w:hAnsi="Arial"/>
                <w:sz w:val="14"/>
                <w:szCs w:val="14"/>
                <w:color w:val="auto"/>
              </w:rPr>
              <w:t>Identification No.)</w:t>
            </w:r>
          </w:p>
        </w:tc>
        <w:tc>
          <w:tcPr>
            <w:tcW w:w="0" w:type="dxa"/>
            <w:vAlign w:val="bottom"/>
          </w:tcPr>
          <w:p>
            <w:pPr>
              <w:spacing w:after="0"/>
              <w:rPr>
                <w:sz w:val="1"/>
                <w:szCs w:val="1"/>
                <w:color w:val="auto"/>
              </w:rPr>
            </w:pPr>
          </w:p>
        </w:tc>
      </w:tr>
      <w:tr>
        <w:trPr>
          <w:trHeight w:val="304"/>
        </w:trPr>
        <w:tc>
          <w:tcPr>
            <w:tcW w:w="4980" w:type="dxa"/>
            <w:vAlign w:val="bottom"/>
          </w:tcPr>
          <w:p>
            <w:pPr>
              <w:jc w:val="center"/>
              <w:ind w:right="1701"/>
              <w:spacing w:after="0"/>
              <w:rPr>
                <w:sz w:val="20"/>
                <w:szCs w:val="20"/>
                <w:color w:val="auto"/>
              </w:rPr>
            </w:pPr>
            <w:r>
              <w:rPr>
                <w:rFonts w:ascii="Arial" w:cs="Arial" w:eastAsia="Arial" w:hAnsi="Arial"/>
                <w:sz w:val="16"/>
                <w:szCs w:val="16"/>
                <w:b w:val="1"/>
                <w:bCs w:val="1"/>
                <w:color w:val="auto"/>
              </w:rPr>
              <w:t>42 rue Saint-Dominique</w:t>
            </w: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980" w:type="dxa"/>
            <w:vAlign w:val="bottom"/>
          </w:tcPr>
          <w:p>
            <w:pPr>
              <w:jc w:val="center"/>
              <w:ind w:right="1681"/>
              <w:spacing w:after="0"/>
              <w:rPr>
                <w:sz w:val="20"/>
                <w:szCs w:val="20"/>
                <w:color w:val="auto"/>
              </w:rPr>
            </w:pPr>
            <w:r>
              <w:rPr>
                <w:rFonts w:ascii="Arial" w:cs="Arial" w:eastAsia="Arial" w:hAnsi="Arial"/>
                <w:sz w:val="16"/>
                <w:szCs w:val="16"/>
                <w:b w:val="1"/>
                <w:bCs w:val="1"/>
                <w:color w:val="auto"/>
              </w:rPr>
              <w:t>Paris, France</w:t>
            </w:r>
          </w:p>
        </w:tc>
        <w:tc>
          <w:tcPr>
            <w:tcW w:w="2920" w:type="dxa"/>
            <w:vAlign w:val="bottom"/>
          </w:tcPr>
          <w:p>
            <w:pPr>
              <w:jc w:val="center"/>
              <w:ind w:left="1701"/>
              <w:spacing w:after="0"/>
              <w:rPr>
                <w:sz w:val="20"/>
                <w:szCs w:val="20"/>
                <w:color w:val="auto"/>
              </w:rPr>
            </w:pPr>
            <w:r>
              <w:rPr>
                <w:rFonts w:ascii="Arial" w:cs="Arial" w:eastAsia="Arial" w:hAnsi="Arial"/>
                <w:sz w:val="16"/>
                <w:szCs w:val="16"/>
                <w:b w:val="1"/>
                <w:bCs w:val="1"/>
                <w:color w:val="auto"/>
              </w:rPr>
              <w:t>75007</w:t>
            </w:r>
          </w:p>
        </w:tc>
        <w:tc>
          <w:tcPr>
            <w:tcW w:w="0" w:type="dxa"/>
            <w:vAlign w:val="bottom"/>
          </w:tcPr>
          <w:p>
            <w:pPr>
              <w:spacing w:after="0"/>
              <w:rPr>
                <w:sz w:val="1"/>
                <w:szCs w:val="1"/>
                <w:color w:val="auto"/>
              </w:rPr>
            </w:pPr>
          </w:p>
        </w:tc>
      </w:tr>
      <w:tr>
        <w:trPr>
          <w:trHeight w:val="304"/>
        </w:trPr>
        <w:tc>
          <w:tcPr>
            <w:tcW w:w="4980" w:type="dxa"/>
            <w:vAlign w:val="bottom"/>
          </w:tcPr>
          <w:p>
            <w:pPr>
              <w:jc w:val="center"/>
              <w:ind w:right="1701"/>
              <w:spacing w:after="0"/>
              <w:rPr>
                <w:sz w:val="20"/>
                <w:szCs w:val="20"/>
                <w:color w:val="auto"/>
              </w:rPr>
            </w:pPr>
            <w:r>
              <w:rPr>
                <w:rFonts w:ascii="Arial" w:cs="Arial" w:eastAsia="Arial" w:hAnsi="Arial"/>
                <w:sz w:val="16"/>
                <w:szCs w:val="16"/>
                <w:b w:val="1"/>
                <w:bCs w:val="1"/>
                <w:color w:val="auto"/>
                <w:w w:val="99"/>
              </w:rPr>
              <w:t>5599 San Felipe</w:t>
            </w: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980" w:type="dxa"/>
            <w:vAlign w:val="bottom"/>
          </w:tcPr>
          <w:p>
            <w:pPr>
              <w:jc w:val="center"/>
              <w:ind w:right="1701"/>
              <w:spacing w:after="0"/>
              <w:rPr>
                <w:sz w:val="20"/>
                <w:szCs w:val="20"/>
                <w:color w:val="auto"/>
              </w:rPr>
            </w:pPr>
            <w:r>
              <w:rPr>
                <w:rFonts w:ascii="Arial" w:cs="Arial" w:eastAsia="Arial" w:hAnsi="Arial"/>
                <w:sz w:val="16"/>
                <w:szCs w:val="16"/>
                <w:b w:val="1"/>
                <w:bCs w:val="1"/>
                <w:color w:val="auto"/>
              </w:rPr>
              <w:t>Houston, Texas, United States of America</w:t>
            </w:r>
          </w:p>
        </w:tc>
        <w:tc>
          <w:tcPr>
            <w:tcW w:w="2920" w:type="dxa"/>
            <w:vAlign w:val="bottom"/>
          </w:tcPr>
          <w:p>
            <w:pPr>
              <w:jc w:val="center"/>
              <w:ind w:left="1701"/>
              <w:spacing w:after="0"/>
              <w:rPr>
                <w:sz w:val="20"/>
                <w:szCs w:val="20"/>
                <w:color w:val="auto"/>
              </w:rPr>
            </w:pPr>
            <w:r>
              <w:rPr>
                <w:rFonts w:ascii="Arial" w:cs="Arial" w:eastAsia="Arial" w:hAnsi="Arial"/>
                <w:sz w:val="16"/>
                <w:szCs w:val="16"/>
                <w:b w:val="1"/>
                <w:bCs w:val="1"/>
                <w:color w:val="auto"/>
              </w:rPr>
              <w:t>77056</w:t>
            </w:r>
          </w:p>
        </w:tc>
        <w:tc>
          <w:tcPr>
            <w:tcW w:w="0" w:type="dxa"/>
            <w:vAlign w:val="bottom"/>
          </w:tcPr>
          <w:p>
            <w:pPr>
              <w:spacing w:after="0"/>
              <w:rPr>
                <w:sz w:val="1"/>
                <w:szCs w:val="1"/>
                <w:color w:val="auto"/>
              </w:rPr>
            </w:pPr>
          </w:p>
        </w:tc>
      </w:tr>
      <w:tr>
        <w:trPr>
          <w:trHeight w:val="290"/>
        </w:trPr>
        <w:tc>
          <w:tcPr>
            <w:tcW w:w="4980" w:type="dxa"/>
            <w:vAlign w:val="bottom"/>
          </w:tcPr>
          <w:p>
            <w:pPr>
              <w:jc w:val="center"/>
              <w:ind w:right="1701"/>
              <w:spacing w:after="0"/>
              <w:rPr>
                <w:sz w:val="20"/>
                <w:szCs w:val="20"/>
                <w:color w:val="auto"/>
              </w:rPr>
            </w:pPr>
            <w:r>
              <w:rPr>
                <w:rFonts w:ascii="Arial" w:cs="Arial" w:eastAsia="Arial" w:hAnsi="Arial"/>
                <w:sz w:val="16"/>
                <w:szCs w:val="16"/>
                <w:b w:val="1"/>
                <w:bCs w:val="1"/>
                <w:color w:val="auto"/>
              </w:rPr>
              <w:t>62 Buckingham Gate</w:t>
            </w:r>
          </w:p>
        </w:tc>
        <w:tc>
          <w:tcPr>
            <w:tcW w:w="2920" w:type="dxa"/>
            <w:vAlign w:val="bottom"/>
            <w:vMerge w:val="restart"/>
          </w:tcPr>
          <w:p>
            <w:pPr>
              <w:jc w:val="center"/>
              <w:ind w:left="1701"/>
              <w:spacing w:after="0"/>
              <w:rPr>
                <w:sz w:val="20"/>
                <w:szCs w:val="20"/>
                <w:color w:val="auto"/>
              </w:rPr>
            </w:pPr>
            <w:r>
              <w:rPr>
                <w:rFonts w:ascii="Arial" w:cs="Arial" w:eastAsia="Arial" w:hAnsi="Arial"/>
                <w:sz w:val="18"/>
                <w:szCs w:val="18"/>
                <w:b w:val="1"/>
                <w:bCs w:val="1"/>
                <w:color w:val="auto"/>
              </w:rPr>
              <w:t>SW1E 6AJ</w:t>
            </w:r>
          </w:p>
        </w:tc>
        <w:tc>
          <w:tcPr>
            <w:tcW w:w="0" w:type="dxa"/>
            <w:vAlign w:val="bottom"/>
          </w:tcPr>
          <w:p>
            <w:pPr>
              <w:spacing w:after="0"/>
              <w:rPr>
                <w:sz w:val="1"/>
                <w:szCs w:val="1"/>
                <w:color w:val="auto"/>
              </w:rPr>
            </w:pPr>
          </w:p>
        </w:tc>
      </w:tr>
      <w:tr>
        <w:trPr>
          <w:trHeight w:val="229"/>
        </w:trPr>
        <w:tc>
          <w:tcPr>
            <w:tcW w:w="4980" w:type="dxa"/>
            <w:vAlign w:val="bottom"/>
          </w:tcPr>
          <w:p>
            <w:pPr>
              <w:jc w:val="center"/>
              <w:ind w:right="1701"/>
              <w:spacing w:after="0"/>
              <w:rPr>
                <w:sz w:val="20"/>
                <w:szCs w:val="20"/>
                <w:color w:val="auto"/>
              </w:rPr>
            </w:pPr>
            <w:r>
              <w:rPr>
                <w:rFonts w:ascii="Arial" w:cs="Arial" w:eastAsia="Arial" w:hAnsi="Arial"/>
                <w:sz w:val="16"/>
                <w:szCs w:val="16"/>
                <w:b w:val="1"/>
                <w:bCs w:val="1"/>
                <w:color w:val="auto"/>
              </w:rPr>
              <w:t>London, United Kingdom</w:t>
            </w:r>
          </w:p>
        </w:tc>
        <w:tc>
          <w:tcPr>
            <w:tcW w:w="2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98"/>
        </w:trPr>
        <w:tc>
          <w:tcPr>
            <w:tcW w:w="4980" w:type="dxa"/>
            <w:vAlign w:val="bottom"/>
          </w:tcPr>
          <w:p>
            <w:pPr>
              <w:jc w:val="center"/>
              <w:ind w:right="1681"/>
              <w:spacing w:after="0"/>
              <w:rPr>
                <w:sz w:val="20"/>
                <w:szCs w:val="20"/>
                <w:color w:val="auto"/>
              </w:rPr>
            </w:pPr>
            <w:r>
              <w:rPr>
                <w:rFonts w:ascii="Arial" w:cs="Arial" w:eastAsia="Arial" w:hAnsi="Arial"/>
                <w:sz w:val="16"/>
                <w:szCs w:val="16"/>
                <w:b w:val="1"/>
                <w:bCs w:val="1"/>
                <w:color w:val="auto"/>
              </w:rPr>
              <w:t>Parkstraat 83, The Hague,</w:t>
            </w: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980" w:type="dxa"/>
            <w:vAlign w:val="bottom"/>
          </w:tcPr>
          <w:p>
            <w:pPr>
              <w:jc w:val="center"/>
              <w:ind w:right="1701"/>
              <w:spacing w:after="0"/>
              <w:rPr>
                <w:sz w:val="20"/>
                <w:szCs w:val="20"/>
                <w:color w:val="auto"/>
              </w:rPr>
            </w:pPr>
            <w:r>
              <w:rPr>
                <w:rFonts w:ascii="Arial" w:cs="Arial" w:eastAsia="Arial" w:hAnsi="Arial"/>
                <w:sz w:val="16"/>
                <w:szCs w:val="16"/>
                <w:b w:val="1"/>
                <w:bCs w:val="1"/>
                <w:color w:val="auto"/>
              </w:rPr>
              <w:t>The Netherlands</w:t>
            </w:r>
          </w:p>
        </w:tc>
        <w:tc>
          <w:tcPr>
            <w:tcW w:w="2920" w:type="dxa"/>
            <w:vAlign w:val="bottom"/>
          </w:tcPr>
          <w:p>
            <w:pPr>
              <w:jc w:val="center"/>
              <w:ind w:left="1701"/>
              <w:spacing w:after="0"/>
              <w:rPr>
                <w:sz w:val="20"/>
                <w:szCs w:val="20"/>
                <w:color w:val="auto"/>
              </w:rPr>
            </w:pPr>
            <w:r>
              <w:rPr>
                <w:rFonts w:ascii="Arial" w:cs="Arial" w:eastAsia="Arial" w:hAnsi="Arial"/>
                <w:sz w:val="16"/>
                <w:szCs w:val="16"/>
                <w:b w:val="1"/>
                <w:bCs w:val="1"/>
                <w:color w:val="auto"/>
              </w:rPr>
              <w:t>2514 JG</w:t>
            </w:r>
          </w:p>
        </w:tc>
        <w:tc>
          <w:tcPr>
            <w:tcW w:w="0" w:type="dxa"/>
            <w:vAlign w:val="bottom"/>
          </w:tcPr>
          <w:p>
            <w:pPr>
              <w:spacing w:after="0"/>
              <w:rPr>
                <w:sz w:val="1"/>
                <w:szCs w:val="1"/>
                <w:color w:val="auto"/>
              </w:rPr>
            </w:pPr>
          </w:p>
        </w:tc>
      </w:tr>
      <w:tr>
        <w:trPr>
          <w:trHeight w:val="190"/>
        </w:trPr>
        <w:tc>
          <w:tcPr>
            <w:tcW w:w="4980" w:type="dxa"/>
            <w:vAlign w:val="bottom"/>
          </w:tcPr>
          <w:p>
            <w:pPr>
              <w:jc w:val="center"/>
              <w:ind w:right="1701"/>
              <w:spacing w:after="0"/>
              <w:rPr>
                <w:sz w:val="20"/>
                <w:szCs w:val="20"/>
                <w:color w:val="auto"/>
              </w:rPr>
            </w:pPr>
            <w:r>
              <w:rPr>
                <w:rFonts w:ascii="Arial" w:cs="Arial" w:eastAsia="Arial" w:hAnsi="Arial"/>
                <w:sz w:val="14"/>
                <w:szCs w:val="14"/>
                <w:color w:val="auto"/>
              </w:rPr>
              <w:t>(Addresses of principal executive offices)</w:t>
            </w:r>
          </w:p>
        </w:tc>
        <w:tc>
          <w:tcPr>
            <w:tcW w:w="2920" w:type="dxa"/>
            <w:vAlign w:val="bottom"/>
          </w:tcPr>
          <w:p>
            <w:pPr>
              <w:jc w:val="center"/>
              <w:ind w:left="1701"/>
              <w:spacing w:after="0"/>
              <w:rPr>
                <w:sz w:val="20"/>
                <w:szCs w:val="20"/>
                <w:color w:val="auto"/>
              </w:rPr>
            </w:pPr>
            <w:r>
              <w:rPr>
                <w:rFonts w:ascii="Arial" w:cs="Arial" w:eastAsia="Arial" w:hAnsi="Arial"/>
                <w:sz w:val="14"/>
                <w:szCs w:val="14"/>
                <w:color w:val="auto"/>
              </w:rPr>
              <w:t>(Zip Codes)</w:t>
            </w:r>
          </w:p>
        </w:tc>
        <w:tc>
          <w:tcPr>
            <w:tcW w:w="0" w:type="dxa"/>
            <w:vAlign w:val="bottom"/>
          </w:tcPr>
          <w:p>
            <w:pPr>
              <w:spacing w:after="0"/>
              <w:rPr>
                <w:sz w:val="1"/>
                <w:szCs w:val="1"/>
                <w:color w:val="auto"/>
              </w:rPr>
            </w:pPr>
          </w:p>
        </w:tc>
      </w:tr>
    </w:tbl>
    <w:p>
      <w:pPr>
        <w:spacing w:after="0" w:line="7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 the United States, including area code, is: (713) 513-2000</w:t>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9" w:lineRule="exact"/>
        <w:rPr>
          <w:sz w:val="24"/>
          <w:szCs w:val="24"/>
          <w:color w:val="auto"/>
        </w:rPr>
      </w:pPr>
    </w:p>
    <w:tbl>
      <w:tblPr>
        <w:tblLayout w:type="fixed"/>
        <w:tblInd w:w="760" w:type="dxa"/>
        <w:tblCellMar>
          <w:top w:w="0" w:type="dxa"/>
          <w:left w:w="0" w:type="dxa"/>
          <w:bottom w:w="0" w:type="dxa"/>
          <w:right w:w="0" w:type="dxa"/>
        </w:tblCellMar>
      </w:tblPr>
      <w:tr>
        <w:trPr>
          <w:trHeight w:val="184"/>
        </w:trPr>
        <w:tc>
          <w:tcPr>
            <w:tcW w:w="800" w:type="dxa"/>
            <w:vAlign w:val="bottom"/>
          </w:tcPr>
          <w:p>
            <w:pPr>
              <w:spacing w:after="0"/>
              <w:rPr>
                <w:sz w:val="16"/>
                <w:szCs w:val="16"/>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Title of each class</w:t>
            </w:r>
          </w:p>
        </w:tc>
        <w:tc>
          <w:tcPr>
            <w:tcW w:w="196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Symbol(s)</w:t>
            </w:r>
          </w:p>
        </w:tc>
        <w:tc>
          <w:tcPr>
            <w:tcW w:w="940" w:type="dxa"/>
            <w:vAlign w:val="bottom"/>
          </w:tcPr>
          <w:p>
            <w:pPr>
              <w:spacing w:after="0"/>
              <w:rPr>
                <w:sz w:val="16"/>
                <w:szCs w:val="16"/>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8"/>
        </w:trPr>
        <w:tc>
          <w:tcPr>
            <w:tcW w:w="2200" w:type="dxa"/>
            <w:vAlign w:val="bottom"/>
            <w:gridSpan w:val="2"/>
          </w:tcPr>
          <w:p>
            <w:pPr>
              <w:spacing w:after="0"/>
              <w:rPr>
                <w:sz w:val="20"/>
                <w:szCs w:val="20"/>
                <w:color w:val="auto"/>
              </w:rPr>
            </w:pPr>
            <w:r>
              <w:rPr>
                <w:rFonts w:ascii="Arial" w:cs="Arial" w:eastAsia="Arial" w:hAnsi="Arial"/>
                <w:sz w:val="16"/>
                <w:szCs w:val="16"/>
                <w:color w:val="auto"/>
                <w:w w:val="98"/>
              </w:rPr>
              <w:t>common stock, par value $0.01</w:t>
            </w:r>
          </w:p>
        </w:tc>
        <w:tc>
          <w:tcPr>
            <w:tcW w:w="1960" w:type="dxa"/>
            <w:vAlign w:val="bottom"/>
          </w:tcPr>
          <w:p>
            <w:pPr>
              <w:ind w:left="100"/>
              <w:spacing w:after="0"/>
              <w:rPr>
                <w:sz w:val="20"/>
                <w:szCs w:val="20"/>
                <w:color w:val="auto"/>
              </w:rPr>
            </w:pPr>
            <w:r>
              <w:rPr>
                <w:rFonts w:ascii="Arial" w:cs="Arial" w:eastAsia="Arial" w:hAnsi="Arial"/>
                <w:sz w:val="16"/>
                <w:szCs w:val="16"/>
                <w:color w:val="auto"/>
              </w:rPr>
              <w:t>per share</w:t>
            </w:r>
          </w:p>
        </w:tc>
        <w:tc>
          <w:tcPr>
            <w:tcW w:w="2360" w:type="dxa"/>
            <w:vAlign w:val="bottom"/>
            <w:gridSpan w:val="2"/>
          </w:tcPr>
          <w:p>
            <w:pPr>
              <w:jc w:val="center"/>
              <w:ind w:right="940"/>
              <w:spacing w:after="0"/>
              <w:rPr>
                <w:sz w:val="20"/>
                <w:szCs w:val="20"/>
                <w:color w:val="auto"/>
              </w:rPr>
            </w:pPr>
            <w:r>
              <w:rPr>
                <w:rFonts w:ascii="Arial" w:cs="Arial" w:eastAsia="Arial" w:hAnsi="Arial"/>
                <w:sz w:val="16"/>
                <w:szCs w:val="16"/>
                <w:color w:val="auto"/>
                <w:w w:val="99"/>
              </w:rPr>
              <w:t>SLB</w:t>
            </w:r>
          </w:p>
        </w:tc>
        <w:tc>
          <w:tcPr>
            <w:tcW w:w="342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82" w:lineRule="exact"/>
        <w:rPr>
          <w:sz w:val="24"/>
          <w:szCs w:val="24"/>
          <w:color w:val="auto"/>
        </w:rPr>
      </w:pPr>
    </w:p>
    <w:p>
      <w:pPr>
        <w:jc w:val="both"/>
        <w:ind w:right="440"/>
        <w:spacing w:after="0" w:line="20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4" w:lineRule="exact"/>
        <w:rPr>
          <w:sz w:val="24"/>
          <w:szCs w:val="24"/>
          <w:color w:val="auto"/>
        </w:rPr>
      </w:pPr>
    </w:p>
    <w:p>
      <w:pPr>
        <w:ind w:right="460"/>
        <w:spacing w:after="0" w:line="209"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2" w:lineRule="exact"/>
        <w:rPr>
          <w:sz w:val="24"/>
          <w:szCs w:val="24"/>
          <w:color w:val="auto"/>
        </w:rPr>
      </w:pPr>
    </w:p>
    <w:p>
      <w:pPr>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1"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1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20" w:type="dxa"/>
            <w:vAlign w:val="bottom"/>
          </w:tcPr>
          <w:p>
            <w:pPr>
              <w:ind w:left="140"/>
              <w:spacing w:after="0" w:line="161" w:lineRule="exact"/>
              <w:rPr>
                <w:sz w:val="20"/>
                <w:szCs w:val="20"/>
                <w:color w:val="auto"/>
              </w:rPr>
            </w:pPr>
            <w:r>
              <w:rPr>
                <w:rFonts w:ascii="MS PGothic" w:cs="MS PGothic" w:eastAsia="MS PGothic" w:hAnsi="MS PGothic"/>
                <w:sz w:val="16"/>
                <w:szCs w:val="16"/>
                <w:color w:val="auto"/>
              </w:rPr>
              <w:t>☒</w:t>
            </w:r>
          </w:p>
        </w:tc>
        <w:tc>
          <w:tcPr>
            <w:tcW w:w="528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100" w:type="dxa"/>
            <w:vAlign w:val="bottom"/>
          </w:tcPr>
          <w:p>
            <w:pPr>
              <w:spacing w:after="0"/>
              <w:rPr>
                <w:sz w:val="20"/>
                <w:szCs w:val="20"/>
                <w:color w:val="auto"/>
              </w:rPr>
            </w:pPr>
            <w:r>
              <w:rPr>
                <w:rFonts w:ascii="Arial" w:cs="Arial" w:eastAsia="Arial" w:hAnsi="Arial"/>
                <w:sz w:val="16"/>
                <w:szCs w:val="16"/>
                <w:color w:val="auto"/>
              </w:rPr>
              <w:t>Non-accelerated filer</w:t>
            </w:r>
          </w:p>
        </w:tc>
        <w:tc>
          <w:tcPr>
            <w:tcW w:w="3420" w:type="dxa"/>
            <w:vAlign w:val="bottom"/>
          </w:tcPr>
          <w:p>
            <w:pPr>
              <w:ind w:left="140"/>
              <w:spacing w:after="0" w:line="161" w:lineRule="exact"/>
              <w:rPr>
                <w:sz w:val="20"/>
                <w:szCs w:val="20"/>
                <w:color w:val="auto"/>
              </w:rPr>
            </w:pPr>
            <w:r>
              <w:rPr>
                <w:rFonts w:ascii="MS PGothic" w:cs="MS PGothic" w:eastAsia="MS PGothic" w:hAnsi="MS PGothic"/>
                <w:sz w:val="16"/>
                <w:szCs w:val="16"/>
                <w:color w:val="auto"/>
              </w:rPr>
              <w:t>☐</w:t>
            </w:r>
          </w:p>
        </w:tc>
        <w:tc>
          <w:tcPr>
            <w:tcW w:w="528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1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420" w:type="dxa"/>
            <w:vAlign w:val="bottom"/>
          </w:tcPr>
          <w:p>
            <w:pPr>
              <w:ind w:left="140"/>
              <w:spacing w:after="0" w:line="161" w:lineRule="exact"/>
              <w:rPr>
                <w:sz w:val="20"/>
                <w:szCs w:val="20"/>
                <w:color w:val="auto"/>
              </w:rPr>
            </w:pPr>
            <w:r>
              <w:rPr>
                <w:rFonts w:ascii="MS PGothic" w:cs="MS PGothic" w:eastAsia="MS PGothic" w:hAnsi="MS PGothic"/>
                <w:sz w:val="16"/>
                <w:szCs w:val="16"/>
                <w:color w:val="auto"/>
              </w:rPr>
              <w:t>☐</w:t>
            </w:r>
          </w:p>
        </w:tc>
        <w:tc>
          <w:tcPr>
            <w:tcW w:w="5280" w:type="dxa"/>
            <w:vAlign w:val="bottom"/>
          </w:tcPr>
          <w:p>
            <w:pPr>
              <w:spacing w:after="0"/>
              <w:rPr>
                <w:sz w:val="22"/>
                <w:szCs w:val="22"/>
                <w:color w:val="auto"/>
              </w:rPr>
            </w:pPr>
          </w:p>
        </w:tc>
        <w:tc>
          <w:tcPr>
            <w:tcW w:w="360" w:type="dxa"/>
            <w:vAlign w:val="bottom"/>
          </w:tcPr>
          <w:p>
            <w:pPr>
              <w:spacing w:after="0"/>
              <w:rPr>
                <w:sz w:val="22"/>
                <w:szCs w:val="22"/>
                <w:color w:val="auto"/>
              </w:rPr>
            </w:pPr>
          </w:p>
        </w:tc>
      </w:tr>
    </w:tbl>
    <w:p>
      <w:pPr>
        <w:spacing w:after="0" w:line="109" w:lineRule="exact"/>
        <w:rPr>
          <w:sz w:val="24"/>
          <w:szCs w:val="24"/>
          <w:color w:val="auto"/>
        </w:rPr>
      </w:pPr>
    </w:p>
    <w:p>
      <w:pPr>
        <w:ind w:right="120"/>
        <w:spacing w:after="0" w:line="20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right="1820"/>
        <w:spacing w:after="0" w:line="27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the number of shares outstanding of each of the issuer’s classes of common stock, as of the latest practicable date.</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224"/>
        </w:trPr>
        <w:tc>
          <w:tcPr>
            <w:tcW w:w="3720" w:type="dxa"/>
            <w:vAlign w:val="bottom"/>
          </w:tcPr>
          <w:p>
            <w:pPr>
              <w:spacing w:after="0"/>
              <w:rPr>
                <w:sz w:val="19"/>
                <w:szCs w:val="19"/>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8"/>
              </w:rPr>
              <w:t>Class</w:t>
            </w:r>
          </w:p>
        </w:tc>
        <w:tc>
          <w:tcPr>
            <w:tcW w:w="6740" w:type="dxa"/>
            <w:vAlign w:val="bottom"/>
            <w:gridSpan w:val="2"/>
          </w:tcPr>
          <w:p>
            <w:pPr>
              <w:jc w:val="right"/>
              <w:spacing w:after="0"/>
              <w:rPr>
                <w:sz w:val="20"/>
                <w:szCs w:val="20"/>
                <w:color w:val="auto"/>
              </w:rPr>
            </w:pPr>
            <w:r>
              <w:rPr>
                <w:rFonts w:ascii="Arial" w:cs="Arial" w:eastAsia="Arial" w:hAnsi="Arial"/>
                <w:sz w:val="16"/>
                <w:szCs w:val="16"/>
                <w:b w:val="1"/>
                <w:bCs w:val="1"/>
                <w:color w:val="auto"/>
              </w:rPr>
              <w:t>Outstanding at September 30, 2022</w:t>
            </w:r>
          </w:p>
        </w:tc>
      </w:tr>
      <w:tr>
        <w:trPr>
          <w:trHeight w:val="202"/>
        </w:trPr>
        <w:tc>
          <w:tcPr>
            <w:tcW w:w="4160" w:type="dxa"/>
            <w:vAlign w:val="bottom"/>
            <w:gridSpan w:val="2"/>
          </w:tcPr>
          <w:p>
            <w:pPr>
              <w:spacing w:after="0"/>
              <w:rPr>
                <w:sz w:val="20"/>
                <w:szCs w:val="20"/>
                <w:color w:val="auto"/>
              </w:rPr>
            </w:pPr>
            <w:r>
              <w:rPr>
                <w:rFonts w:ascii="Arial" w:cs="Arial" w:eastAsia="Arial" w:hAnsi="Arial"/>
                <w:sz w:val="16"/>
                <w:szCs w:val="16"/>
                <w:color w:val="auto"/>
              </w:rPr>
              <w:t>COMMON STOCK, $0.01 PAR VALUE PER SHARE</w:t>
            </w:r>
          </w:p>
        </w:tc>
        <w:tc>
          <w:tcPr>
            <w:tcW w:w="4040" w:type="dxa"/>
            <w:vAlign w:val="bottom"/>
          </w:tcPr>
          <w:p>
            <w:pPr>
              <w:spacing w:after="0"/>
              <w:rPr>
                <w:sz w:val="17"/>
                <w:szCs w:val="17"/>
                <w:color w:val="auto"/>
              </w:rPr>
            </w:pPr>
          </w:p>
        </w:tc>
        <w:tc>
          <w:tcPr>
            <w:tcW w:w="2700" w:type="dxa"/>
            <w:vAlign w:val="bottom"/>
            <w:tcBorders>
              <w:top w:val="single" w:sz="8" w:color="auto"/>
            </w:tcBorders>
          </w:tcPr>
          <w:p>
            <w:pPr>
              <w:jc w:val="right"/>
              <w:ind w:right="779"/>
              <w:spacing w:after="0"/>
              <w:rPr>
                <w:sz w:val="20"/>
                <w:szCs w:val="20"/>
                <w:color w:val="auto"/>
              </w:rPr>
            </w:pPr>
            <w:r>
              <w:rPr>
                <w:rFonts w:ascii="Arial" w:cs="Arial" w:eastAsia="Arial" w:hAnsi="Arial"/>
                <w:sz w:val="16"/>
                <w:szCs w:val="16"/>
                <w:color w:val="auto"/>
              </w:rPr>
              <w:t>1,417,993,775</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1402715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17" w:right="3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Quarter 2022 Form 10-Q</w:t>
      </w:r>
    </w:p>
    <w:p>
      <w:pPr>
        <w:jc w:val="center"/>
        <w:spacing w:after="0"/>
        <w:rPr>
          <w:sz w:val="20"/>
          <w:szCs w:val="20"/>
          <w:color w:val="auto"/>
        </w:rPr>
      </w:pPr>
      <w:r>
        <w:rPr>
          <w:rFonts w:ascii="Arial" w:cs="Arial" w:eastAsia="Arial" w:hAnsi="Arial"/>
          <w:sz w:val="18"/>
          <w:szCs w:val="18"/>
          <w:color w:val="auto"/>
        </w:rPr>
        <w:t>Table of Contents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40" w:type="dxa"/>
            <w:vAlign w:val="bottom"/>
            <w:vMerge w:val="restart"/>
          </w:tcPr>
          <w:p>
            <w:pPr>
              <w:spacing w:after="0"/>
              <w:rPr>
                <w:sz w:val="20"/>
                <w:szCs w:val="20"/>
                <w:color w:val="auto"/>
              </w:rPr>
            </w:pPr>
            <w:r>
              <w:rPr>
                <w:rFonts w:ascii="Arial" w:cs="Arial" w:eastAsia="Arial" w:hAnsi="Arial"/>
                <w:sz w:val="16"/>
                <w:szCs w:val="16"/>
                <w:b w:val="1"/>
                <w:bCs w:val="1"/>
                <w:color w:val="auto"/>
              </w:rPr>
              <w:t>PART I</w:t>
            </w:r>
          </w:p>
        </w:tc>
        <w:tc>
          <w:tcPr>
            <w:tcW w:w="9600" w:type="dxa"/>
            <w:vAlign w:val="bottom"/>
            <w:gridSpan w:val="12"/>
            <w:vMerge w:val="restart"/>
          </w:tcPr>
          <w:p>
            <w:pPr>
              <w:spacing w:after="0"/>
              <w:rPr>
                <w:sz w:val="20"/>
                <w:szCs w:val="20"/>
                <w:color w:val="auto"/>
              </w:rPr>
            </w:pPr>
            <w:r>
              <w:rPr>
                <w:rFonts w:ascii="Arial" w:cs="Arial" w:eastAsia="Arial" w:hAnsi="Arial"/>
                <w:sz w:val="16"/>
                <w:szCs w:val="16"/>
                <w:b w:val="1"/>
                <w:bCs w:val="1"/>
                <w:color w:val="auto"/>
              </w:rPr>
              <w:t>Financial Information</w:t>
            </w: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02"/>
        </w:trPr>
        <w:tc>
          <w:tcPr>
            <w:tcW w:w="1040" w:type="dxa"/>
            <w:vAlign w:val="bottom"/>
            <w:vMerge w:val="continue"/>
          </w:tcPr>
          <w:p>
            <w:pPr>
              <w:spacing w:after="0"/>
              <w:rPr>
                <w:sz w:val="17"/>
                <w:szCs w:val="17"/>
                <w:color w:val="auto"/>
              </w:rPr>
            </w:pPr>
          </w:p>
        </w:tc>
        <w:tc>
          <w:tcPr>
            <w:tcW w:w="9600" w:type="dxa"/>
            <w:vAlign w:val="bottom"/>
            <w:gridSpan w:val="12"/>
            <w:vMerge w:val="continue"/>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040" w:type="dxa"/>
            <w:vAlign w:val="bottom"/>
          </w:tcPr>
          <w:p>
            <w:pPr>
              <w:spacing w:after="0"/>
              <w:rPr>
                <w:sz w:val="20"/>
                <w:szCs w:val="20"/>
                <w:color w:val="auto"/>
              </w:rPr>
            </w:pPr>
            <w:r>
              <w:rPr>
                <w:rFonts w:ascii="Arial" w:cs="Arial" w:eastAsia="Arial" w:hAnsi="Arial"/>
                <w:sz w:val="16"/>
                <w:szCs w:val="16"/>
                <w:b w:val="1"/>
                <w:bCs w:val="1"/>
                <w:color w:val="auto"/>
              </w:rPr>
              <w:t>Item 1.</w:t>
            </w:r>
          </w:p>
        </w:tc>
        <w:tc>
          <w:tcPr>
            <w:tcW w:w="9600" w:type="dxa"/>
            <w:vAlign w:val="bottom"/>
            <w:gridSpan w:val="12"/>
          </w:tcPr>
          <w:p>
            <w:pPr>
              <w:spacing w:after="0"/>
              <w:rPr>
                <w:sz w:val="20"/>
                <w:szCs w:val="20"/>
                <w:color w:val="auto"/>
              </w:rPr>
            </w:pPr>
            <w:r>
              <w:rPr>
                <w:rFonts w:ascii="Arial" w:cs="Arial" w:eastAsia="Arial" w:hAnsi="Arial"/>
                <w:sz w:val="16"/>
                <w:szCs w:val="16"/>
                <w:color w:val="0000EE"/>
              </w:rPr>
              <w:t>Financial Statements</w:t>
            </w:r>
          </w:p>
        </w:tc>
        <w:tc>
          <w:tcPr>
            <w:tcW w:w="6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040" w:type="dxa"/>
            <w:vAlign w:val="bottom"/>
          </w:tcPr>
          <w:p>
            <w:pPr>
              <w:spacing w:after="0"/>
              <w:rPr>
                <w:sz w:val="20"/>
                <w:szCs w:val="20"/>
                <w:color w:val="auto"/>
              </w:rPr>
            </w:pPr>
            <w:r>
              <w:rPr>
                <w:rFonts w:ascii="Arial" w:cs="Arial" w:eastAsia="Arial" w:hAnsi="Arial"/>
                <w:sz w:val="16"/>
                <w:szCs w:val="16"/>
                <w:b w:val="1"/>
                <w:bCs w:val="1"/>
                <w:color w:val="auto"/>
              </w:rPr>
              <w:t>Item 2.</w:t>
            </w:r>
          </w:p>
        </w:tc>
        <w:tc>
          <w:tcPr>
            <w:tcW w:w="9600" w:type="dxa"/>
            <w:vAlign w:val="bottom"/>
            <w:gridSpan w:val="12"/>
          </w:tcPr>
          <w:p>
            <w:pPr>
              <w:spacing w:after="0"/>
              <w:rPr>
                <w:sz w:val="20"/>
                <w:szCs w:val="20"/>
                <w:color w:val="auto"/>
              </w:rPr>
            </w:pPr>
            <w:r>
              <w:rPr>
                <w:rFonts w:ascii="Arial" w:cs="Arial" w:eastAsia="Arial" w:hAnsi="Arial"/>
                <w:sz w:val="16"/>
                <w:szCs w:val="16"/>
                <w:color w:val="0000EE"/>
              </w:rPr>
              <w:t>Management’s Discussion and Analysis of Financial Condition and Results of Operations</w:t>
            </w:r>
          </w:p>
        </w:tc>
        <w:tc>
          <w:tcPr>
            <w:tcW w:w="60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98"/>
        </w:trPr>
        <w:tc>
          <w:tcPr>
            <w:tcW w:w="1040" w:type="dxa"/>
            <w:vAlign w:val="bottom"/>
          </w:tcPr>
          <w:p>
            <w:pPr>
              <w:spacing w:after="0"/>
              <w:rPr>
                <w:sz w:val="20"/>
                <w:szCs w:val="20"/>
                <w:color w:val="auto"/>
              </w:rPr>
            </w:pPr>
            <w:r>
              <w:rPr>
                <w:rFonts w:ascii="Arial" w:cs="Arial" w:eastAsia="Arial" w:hAnsi="Arial"/>
                <w:sz w:val="16"/>
                <w:szCs w:val="16"/>
                <w:b w:val="1"/>
                <w:bCs w:val="1"/>
                <w:color w:val="auto"/>
              </w:rPr>
              <w:t>Item 3.</w:t>
            </w:r>
          </w:p>
        </w:tc>
        <w:tc>
          <w:tcPr>
            <w:tcW w:w="4220" w:type="dxa"/>
            <w:vAlign w:val="bottom"/>
            <w:tcBorders>
              <w:top w:val="single" w:sz="8" w:color="0000EE"/>
              <w:bottom w:val="single" w:sz="8" w:color="0000EE"/>
            </w:tcBorders>
            <w:gridSpan w:val="9"/>
          </w:tcPr>
          <w:p>
            <w:pPr>
              <w:spacing w:after="0"/>
              <w:rPr>
                <w:sz w:val="20"/>
                <w:szCs w:val="20"/>
                <w:color w:val="auto"/>
              </w:rPr>
            </w:pPr>
            <w:r>
              <w:rPr>
                <w:rFonts w:ascii="Arial" w:cs="Arial" w:eastAsia="Arial" w:hAnsi="Arial"/>
                <w:sz w:val="16"/>
                <w:szCs w:val="16"/>
                <w:color w:val="0000EE"/>
              </w:rPr>
              <w:t>Quantitative and Qualitative Disclosures about Market Risk</w:t>
            </w:r>
          </w:p>
        </w:tc>
        <w:tc>
          <w:tcPr>
            <w:tcW w:w="2140" w:type="dxa"/>
            <w:vAlign w:val="bottom"/>
            <w:tcBorders>
              <w:top w:val="single" w:sz="8" w:color="0000EE"/>
            </w:tcBorders>
            <w:gridSpan w:val="2"/>
          </w:tcPr>
          <w:p>
            <w:pPr>
              <w:spacing w:after="0"/>
              <w:rPr>
                <w:sz w:val="24"/>
                <w:szCs w:val="24"/>
                <w:color w:val="auto"/>
              </w:rPr>
            </w:pPr>
          </w:p>
        </w:tc>
        <w:tc>
          <w:tcPr>
            <w:tcW w:w="3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385"/>
        </w:trPr>
        <w:tc>
          <w:tcPr>
            <w:tcW w:w="1040" w:type="dxa"/>
            <w:vAlign w:val="bottom"/>
          </w:tcPr>
          <w:p>
            <w:pPr>
              <w:spacing w:after="0"/>
              <w:rPr>
                <w:sz w:val="20"/>
                <w:szCs w:val="20"/>
                <w:color w:val="auto"/>
              </w:rPr>
            </w:pPr>
            <w:r>
              <w:rPr>
                <w:rFonts w:ascii="Arial" w:cs="Arial" w:eastAsia="Arial" w:hAnsi="Arial"/>
                <w:sz w:val="16"/>
                <w:szCs w:val="16"/>
                <w:b w:val="1"/>
                <w:bCs w:val="1"/>
                <w:color w:val="auto"/>
              </w:rPr>
              <w:t>Item 4.</w:t>
            </w:r>
          </w:p>
        </w:tc>
        <w:tc>
          <w:tcPr>
            <w:tcW w:w="9600" w:type="dxa"/>
            <w:vAlign w:val="bottom"/>
            <w:gridSpan w:val="12"/>
          </w:tcPr>
          <w:p>
            <w:pPr>
              <w:spacing w:after="0"/>
              <w:rPr>
                <w:sz w:val="20"/>
                <w:szCs w:val="20"/>
                <w:color w:val="auto"/>
              </w:rPr>
            </w:pPr>
            <w:r>
              <w:rPr>
                <w:rFonts w:ascii="Arial" w:cs="Arial" w:eastAsia="Arial" w:hAnsi="Arial"/>
                <w:sz w:val="16"/>
                <w:szCs w:val="16"/>
                <w:color w:val="0000EE"/>
              </w:rPr>
              <w:t>Controls and Procedures</w:t>
            </w:r>
          </w:p>
        </w:tc>
        <w:tc>
          <w:tcPr>
            <w:tcW w:w="60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0"/>
                <w:szCs w:val="20"/>
                <w:color w:val="auto"/>
              </w:rPr>
            </w:pPr>
            <w:r>
              <w:rPr>
                <w:rFonts w:ascii="Arial" w:cs="Arial" w:eastAsia="Arial" w:hAnsi="Arial"/>
                <w:sz w:val="16"/>
                <w:szCs w:val="16"/>
                <w:b w:val="1"/>
                <w:bCs w:val="1"/>
                <w:color w:val="auto"/>
              </w:rPr>
              <w:t>PART II</w:t>
            </w:r>
          </w:p>
        </w:tc>
        <w:tc>
          <w:tcPr>
            <w:tcW w:w="1780" w:type="dxa"/>
            <w:vAlign w:val="bottom"/>
            <w:tcBorders>
              <w:top w:val="single" w:sz="8" w:color="0000EE"/>
            </w:tcBorders>
            <w:gridSpan w:val="7"/>
          </w:tcPr>
          <w:p>
            <w:pPr>
              <w:spacing w:after="0"/>
              <w:rPr>
                <w:sz w:val="20"/>
                <w:szCs w:val="20"/>
                <w:color w:val="auto"/>
              </w:rPr>
            </w:pPr>
            <w:r>
              <w:rPr>
                <w:rFonts w:ascii="Arial" w:cs="Arial" w:eastAsia="Arial" w:hAnsi="Arial"/>
                <w:sz w:val="16"/>
                <w:szCs w:val="16"/>
                <w:b w:val="1"/>
                <w:bCs w:val="1"/>
                <w:color w:val="auto"/>
              </w:rPr>
              <w:t>Other Information</w:t>
            </w:r>
          </w:p>
        </w:tc>
        <w:tc>
          <w:tcPr>
            <w:tcW w:w="7820" w:type="dxa"/>
            <w:vAlign w:val="bottom"/>
            <w:gridSpan w:val="5"/>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6"/>
                <w:szCs w:val="16"/>
                <w:b w:val="1"/>
                <w:bCs w:val="1"/>
                <w:color w:val="auto"/>
              </w:rPr>
              <w:t>Item 1.</w:t>
            </w:r>
          </w:p>
        </w:tc>
        <w:tc>
          <w:tcPr>
            <w:tcW w:w="134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w w:val="99"/>
              </w:rPr>
              <w:t>Legal Proceedings</w:t>
            </w:r>
          </w:p>
        </w:tc>
        <w:tc>
          <w:tcPr>
            <w:tcW w:w="8260" w:type="dxa"/>
            <w:vAlign w:val="bottom"/>
            <w:gridSpan w:val="8"/>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85"/>
        </w:trPr>
        <w:tc>
          <w:tcPr>
            <w:tcW w:w="1040" w:type="dxa"/>
            <w:vAlign w:val="bottom"/>
          </w:tcPr>
          <w:p>
            <w:pPr>
              <w:spacing w:after="0"/>
              <w:rPr>
                <w:sz w:val="20"/>
                <w:szCs w:val="20"/>
                <w:color w:val="auto"/>
              </w:rPr>
            </w:pPr>
            <w:r>
              <w:rPr>
                <w:rFonts w:ascii="Arial" w:cs="Arial" w:eastAsia="Arial" w:hAnsi="Arial"/>
                <w:sz w:val="16"/>
                <w:szCs w:val="16"/>
                <w:b w:val="1"/>
                <w:bCs w:val="1"/>
                <w:color w:val="auto"/>
              </w:rPr>
              <w:t>Item 1A.</w:t>
            </w:r>
          </w:p>
        </w:tc>
        <w:tc>
          <w:tcPr>
            <w:tcW w:w="90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8"/>
              </w:rPr>
              <w:t>Risk Factors</w:t>
            </w:r>
          </w:p>
        </w:tc>
        <w:tc>
          <w:tcPr>
            <w:tcW w:w="8700" w:type="dxa"/>
            <w:vAlign w:val="bottom"/>
            <w:gridSpan w:val="10"/>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85"/>
        </w:trPr>
        <w:tc>
          <w:tcPr>
            <w:tcW w:w="1040" w:type="dxa"/>
            <w:vAlign w:val="bottom"/>
          </w:tcPr>
          <w:p>
            <w:pPr>
              <w:spacing w:after="0"/>
              <w:rPr>
                <w:sz w:val="20"/>
                <w:szCs w:val="20"/>
                <w:color w:val="auto"/>
              </w:rPr>
            </w:pPr>
            <w:r>
              <w:rPr>
                <w:rFonts w:ascii="Arial" w:cs="Arial" w:eastAsia="Arial" w:hAnsi="Arial"/>
                <w:sz w:val="16"/>
                <w:szCs w:val="16"/>
                <w:b w:val="1"/>
                <w:bCs w:val="1"/>
                <w:color w:val="auto"/>
              </w:rPr>
              <w:t>Item 2.</w:t>
            </w:r>
          </w:p>
        </w:tc>
        <w:tc>
          <w:tcPr>
            <w:tcW w:w="9600" w:type="dxa"/>
            <w:vAlign w:val="bottom"/>
            <w:gridSpan w:val="12"/>
          </w:tcPr>
          <w:p>
            <w:pPr>
              <w:spacing w:after="0"/>
              <w:rPr>
                <w:sz w:val="20"/>
                <w:szCs w:val="20"/>
                <w:color w:val="auto"/>
              </w:rPr>
            </w:pPr>
            <w:r>
              <w:rPr>
                <w:rFonts w:ascii="Arial" w:cs="Arial" w:eastAsia="Arial" w:hAnsi="Arial"/>
                <w:sz w:val="16"/>
                <w:szCs w:val="16"/>
                <w:color w:val="0000EE"/>
              </w:rPr>
              <w:t>Unregistered Sales of Equity Securities and Use of Proceeds</w:t>
            </w:r>
          </w:p>
        </w:tc>
        <w:tc>
          <w:tcPr>
            <w:tcW w:w="60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85"/>
        </w:trPr>
        <w:tc>
          <w:tcPr>
            <w:tcW w:w="1040" w:type="dxa"/>
            <w:vAlign w:val="bottom"/>
          </w:tcPr>
          <w:p>
            <w:pPr>
              <w:spacing w:after="0"/>
              <w:rPr>
                <w:sz w:val="20"/>
                <w:szCs w:val="20"/>
                <w:color w:val="auto"/>
              </w:rPr>
            </w:pPr>
            <w:r>
              <w:rPr>
                <w:rFonts w:ascii="Arial" w:cs="Arial" w:eastAsia="Arial" w:hAnsi="Arial"/>
                <w:sz w:val="16"/>
                <w:szCs w:val="16"/>
                <w:b w:val="1"/>
                <w:bCs w:val="1"/>
                <w:color w:val="auto"/>
              </w:rPr>
              <w:t>Item 3.</w:t>
            </w:r>
          </w:p>
        </w:tc>
        <w:tc>
          <w:tcPr>
            <w:tcW w:w="2300" w:type="dxa"/>
            <w:vAlign w:val="bottom"/>
            <w:tcBorders>
              <w:top w:val="single" w:sz="8" w:color="0000EE"/>
              <w:bottom w:val="single" w:sz="8" w:color="0000EE"/>
            </w:tcBorders>
            <w:gridSpan w:val="8"/>
          </w:tcPr>
          <w:p>
            <w:pPr>
              <w:spacing w:after="0"/>
              <w:rPr>
                <w:sz w:val="20"/>
                <w:szCs w:val="20"/>
                <w:color w:val="auto"/>
              </w:rPr>
            </w:pPr>
            <w:r>
              <w:rPr>
                <w:rFonts w:ascii="Arial" w:cs="Arial" w:eastAsia="Arial" w:hAnsi="Arial"/>
                <w:sz w:val="16"/>
                <w:szCs w:val="16"/>
                <w:color w:val="0000EE"/>
              </w:rPr>
              <w:t>Defaults Upon Senior Securities</w:t>
            </w:r>
          </w:p>
        </w:tc>
        <w:tc>
          <w:tcPr>
            <w:tcW w:w="2060" w:type="dxa"/>
            <w:vAlign w:val="bottom"/>
            <w:tcBorders>
              <w:top w:val="single" w:sz="8" w:color="0000EE"/>
            </w:tcBorders>
            <w:gridSpan w:val="2"/>
          </w:tcPr>
          <w:p>
            <w:pPr>
              <w:spacing w:after="0"/>
              <w:rPr>
                <w:sz w:val="24"/>
                <w:szCs w:val="24"/>
                <w:color w:val="auto"/>
              </w:rPr>
            </w:pPr>
          </w:p>
        </w:tc>
        <w:tc>
          <w:tcPr>
            <w:tcW w:w="5240" w:type="dxa"/>
            <w:vAlign w:val="bottom"/>
            <w:gridSpan w:val="2"/>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71"/>
        </w:trPr>
        <w:tc>
          <w:tcPr>
            <w:tcW w:w="1040" w:type="dxa"/>
            <w:vAlign w:val="bottom"/>
          </w:tcPr>
          <w:p>
            <w:pPr>
              <w:spacing w:after="0"/>
              <w:rPr>
                <w:sz w:val="20"/>
                <w:szCs w:val="20"/>
                <w:color w:val="auto"/>
              </w:rPr>
            </w:pPr>
            <w:r>
              <w:rPr>
                <w:rFonts w:ascii="Arial" w:cs="Arial" w:eastAsia="Arial" w:hAnsi="Arial"/>
                <w:sz w:val="16"/>
                <w:szCs w:val="16"/>
                <w:b w:val="1"/>
                <w:bCs w:val="1"/>
                <w:color w:val="auto"/>
              </w:rPr>
              <w:t>Item 4.</w:t>
            </w:r>
          </w:p>
        </w:tc>
        <w:tc>
          <w:tcPr>
            <w:tcW w:w="1740" w:type="dxa"/>
            <w:vAlign w:val="bottom"/>
            <w:tcBorders>
              <w:bottom w:val="single" w:sz="8" w:color="0000EE"/>
            </w:tcBorders>
            <w:gridSpan w:val="6"/>
          </w:tcPr>
          <w:p>
            <w:pPr>
              <w:spacing w:after="0"/>
              <w:rPr>
                <w:sz w:val="20"/>
                <w:szCs w:val="20"/>
                <w:color w:val="auto"/>
              </w:rPr>
            </w:pPr>
            <w:r>
              <w:rPr>
                <w:rFonts w:ascii="Arial" w:cs="Arial" w:eastAsia="Arial" w:hAnsi="Arial"/>
                <w:sz w:val="16"/>
                <w:szCs w:val="16"/>
                <w:color w:val="0000EE"/>
              </w:rPr>
              <w:t>Mine Safety Disclosures</w:t>
            </w:r>
          </w:p>
        </w:tc>
        <w:tc>
          <w:tcPr>
            <w:tcW w:w="7860" w:type="dxa"/>
            <w:vAlign w:val="bottom"/>
            <w:gridSpan w:val="6"/>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85"/>
        </w:trPr>
        <w:tc>
          <w:tcPr>
            <w:tcW w:w="1040" w:type="dxa"/>
            <w:vAlign w:val="bottom"/>
          </w:tcPr>
          <w:p>
            <w:pPr>
              <w:spacing w:after="0"/>
              <w:rPr>
                <w:sz w:val="20"/>
                <w:szCs w:val="20"/>
                <w:color w:val="auto"/>
              </w:rPr>
            </w:pPr>
            <w:r>
              <w:rPr>
                <w:rFonts w:ascii="Arial" w:cs="Arial" w:eastAsia="Arial" w:hAnsi="Arial"/>
                <w:sz w:val="16"/>
                <w:szCs w:val="16"/>
                <w:b w:val="1"/>
                <w:bCs w:val="1"/>
                <w:color w:val="auto"/>
              </w:rPr>
              <w:t>Item 5.</w:t>
            </w:r>
          </w:p>
        </w:tc>
        <w:tc>
          <w:tcPr>
            <w:tcW w:w="126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color w:val="0000EE"/>
                <w:w w:val="99"/>
              </w:rPr>
              <w:t>Other Information</w:t>
            </w:r>
          </w:p>
        </w:tc>
        <w:tc>
          <w:tcPr>
            <w:tcW w:w="8340" w:type="dxa"/>
            <w:vAlign w:val="bottom"/>
            <w:gridSpan w:val="9"/>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85"/>
        </w:trPr>
        <w:tc>
          <w:tcPr>
            <w:tcW w:w="1040" w:type="dxa"/>
            <w:vAlign w:val="bottom"/>
          </w:tcPr>
          <w:p>
            <w:pPr>
              <w:spacing w:after="0"/>
              <w:rPr>
                <w:sz w:val="20"/>
                <w:szCs w:val="20"/>
                <w:color w:val="auto"/>
              </w:rPr>
            </w:pPr>
            <w:r>
              <w:rPr>
                <w:rFonts w:ascii="Arial" w:cs="Arial" w:eastAsia="Arial" w:hAnsi="Arial"/>
                <w:sz w:val="16"/>
                <w:szCs w:val="16"/>
                <w:b w:val="1"/>
                <w:bCs w:val="1"/>
                <w:color w:val="auto"/>
              </w:rPr>
              <w:t>Item 6.</w:t>
            </w:r>
          </w:p>
        </w:tc>
        <w:tc>
          <w:tcPr>
            <w:tcW w:w="9600" w:type="dxa"/>
            <w:vAlign w:val="bottom"/>
            <w:gridSpan w:val="12"/>
          </w:tcPr>
          <w:p>
            <w:pPr>
              <w:spacing w:after="0"/>
              <w:rPr>
                <w:sz w:val="20"/>
                <w:szCs w:val="20"/>
                <w:color w:val="auto"/>
              </w:rPr>
            </w:pPr>
            <w:r>
              <w:rPr>
                <w:rFonts w:ascii="Arial" w:cs="Arial" w:eastAsia="Arial" w:hAnsi="Arial"/>
                <w:sz w:val="16"/>
                <w:szCs w:val="16"/>
                <w:color w:val="0000EE"/>
              </w:rPr>
              <w:t>Exhibits</w:t>
            </w:r>
          </w:p>
        </w:tc>
        <w:tc>
          <w:tcPr>
            <w:tcW w:w="60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12"/>
        </w:trPr>
        <w:tc>
          <w:tcPr>
            <w:tcW w:w="1040" w:type="dxa"/>
            <w:vAlign w:val="bottom"/>
            <w:tcBorders>
              <w:bottom w:val="single" w:sz="8" w:color="9A9A9A"/>
            </w:tcBorders>
          </w:tcPr>
          <w:p>
            <w:pPr>
              <w:spacing w:after="0"/>
              <w:rPr>
                <w:sz w:val="24"/>
                <w:szCs w:val="24"/>
                <w:color w:val="auto"/>
              </w:rPr>
            </w:pPr>
          </w:p>
        </w:tc>
        <w:tc>
          <w:tcPr>
            <w:tcW w:w="560" w:type="dxa"/>
            <w:vAlign w:val="bottom"/>
            <w:tcBorders>
              <w:top w:val="single" w:sz="8" w:color="0000EE"/>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u w:val="single" w:color="auto"/>
          <w:color w:val="auto"/>
        </w:rPr>
        <w:t>PART I. FINANCIAL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1. Financial Statements.</w:t>
      </w:r>
    </w:p>
    <w:p>
      <w:pPr>
        <w:spacing w:after="0" w:line="208" w:lineRule="exact"/>
        <w:rPr>
          <w:sz w:val="20"/>
          <w:szCs w:val="20"/>
          <w:color w:val="auto"/>
        </w:rPr>
      </w:pPr>
    </w:p>
    <w:p>
      <w:pPr>
        <w:ind w:left="3780"/>
        <w:spacing w:after="0"/>
        <w:rPr>
          <w:sz w:val="20"/>
          <w:szCs w:val="20"/>
          <w:color w:val="auto"/>
        </w:rPr>
      </w:pPr>
      <w:r>
        <w:rPr>
          <w:rFonts w:ascii="Arial" w:cs="Arial" w:eastAsia="Arial" w:hAnsi="Arial"/>
          <w:sz w:val="16"/>
          <w:szCs w:val="16"/>
          <w:b w:val="1"/>
          <w:bCs w:val="1"/>
          <w:u w:val="single" w:color="auto"/>
          <w:color w:val="auto"/>
        </w:rPr>
        <w:t>SCHLUMBERGER LIMITED AND SUBSIDIARIES</w:t>
      </w:r>
    </w:p>
    <w:p>
      <w:pPr>
        <w:spacing w:after="0" w:line="113" w:lineRule="exact"/>
        <w:rPr>
          <w:sz w:val="20"/>
          <w:szCs w:val="20"/>
          <w:color w:val="auto"/>
        </w:rPr>
      </w:pPr>
    </w:p>
    <w:p>
      <w:pPr>
        <w:ind w:left="4000"/>
        <w:spacing w:after="0"/>
        <w:rPr>
          <w:sz w:val="20"/>
          <w:szCs w:val="20"/>
          <w:color w:val="auto"/>
        </w:rPr>
      </w:pPr>
      <w:r>
        <w:rPr>
          <w:rFonts w:ascii="Arial" w:cs="Arial" w:eastAsia="Arial" w:hAnsi="Arial"/>
          <w:sz w:val="16"/>
          <w:szCs w:val="16"/>
          <w:b w:val="1"/>
          <w:bCs w:val="1"/>
          <w:u w:val="single" w:color="auto"/>
          <w:color w:val="auto"/>
        </w:rPr>
        <w:t>CONSOLIDATED STATEMENT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40" w:type="dxa"/>
            <w:vAlign w:val="bottom"/>
            <w:gridSpan w:val="8"/>
          </w:tcPr>
          <w:p>
            <w:pPr>
              <w:ind w:left="800"/>
              <w:spacing w:after="0"/>
              <w:rPr>
                <w:sz w:val="20"/>
                <w:szCs w:val="20"/>
                <w:color w:val="auto"/>
              </w:rPr>
            </w:pPr>
            <w:r>
              <w:rPr>
                <w:rFonts w:ascii="Arial" w:cs="Arial" w:eastAsia="Arial" w:hAnsi="Arial"/>
                <w:sz w:val="14"/>
                <w:szCs w:val="14"/>
                <w:i w:val="1"/>
                <w:iCs w:val="1"/>
                <w:color w:val="auto"/>
              </w:rPr>
              <w:t>(Stated in millions, except per share amounts</w:t>
            </w:r>
            <w:r>
              <w:rPr>
                <w:rFonts w:ascii="Arial" w:cs="Arial" w:eastAsia="Arial" w:hAnsi="Arial"/>
                <w:sz w:val="14"/>
                <w:szCs w:val="14"/>
                <w:color w:val="auto"/>
              </w:rPr>
              <w:t>)</w:t>
            </w:r>
          </w:p>
        </w:tc>
      </w:tr>
      <w:tr>
        <w:trPr>
          <w:trHeight w:val="386"/>
        </w:trPr>
        <w:tc>
          <w:tcPr>
            <w:tcW w:w="4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5"/>
          </w:tcPr>
          <w:p>
            <w:pPr>
              <w:ind w:left="500"/>
              <w:spacing w:after="0"/>
              <w:rPr>
                <w:sz w:val="20"/>
                <w:szCs w:val="20"/>
                <w:color w:val="auto"/>
              </w:rPr>
            </w:pPr>
            <w:r>
              <w:rPr>
                <w:rFonts w:ascii="Arial" w:cs="Arial" w:eastAsia="Arial" w:hAnsi="Arial"/>
                <w:sz w:val="16"/>
                <w:szCs w:val="16"/>
                <w:b w:val="1"/>
                <w:bCs w:val="1"/>
                <w:color w:val="auto"/>
              </w:rPr>
              <w:t>Third Quarter</w:t>
            </w:r>
          </w:p>
        </w:tc>
        <w:tc>
          <w:tcPr>
            <w:tcW w:w="240" w:type="dxa"/>
            <w:vAlign w:val="bottom"/>
          </w:tcPr>
          <w:p>
            <w:pPr>
              <w:spacing w:after="0"/>
              <w:rPr>
                <w:sz w:val="24"/>
                <w:szCs w:val="24"/>
                <w:color w:val="auto"/>
              </w:rPr>
            </w:pPr>
          </w:p>
        </w:tc>
        <w:tc>
          <w:tcPr>
            <w:tcW w:w="1540" w:type="dxa"/>
            <w:vAlign w:val="bottom"/>
            <w:gridSpan w:val="3"/>
          </w:tcPr>
          <w:p>
            <w:pPr>
              <w:jc w:val="right"/>
              <w:spacing w:after="0"/>
              <w:rPr>
                <w:sz w:val="20"/>
                <w:szCs w:val="20"/>
                <w:color w:val="auto"/>
              </w:rPr>
            </w:pPr>
            <w:r>
              <w:rPr>
                <w:rFonts w:ascii="Arial" w:cs="Arial" w:eastAsia="Arial" w:hAnsi="Arial"/>
                <w:sz w:val="16"/>
                <w:szCs w:val="16"/>
                <w:b w:val="1"/>
                <w:bCs w:val="1"/>
                <w:color w:val="auto"/>
              </w:rPr>
              <w:t>Nine Months</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4800" w:type="dxa"/>
            <w:vAlign w:val="bottom"/>
            <w:tcBorders>
              <w:bottom w:val="single" w:sz="8" w:color="CFF0FC"/>
            </w:tcBorders>
          </w:tcPr>
          <w:p>
            <w:pPr>
              <w:spacing w:after="0"/>
              <w:rPr>
                <w:sz w:val="17"/>
                <w:szCs w:val="17"/>
                <w:color w:val="auto"/>
              </w:rPr>
            </w:pPr>
          </w:p>
        </w:tc>
        <w:tc>
          <w:tcPr>
            <w:tcW w:w="980" w:type="dxa"/>
            <w:vAlign w:val="bottom"/>
            <w:tcBorders>
              <w:bottom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top w:val="single" w:sz="8" w:color="auto"/>
              <w:bottom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2021</w:t>
            </w:r>
          </w:p>
        </w:tc>
        <w:tc>
          <w:tcPr>
            <w:tcW w:w="240" w:type="dxa"/>
            <w:vAlign w:val="bottom"/>
            <w:tcBorders>
              <w:bottom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top w:val="single" w:sz="8" w:color="auto"/>
              <w:bottom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CFF0FC"/>
            </w:tcBorders>
          </w:tcPr>
          <w:p>
            <w:pPr>
              <w:spacing w:after="0"/>
              <w:rPr>
                <w:sz w:val="17"/>
                <w:szCs w:val="17"/>
                <w:color w:val="auto"/>
              </w:rPr>
            </w:pPr>
          </w:p>
        </w:tc>
      </w:tr>
      <w:tr>
        <w:trPr>
          <w:trHeight w:val="196"/>
        </w:trPr>
        <w:tc>
          <w:tcPr>
            <w:tcW w:w="480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Revenue</w:t>
            </w: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800" w:type="dxa"/>
            <w:vAlign w:val="bottom"/>
          </w:tcPr>
          <w:p>
            <w:pPr>
              <w:ind w:left="260"/>
              <w:spacing w:after="0"/>
              <w:rPr>
                <w:sz w:val="20"/>
                <w:szCs w:val="20"/>
                <w:color w:val="auto"/>
              </w:rPr>
            </w:pPr>
            <w:r>
              <w:rPr>
                <w:rFonts w:ascii="Arial" w:cs="Arial" w:eastAsia="Arial" w:hAnsi="Arial"/>
                <w:sz w:val="16"/>
                <w:szCs w:val="16"/>
                <w:color w:val="auto"/>
              </w:rPr>
              <w:t>Services</w:t>
            </w:r>
          </w:p>
        </w:tc>
        <w:tc>
          <w:tcPr>
            <w:tcW w:w="1220" w:type="dxa"/>
            <w:vAlign w:val="bottom"/>
            <w:gridSpan w:val="2"/>
          </w:tcPr>
          <w:p>
            <w:pPr>
              <w:jc w:val="right"/>
              <w:ind w:right="84"/>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5,153</w:t>
            </w:r>
          </w:p>
        </w:tc>
        <w:tc>
          <w:tcPr>
            <w:tcW w:w="24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4,020</w:t>
            </w:r>
          </w:p>
        </w:tc>
        <w:tc>
          <w:tcPr>
            <w:tcW w:w="24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14,109</w:t>
            </w:r>
          </w:p>
        </w:tc>
        <w:tc>
          <w:tcPr>
            <w:tcW w:w="260" w:type="dxa"/>
            <w:vAlign w:val="bottom"/>
          </w:tcPr>
          <w:p>
            <w:pPr>
              <w:spacing w:after="0"/>
              <w:rPr>
                <w:sz w:val="17"/>
                <w:szCs w:val="17"/>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11,291</w:t>
            </w:r>
          </w:p>
        </w:tc>
        <w:tc>
          <w:tcPr>
            <w:tcW w:w="100" w:type="dxa"/>
            <w:vAlign w:val="bottom"/>
          </w:tcPr>
          <w:p>
            <w:pPr>
              <w:spacing w:after="0"/>
              <w:rPr>
                <w:sz w:val="17"/>
                <w:szCs w:val="17"/>
                <w:color w:val="auto"/>
              </w:rPr>
            </w:pPr>
          </w:p>
        </w:tc>
      </w:tr>
      <w:tr>
        <w:trPr>
          <w:trHeight w:val="203"/>
        </w:trPr>
        <w:tc>
          <w:tcPr>
            <w:tcW w:w="4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Product sales</w:t>
            </w:r>
          </w:p>
        </w:tc>
        <w:tc>
          <w:tcPr>
            <w:tcW w:w="98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2,324</w:t>
            </w:r>
          </w:p>
        </w:tc>
        <w:tc>
          <w:tcPr>
            <w:tcW w:w="24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1,827</w:t>
            </w:r>
          </w:p>
        </w:tc>
        <w:tc>
          <w:tcPr>
            <w:tcW w:w="24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6,104</w:t>
            </w:r>
          </w:p>
        </w:tc>
        <w:tc>
          <w:tcPr>
            <w:tcW w:w="26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5,413</w:t>
            </w:r>
          </w:p>
        </w:tc>
        <w:tc>
          <w:tcPr>
            <w:tcW w:w="100" w:type="dxa"/>
            <w:vAlign w:val="bottom"/>
            <w:shd w:val="clear" w:color="auto" w:fill="CFF0FC"/>
          </w:tcPr>
          <w:p>
            <w:pPr>
              <w:spacing w:after="0"/>
              <w:rPr>
                <w:sz w:val="17"/>
                <w:szCs w:val="17"/>
                <w:color w:val="auto"/>
              </w:rPr>
            </w:pPr>
          </w:p>
        </w:tc>
      </w:tr>
      <w:tr>
        <w:trPr>
          <w:trHeight w:val="196"/>
        </w:trPr>
        <w:tc>
          <w:tcPr>
            <w:tcW w:w="4800" w:type="dxa"/>
            <w:vAlign w:val="bottom"/>
          </w:tcPr>
          <w:p>
            <w:pPr>
              <w:spacing w:after="0"/>
              <w:rPr>
                <w:sz w:val="20"/>
                <w:szCs w:val="20"/>
                <w:color w:val="auto"/>
              </w:rPr>
            </w:pPr>
            <w:r>
              <w:rPr>
                <w:rFonts w:ascii="Arial" w:cs="Arial" w:eastAsia="Arial" w:hAnsi="Arial"/>
                <w:sz w:val="16"/>
                <w:szCs w:val="16"/>
                <w:i w:val="1"/>
                <w:iCs w:val="1"/>
                <w:color w:val="auto"/>
              </w:rPr>
              <w:t>Total Revenue</w:t>
            </w: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7,477</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5,847</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20,213</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16,704</w:t>
            </w:r>
          </w:p>
        </w:tc>
        <w:tc>
          <w:tcPr>
            <w:tcW w:w="100" w:type="dxa"/>
            <w:vAlign w:val="bottom"/>
          </w:tcPr>
          <w:p>
            <w:pPr>
              <w:spacing w:after="0"/>
              <w:rPr>
                <w:sz w:val="17"/>
                <w:szCs w:val="17"/>
                <w:color w:val="auto"/>
              </w:rPr>
            </w:pPr>
          </w:p>
        </w:tc>
      </w:tr>
      <w:tr>
        <w:trPr>
          <w:trHeight w:val="202"/>
        </w:trPr>
        <w:tc>
          <w:tcPr>
            <w:tcW w:w="480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Interest &amp; other income</w:t>
            </w: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75</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436</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FF0FC"/>
          </w:tcPr>
          <w:p>
            <w:pPr>
              <w:spacing w:after="0"/>
              <w:rPr>
                <w:sz w:val="17"/>
                <w:szCs w:val="17"/>
                <w:color w:val="auto"/>
              </w:rPr>
            </w:pPr>
          </w:p>
        </w:tc>
      </w:tr>
      <w:tr>
        <w:trPr>
          <w:trHeight w:val="203"/>
        </w:trPr>
        <w:tc>
          <w:tcPr>
            <w:tcW w:w="4800" w:type="dxa"/>
            <w:vAlign w:val="bottom"/>
          </w:tcPr>
          <w:p>
            <w:pPr>
              <w:spacing w:after="0"/>
              <w:rPr>
                <w:sz w:val="20"/>
                <w:szCs w:val="20"/>
                <w:color w:val="auto"/>
              </w:rPr>
            </w:pPr>
            <w:r>
              <w:rPr>
                <w:rFonts w:ascii="Arial" w:cs="Arial" w:eastAsia="Arial" w:hAnsi="Arial"/>
                <w:sz w:val="16"/>
                <w:szCs w:val="16"/>
                <w:i w:val="1"/>
                <w:iCs w:val="1"/>
                <w:color w:val="auto"/>
              </w:rPr>
              <w:t>Expenses</w:t>
            </w: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Cost of services</w:t>
            </w: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3,975</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3,334</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11,082</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9,588</w:t>
            </w:r>
          </w:p>
        </w:tc>
        <w:tc>
          <w:tcPr>
            <w:tcW w:w="100" w:type="dxa"/>
            <w:vAlign w:val="bottom"/>
            <w:shd w:val="clear" w:color="auto" w:fill="CFF0FC"/>
          </w:tcPr>
          <w:p>
            <w:pPr>
              <w:spacing w:after="0"/>
              <w:rPr>
                <w:sz w:val="17"/>
                <w:szCs w:val="17"/>
                <w:color w:val="auto"/>
              </w:rPr>
            </w:pPr>
          </w:p>
        </w:tc>
      </w:tr>
      <w:tr>
        <w:trPr>
          <w:trHeight w:val="203"/>
        </w:trPr>
        <w:tc>
          <w:tcPr>
            <w:tcW w:w="4800" w:type="dxa"/>
            <w:vAlign w:val="bottom"/>
          </w:tcPr>
          <w:p>
            <w:pPr>
              <w:ind w:left="260"/>
              <w:spacing w:after="0"/>
              <w:rPr>
                <w:sz w:val="20"/>
                <w:szCs w:val="20"/>
                <w:color w:val="auto"/>
              </w:rPr>
            </w:pPr>
            <w:r>
              <w:rPr>
                <w:rFonts w:ascii="Arial" w:cs="Arial" w:eastAsia="Arial" w:hAnsi="Arial"/>
                <w:sz w:val="16"/>
                <w:szCs w:val="16"/>
                <w:color w:val="auto"/>
              </w:rPr>
              <w:t>Cost of sales</w:t>
            </w: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2,067</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1,528</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5,541</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4,547</w:t>
            </w:r>
          </w:p>
        </w:tc>
        <w:tc>
          <w:tcPr>
            <w:tcW w:w="100" w:type="dxa"/>
            <w:vAlign w:val="bottom"/>
          </w:tcPr>
          <w:p>
            <w:pPr>
              <w:spacing w:after="0"/>
              <w:rPr>
                <w:sz w:val="17"/>
                <w:szCs w:val="17"/>
                <w:color w:val="auto"/>
              </w:rPr>
            </w:pPr>
          </w:p>
        </w:tc>
      </w:tr>
      <w:tr>
        <w:trPr>
          <w:trHeight w:val="203"/>
        </w:trPr>
        <w:tc>
          <w:tcPr>
            <w:tcW w:w="4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Research &amp; engineering</w:t>
            </w: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160</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456</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409</w:t>
            </w:r>
          </w:p>
        </w:tc>
        <w:tc>
          <w:tcPr>
            <w:tcW w:w="100" w:type="dxa"/>
            <w:vAlign w:val="bottom"/>
            <w:shd w:val="clear" w:color="auto" w:fill="CFF0FC"/>
          </w:tcPr>
          <w:p>
            <w:pPr>
              <w:spacing w:after="0"/>
              <w:rPr>
                <w:sz w:val="17"/>
                <w:szCs w:val="17"/>
                <w:color w:val="auto"/>
              </w:rPr>
            </w:pPr>
          </w:p>
        </w:tc>
      </w:tr>
      <w:tr>
        <w:trPr>
          <w:trHeight w:val="203"/>
        </w:trPr>
        <w:tc>
          <w:tcPr>
            <w:tcW w:w="4800" w:type="dxa"/>
            <w:vAlign w:val="bottom"/>
          </w:tcPr>
          <w:p>
            <w:pPr>
              <w:ind w:left="260"/>
              <w:spacing w:after="0"/>
              <w:rPr>
                <w:sz w:val="20"/>
                <w:szCs w:val="20"/>
                <w:color w:val="auto"/>
              </w:rPr>
            </w:pPr>
            <w:r>
              <w:rPr>
                <w:rFonts w:ascii="Arial" w:cs="Arial" w:eastAsia="Arial" w:hAnsi="Arial"/>
                <w:sz w:val="16"/>
                <w:szCs w:val="16"/>
                <w:color w:val="auto"/>
              </w:rPr>
              <w:t>General &amp; administrative</w:t>
            </w: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94</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80</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277</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17"/>
                <w:szCs w:val="17"/>
                <w:color w:val="auto"/>
              </w:rPr>
            </w:pPr>
          </w:p>
        </w:tc>
      </w:tr>
      <w:tr>
        <w:trPr>
          <w:trHeight w:val="203"/>
        </w:trPr>
        <w:tc>
          <w:tcPr>
            <w:tcW w:w="4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w:t>
            </w:r>
          </w:p>
        </w:tc>
        <w:tc>
          <w:tcPr>
            <w:tcW w:w="98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122</w:t>
            </w:r>
          </w:p>
        </w:tc>
        <w:tc>
          <w:tcPr>
            <w:tcW w:w="24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130</w:t>
            </w:r>
          </w:p>
        </w:tc>
        <w:tc>
          <w:tcPr>
            <w:tcW w:w="24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369</w:t>
            </w:r>
          </w:p>
        </w:tc>
        <w:tc>
          <w:tcPr>
            <w:tcW w:w="26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402</w:t>
            </w:r>
          </w:p>
        </w:tc>
        <w:tc>
          <w:tcPr>
            <w:tcW w:w="100" w:type="dxa"/>
            <w:vAlign w:val="bottom"/>
            <w:shd w:val="clear" w:color="auto" w:fill="CFF0FC"/>
          </w:tcPr>
          <w:p>
            <w:pPr>
              <w:spacing w:after="0"/>
              <w:rPr>
                <w:sz w:val="17"/>
                <w:szCs w:val="17"/>
                <w:color w:val="auto"/>
              </w:rPr>
            </w:pPr>
          </w:p>
        </w:tc>
      </w:tr>
      <w:tr>
        <w:trPr>
          <w:trHeight w:val="196"/>
        </w:trPr>
        <w:tc>
          <w:tcPr>
            <w:tcW w:w="4800" w:type="dxa"/>
            <w:vAlign w:val="bottom"/>
          </w:tcPr>
          <w:p>
            <w:pPr>
              <w:spacing w:after="0"/>
              <w:rPr>
                <w:sz w:val="20"/>
                <w:szCs w:val="20"/>
                <w:color w:val="auto"/>
              </w:rPr>
            </w:pPr>
            <w:r>
              <w:rPr>
                <w:rFonts w:ascii="Arial" w:cs="Arial" w:eastAsia="Arial" w:hAnsi="Arial"/>
                <w:sz w:val="16"/>
                <w:szCs w:val="16"/>
                <w:i w:val="1"/>
                <w:iCs w:val="1"/>
                <w:color w:val="auto"/>
              </w:rPr>
              <w:t>Income before taxes</w:t>
            </w: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1,134</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691</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2,924</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1,618</w:t>
            </w:r>
          </w:p>
        </w:tc>
        <w:tc>
          <w:tcPr>
            <w:tcW w:w="100" w:type="dxa"/>
            <w:vAlign w:val="bottom"/>
          </w:tcPr>
          <w:p>
            <w:pPr>
              <w:spacing w:after="0"/>
              <w:rPr>
                <w:sz w:val="17"/>
                <w:szCs w:val="17"/>
                <w:color w:val="auto"/>
              </w:rPr>
            </w:pPr>
          </w:p>
        </w:tc>
      </w:tr>
      <w:tr>
        <w:trPr>
          <w:trHeight w:val="203"/>
        </w:trPr>
        <w:tc>
          <w:tcPr>
            <w:tcW w:w="4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Tax expense</w:t>
            </w:r>
          </w:p>
        </w:tc>
        <w:tc>
          <w:tcPr>
            <w:tcW w:w="98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215</w:t>
            </w:r>
          </w:p>
        </w:tc>
        <w:tc>
          <w:tcPr>
            <w:tcW w:w="24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129</w:t>
            </w:r>
          </w:p>
        </w:tc>
        <w:tc>
          <w:tcPr>
            <w:tcW w:w="24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514</w:t>
            </w:r>
          </w:p>
        </w:tc>
        <w:tc>
          <w:tcPr>
            <w:tcW w:w="26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301</w:t>
            </w:r>
          </w:p>
        </w:tc>
        <w:tc>
          <w:tcPr>
            <w:tcW w:w="100" w:type="dxa"/>
            <w:vAlign w:val="bottom"/>
            <w:shd w:val="clear" w:color="auto" w:fill="CFF0FC"/>
          </w:tcPr>
          <w:p>
            <w:pPr>
              <w:spacing w:after="0"/>
              <w:rPr>
                <w:sz w:val="17"/>
                <w:szCs w:val="17"/>
                <w:color w:val="auto"/>
              </w:rPr>
            </w:pPr>
          </w:p>
        </w:tc>
      </w:tr>
      <w:tr>
        <w:trPr>
          <w:trHeight w:val="196"/>
        </w:trPr>
        <w:tc>
          <w:tcPr>
            <w:tcW w:w="4800" w:type="dxa"/>
            <w:vAlign w:val="bottom"/>
          </w:tcPr>
          <w:p>
            <w:pPr>
              <w:spacing w:after="0"/>
              <w:rPr>
                <w:sz w:val="20"/>
                <w:szCs w:val="20"/>
                <w:color w:val="auto"/>
              </w:rPr>
            </w:pPr>
            <w:r>
              <w:rPr>
                <w:rFonts w:ascii="Arial" w:cs="Arial" w:eastAsia="Arial" w:hAnsi="Arial"/>
                <w:sz w:val="16"/>
                <w:szCs w:val="16"/>
                <w:i w:val="1"/>
                <w:iCs w:val="1"/>
                <w:color w:val="auto"/>
              </w:rPr>
              <w:t>Net income</w:t>
            </w: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919</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562</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2,410</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1,317</w:t>
            </w:r>
          </w:p>
        </w:tc>
        <w:tc>
          <w:tcPr>
            <w:tcW w:w="100" w:type="dxa"/>
            <w:vAlign w:val="bottom"/>
          </w:tcPr>
          <w:p>
            <w:pPr>
              <w:spacing w:after="0"/>
              <w:rPr>
                <w:sz w:val="17"/>
                <w:szCs w:val="17"/>
                <w:color w:val="auto"/>
              </w:rPr>
            </w:pPr>
          </w:p>
        </w:tc>
      </w:tr>
      <w:tr>
        <w:trPr>
          <w:trHeight w:val="203"/>
        </w:trPr>
        <w:tc>
          <w:tcPr>
            <w:tcW w:w="4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income attributable to noncontrolling interests</w:t>
            </w:r>
          </w:p>
        </w:tc>
        <w:tc>
          <w:tcPr>
            <w:tcW w:w="98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12</w:t>
            </w:r>
          </w:p>
        </w:tc>
        <w:tc>
          <w:tcPr>
            <w:tcW w:w="24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24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33</w:t>
            </w:r>
          </w:p>
        </w:tc>
        <w:tc>
          <w:tcPr>
            <w:tcW w:w="26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FF0FC"/>
          </w:tcPr>
          <w:p>
            <w:pPr>
              <w:spacing w:after="0"/>
              <w:rPr>
                <w:sz w:val="17"/>
                <w:szCs w:val="17"/>
                <w:color w:val="auto"/>
              </w:rPr>
            </w:pPr>
          </w:p>
        </w:tc>
      </w:tr>
      <w:tr>
        <w:trPr>
          <w:trHeight w:val="236"/>
        </w:trPr>
        <w:tc>
          <w:tcPr>
            <w:tcW w:w="4800" w:type="dxa"/>
            <w:vAlign w:val="bottom"/>
            <w:tcBorders>
              <w:bottom w:val="single" w:sz="8" w:color="CFF0FC"/>
            </w:tcBorders>
          </w:tcPr>
          <w:p>
            <w:pPr>
              <w:spacing w:after="0"/>
              <w:rPr>
                <w:sz w:val="20"/>
                <w:szCs w:val="20"/>
                <w:color w:val="auto"/>
              </w:rPr>
            </w:pPr>
            <w:r>
              <w:rPr>
                <w:rFonts w:ascii="Arial" w:cs="Arial" w:eastAsia="Arial" w:hAnsi="Arial"/>
                <w:sz w:val="16"/>
                <w:szCs w:val="16"/>
                <w:i w:val="1"/>
                <w:iCs w:val="1"/>
                <w:color w:val="auto"/>
              </w:rPr>
              <w:t>Net income attributable to Schlumberger</w:t>
            </w:r>
          </w:p>
        </w:tc>
        <w:tc>
          <w:tcPr>
            <w:tcW w:w="9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907</w:t>
            </w:r>
          </w:p>
        </w:tc>
        <w:tc>
          <w:tcPr>
            <w:tcW w:w="2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w:t>
            </w:r>
          </w:p>
        </w:tc>
        <w:tc>
          <w:tcPr>
            <w:tcW w:w="2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2,377</w:t>
            </w:r>
          </w:p>
        </w:tc>
        <w:tc>
          <w:tcPr>
            <w:tcW w:w="26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1,280</w:t>
            </w:r>
          </w:p>
        </w:tc>
        <w:tc>
          <w:tcPr>
            <w:tcW w:w="100" w:type="dxa"/>
            <w:vAlign w:val="bottom"/>
            <w:tcBorders>
              <w:bottom w:val="single" w:sz="8" w:color="CFF0FC"/>
            </w:tcBorders>
          </w:tcPr>
          <w:p>
            <w:pPr>
              <w:spacing w:after="0"/>
              <w:rPr>
                <w:sz w:val="20"/>
                <w:szCs w:val="20"/>
                <w:color w:val="auto"/>
              </w:rPr>
            </w:pPr>
          </w:p>
        </w:tc>
      </w:tr>
      <w:tr>
        <w:trPr>
          <w:trHeight w:val="183"/>
        </w:trPr>
        <w:tc>
          <w:tcPr>
            <w:tcW w:w="48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43"/>
        </w:trPr>
        <w:tc>
          <w:tcPr>
            <w:tcW w:w="4800" w:type="dxa"/>
            <w:vAlign w:val="bottom"/>
          </w:tcPr>
          <w:p>
            <w:pPr>
              <w:spacing w:after="0"/>
              <w:rPr>
                <w:sz w:val="20"/>
                <w:szCs w:val="20"/>
                <w:color w:val="auto"/>
              </w:rPr>
            </w:pPr>
            <w:r>
              <w:rPr>
                <w:rFonts w:ascii="Arial" w:cs="Arial" w:eastAsia="Arial" w:hAnsi="Arial"/>
                <w:sz w:val="16"/>
                <w:szCs w:val="16"/>
                <w:b w:val="1"/>
                <w:bCs w:val="1"/>
                <w:color w:val="auto"/>
              </w:rPr>
              <w:t>Basic income per share of Schlumberger</w:t>
            </w:r>
          </w:p>
        </w:tc>
        <w:tc>
          <w:tcPr>
            <w:tcW w:w="1220" w:type="dxa"/>
            <w:vAlign w:val="bottom"/>
            <w:gridSpan w:val="2"/>
          </w:tcPr>
          <w:p>
            <w:pPr>
              <w:jc w:val="right"/>
              <w:ind w:right="84"/>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0.64</w:t>
            </w:r>
          </w:p>
        </w:tc>
        <w:tc>
          <w:tcPr>
            <w:tcW w:w="24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0.39</w:t>
            </w:r>
          </w:p>
        </w:tc>
        <w:tc>
          <w:tcPr>
            <w:tcW w:w="24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1.68</w:t>
            </w:r>
          </w:p>
        </w:tc>
        <w:tc>
          <w:tcPr>
            <w:tcW w:w="260" w:type="dxa"/>
            <w:vAlign w:val="bottom"/>
          </w:tcPr>
          <w:p>
            <w:pPr>
              <w:spacing w:after="0"/>
              <w:rPr>
                <w:sz w:val="21"/>
                <w:szCs w:val="21"/>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0.92</w:t>
            </w:r>
          </w:p>
        </w:tc>
        <w:tc>
          <w:tcPr>
            <w:tcW w:w="100" w:type="dxa"/>
            <w:vAlign w:val="bottom"/>
          </w:tcPr>
          <w:p>
            <w:pPr>
              <w:spacing w:after="0"/>
              <w:rPr>
                <w:sz w:val="21"/>
                <w:szCs w:val="21"/>
                <w:color w:val="auto"/>
              </w:rPr>
            </w:pPr>
          </w:p>
        </w:tc>
      </w:tr>
      <w:tr>
        <w:trPr>
          <w:trHeight w:val="183"/>
        </w:trPr>
        <w:tc>
          <w:tcPr>
            <w:tcW w:w="4800" w:type="dxa"/>
            <w:vAlign w:val="bottom"/>
            <w:tcBorders>
              <w:top w:val="single" w:sz="8" w:color="CFF0FC"/>
            </w:tcBorders>
            <w:shd w:val="clear" w:color="auto" w:fill="CFF0FC"/>
          </w:tcPr>
          <w:p>
            <w:pPr>
              <w:spacing w:after="0"/>
              <w:rPr>
                <w:sz w:val="15"/>
                <w:szCs w:val="15"/>
                <w:color w:val="auto"/>
              </w:rPr>
            </w:pPr>
          </w:p>
        </w:tc>
        <w:tc>
          <w:tcPr>
            <w:tcW w:w="98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260" w:type="dxa"/>
            <w:vAlign w:val="bottom"/>
            <w:tcBorders>
              <w:top w:val="single" w:sz="8" w:color="CFF0FC"/>
            </w:tcBorders>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r>
      <w:tr>
        <w:trPr>
          <w:trHeight w:val="243"/>
        </w:trPr>
        <w:tc>
          <w:tcPr>
            <w:tcW w:w="4800" w:type="dxa"/>
            <w:vAlign w:val="bottom"/>
          </w:tcPr>
          <w:p>
            <w:pPr>
              <w:spacing w:after="0"/>
              <w:rPr>
                <w:sz w:val="20"/>
                <w:szCs w:val="20"/>
                <w:color w:val="auto"/>
              </w:rPr>
            </w:pPr>
            <w:r>
              <w:rPr>
                <w:rFonts w:ascii="Arial" w:cs="Arial" w:eastAsia="Arial" w:hAnsi="Arial"/>
                <w:sz w:val="16"/>
                <w:szCs w:val="16"/>
                <w:b w:val="1"/>
                <w:bCs w:val="1"/>
                <w:color w:val="auto"/>
              </w:rPr>
              <w:t>Diluted income per share of Schlumberger</w:t>
            </w:r>
          </w:p>
        </w:tc>
        <w:tc>
          <w:tcPr>
            <w:tcW w:w="1220" w:type="dxa"/>
            <w:vAlign w:val="bottom"/>
            <w:gridSpan w:val="2"/>
          </w:tcPr>
          <w:p>
            <w:pPr>
              <w:jc w:val="right"/>
              <w:ind w:right="84"/>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0.63</w:t>
            </w:r>
          </w:p>
        </w:tc>
        <w:tc>
          <w:tcPr>
            <w:tcW w:w="24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0.39</w:t>
            </w:r>
          </w:p>
        </w:tc>
        <w:tc>
          <w:tcPr>
            <w:tcW w:w="24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1.65</w:t>
            </w:r>
          </w:p>
        </w:tc>
        <w:tc>
          <w:tcPr>
            <w:tcW w:w="260" w:type="dxa"/>
            <w:vAlign w:val="bottom"/>
          </w:tcPr>
          <w:p>
            <w:pPr>
              <w:spacing w:after="0"/>
              <w:rPr>
                <w:sz w:val="21"/>
                <w:szCs w:val="21"/>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0.90</w:t>
            </w:r>
          </w:p>
        </w:tc>
        <w:tc>
          <w:tcPr>
            <w:tcW w:w="100" w:type="dxa"/>
            <w:vAlign w:val="bottom"/>
          </w:tcPr>
          <w:p>
            <w:pPr>
              <w:spacing w:after="0"/>
              <w:rPr>
                <w:sz w:val="21"/>
                <w:szCs w:val="21"/>
                <w:color w:val="auto"/>
              </w:rPr>
            </w:pPr>
          </w:p>
        </w:tc>
      </w:tr>
      <w:tr>
        <w:trPr>
          <w:trHeight w:val="183"/>
        </w:trPr>
        <w:tc>
          <w:tcPr>
            <w:tcW w:w="4800" w:type="dxa"/>
            <w:vAlign w:val="bottom"/>
            <w:tcBorders>
              <w:top w:val="single" w:sz="8" w:color="CFF0FC"/>
            </w:tcBorders>
            <w:shd w:val="clear" w:color="auto" w:fill="CFF0FC"/>
          </w:tcPr>
          <w:p>
            <w:pPr>
              <w:spacing w:after="0"/>
              <w:rPr>
                <w:sz w:val="15"/>
                <w:szCs w:val="15"/>
                <w:color w:val="auto"/>
              </w:rPr>
            </w:pPr>
          </w:p>
        </w:tc>
        <w:tc>
          <w:tcPr>
            <w:tcW w:w="98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260" w:type="dxa"/>
            <w:vAlign w:val="bottom"/>
            <w:tcBorders>
              <w:top w:val="single" w:sz="8" w:color="CFF0FC"/>
            </w:tcBorders>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r>
      <w:tr>
        <w:trPr>
          <w:trHeight w:val="203"/>
        </w:trPr>
        <w:tc>
          <w:tcPr>
            <w:tcW w:w="4800" w:type="dxa"/>
            <w:vAlign w:val="bottom"/>
          </w:tcPr>
          <w:p>
            <w:pPr>
              <w:spacing w:after="0"/>
              <w:rPr>
                <w:sz w:val="20"/>
                <w:szCs w:val="20"/>
                <w:color w:val="auto"/>
              </w:rPr>
            </w:pPr>
            <w:r>
              <w:rPr>
                <w:rFonts w:ascii="Arial" w:cs="Arial" w:eastAsia="Arial" w:hAnsi="Arial"/>
                <w:sz w:val="16"/>
                <w:szCs w:val="16"/>
                <w:b w:val="1"/>
                <w:bCs w:val="1"/>
                <w:color w:val="auto"/>
              </w:rPr>
              <w:t>Average shares outstanding:</w:t>
            </w: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Basic</w:t>
            </w: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1,418</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1,402</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1,414</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1,399</w:t>
            </w:r>
          </w:p>
        </w:tc>
        <w:tc>
          <w:tcPr>
            <w:tcW w:w="100" w:type="dxa"/>
            <w:vAlign w:val="bottom"/>
            <w:shd w:val="clear" w:color="auto" w:fill="CFF0FC"/>
          </w:tcPr>
          <w:p>
            <w:pPr>
              <w:spacing w:after="0"/>
              <w:rPr>
                <w:sz w:val="17"/>
                <w:szCs w:val="17"/>
                <w:color w:val="auto"/>
              </w:rPr>
            </w:pPr>
          </w:p>
        </w:tc>
      </w:tr>
      <w:tr>
        <w:trPr>
          <w:trHeight w:val="223"/>
        </w:trPr>
        <w:tc>
          <w:tcPr>
            <w:tcW w:w="4800" w:type="dxa"/>
            <w:vAlign w:val="bottom"/>
          </w:tcPr>
          <w:p>
            <w:pPr>
              <w:ind w:left="260"/>
              <w:spacing w:after="0"/>
              <w:rPr>
                <w:sz w:val="20"/>
                <w:szCs w:val="20"/>
                <w:color w:val="auto"/>
              </w:rPr>
            </w:pPr>
            <w:r>
              <w:rPr>
                <w:rFonts w:ascii="Arial" w:cs="Arial" w:eastAsia="Arial" w:hAnsi="Arial"/>
                <w:sz w:val="16"/>
                <w:szCs w:val="16"/>
                <w:color w:val="auto"/>
              </w:rPr>
              <w:t>Assuming dilution</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1,439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1,424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1,436</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1,422</w:t>
            </w:r>
          </w:p>
        </w:tc>
        <w:tc>
          <w:tcPr>
            <w:tcW w:w="100" w:type="dxa"/>
            <w:vAlign w:val="bottom"/>
          </w:tcPr>
          <w:p>
            <w:pPr>
              <w:spacing w:after="0"/>
              <w:rPr>
                <w:sz w:val="19"/>
                <w:szCs w:val="19"/>
                <w:color w:val="auto"/>
              </w:rPr>
            </w:pPr>
          </w:p>
        </w:tc>
      </w:tr>
    </w:tbl>
    <w:p>
      <w:pPr>
        <w:spacing w:after="0" w:line="24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 w:name="page4"/>
    <w:bookmarkEnd w:id="3"/>
    <w:p>
      <w:pPr>
        <w:ind w:left="3780"/>
        <w:spacing w:after="0"/>
        <w:rPr>
          <w:sz w:val="20"/>
          <w:szCs w:val="20"/>
          <w:color w:val="auto"/>
        </w:rPr>
      </w:pPr>
      <w:r>
        <w:rPr>
          <w:rFonts w:ascii="Arial" w:cs="Arial" w:eastAsia="Arial" w:hAnsi="Arial"/>
          <w:sz w:val="16"/>
          <w:szCs w:val="16"/>
          <w:b w:val="1"/>
          <w:bCs w:val="1"/>
          <w:u w:val="single" w:color="auto"/>
          <w:color w:val="auto"/>
        </w:rPr>
        <w:t>SCHLUMBERGER LIMITED AND SUBSIDIARIES</w:t>
      </w:r>
    </w:p>
    <w:p>
      <w:pPr>
        <w:spacing w:after="0" w:line="113" w:lineRule="exact"/>
        <w:rPr>
          <w:sz w:val="20"/>
          <w:szCs w:val="20"/>
          <w:color w:val="auto"/>
        </w:rPr>
      </w:pPr>
    </w:p>
    <w:p>
      <w:pPr>
        <w:ind w:left="3260"/>
        <w:spacing w:after="0"/>
        <w:rPr>
          <w:sz w:val="20"/>
          <w:szCs w:val="20"/>
          <w:color w:val="auto"/>
        </w:rPr>
      </w:pPr>
      <w:r>
        <w:rPr>
          <w:rFonts w:ascii="Arial" w:cs="Arial" w:eastAsia="Arial" w:hAnsi="Arial"/>
          <w:sz w:val="16"/>
          <w:szCs w:val="16"/>
          <w:b w:val="1"/>
          <w:bCs w:val="1"/>
          <w:u w:val="single" w:color="auto"/>
          <w:color w:val="auto"/>
        </w:rPr>
        <w:t>CONSOLIDATED STATEMENT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4"/>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386"/>
        </w:trPr>
        <w:tc>
          <w:tcPr>
            <w:tcW w:w="5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6"/>
                <w:szCs w:val="16"/>
                <w:b w:val="1"/>
                <w:bCs w:val="1"/>
                <w:color w:val="auto"/>
                <w:w w:val="99"/>
              </w:rPr>
              <w:t>Third Quarter</w:t>
            </w:r>
          </w:p>
        </w:tc>
        <w:tc>
          <w:tcPr>
            <w:tcW w:w="3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Nine Months</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5300" w:type="dxa"/>
            <w:vAlign w:val="bottom"/>
            <w:tcBorders>
              <w:bottom w:val="single" w:sz="8" w:color="CFF0FC"/>
            </w:tcBorders>
          </w:tcPr>
          <w:p>
            <w:pPr>
              <w:spacing w:after="0"/>
              <w:rPr>
                <w:sz w:val="17"/>
                <w:szCs w:val="17"/>
                <w:color w:val="auto"/>
              </w:rPr>
            </w:pPr>
          </w:p>
        </w:tc>
        <w:tc>
          <w:tcPr>
            <w:tcW w:w="480" w:type="dxa"/>
            <w:vAlign w:val="bottom"/>
            <w:tcBorders>
              <w:bottom w:val="single" w:sz="8" w:color="CFF0FC"/>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00" w:type="dxa"/>
            <w:vAlign w:val="bottom"/>
            <w:tcBorders>
              <w:bottom w:val="single" w:sz="8" w:color="auto"/>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340" w:type="dxa"/>
            <w:vAlign w:val="bottom"/>
            <w:tcBorders>
              <w:bottom w:val="single" w:sz="8" w:color="auto"/>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CFF0FC"/>
            </w:tcBorders>
          </w:tcPr>
          <w:p>
            <w:pPr>
              <w:spacing w:after="0"/>
              <w:rPr>
                <w:sz w:val="17"/>
                <w:szCs w:val="17"/>
                <w:color w:val="auto"/>
              </w:rPr>
            </w:pPr>
          </w:p>
        </w:tc>
      </w:tr>
      <w:tr>
        <w:trPr>
          <w:trHeight w:val="196"/>
        </w:trPr>
        <w:tc>
          <w:tcPr>
            <w:tcW w:w="530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Net income</w:t>
            </w:r>
          </w:p>
        </w:tc>
        <w:tc>
          <w:tcPr>
            <w:tcW w:w="48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582"/>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919</w:t>
            </w: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639"/>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562</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2,410</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1,317</w:t>
            </w:r>
          </w:p>
        </w:tc>
        <w:tc>
          <w:tcPr>
            <w:tcW w:w="100" w:type="dxa"/>
            <w:vAlign w:val="bottom"/>
            <w:shd w:val="clear" w:color="auto" w:fill="CFF0FC"/>
          </w:tcPr>
          <w:p>
            <w:pPr>
              <w:spacing w:after="0"/>
              <w:rPr>
                <w:sz w:val="17"/>
                <w:szCs w:val="17"/>
                <w:color w:val="auto"/>
              </w:rPr>
            </w:pPr>
          </w:p>
        </w:tc>
      </w:tr>
      <w:tr>
        <w:trPr>
          <w:trHeight w:val="203"/>
        </w:trPr>
        <w:tc>
          <w:tcPr>
            <w:tcW w:w="5300" w:type="dxa"/>
            <w:vAlign w:val="bottom"/>
          </w:tcPr>
          <w:p>
            <w:pPr>
              <w:spacing w:after="0"/>
              <w:rPr>
                <w:sz w:val="20"/>
                <w:szCs w:val="20"/>
                <w:color w:val="auto"/>
              </w:rPr>
            </w:pPr>
            <w:r>
              <w:rPr>
                <w:rFonts w:ascii="Arial" w:cs="Arial" w:eastAsia="Arial" w:hAnsi="Arial"/>
                <w:sz w:val="16"/>
                <w:szCs w:val="16"/>
                <w:i w:val="1"/>
                <w:iCs w:val="1"/>
                <w:color w:val="auto"/>
              </w:rPr>
              <w:t>Currency translation adjustments</w:t>
            </w: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3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Unrealized net change arising during the period</w:t>
            </w:r>
          </w:p>
        </w:tc>
        <w:tc>
          <w:tcPr>
            <w:tcW w:w="4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(18)</w:t>
            </w:r>
          </w:p>
        </w:tc>
        <w:tc>
          <w:tcPr>
            <w:tcW w:w="82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92</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FF0FC"/>
          </w:tcPr>
          <w:p>
            <w:pPr>
              <w:spacing w:after="0"/>
              <w:rPr>
                <w:sz w:val="17"/>
                <w:szCs w:val="17"/>
                <w:color w:val="auto"/>
              </w:rPr>
            </w:pPr>
          </w:p>
        </w:tc>
      </w:tr>
      <w:tr>
        <w:trPr>
          <w:trHeight w:val="203"/>
        </w:trPr>
        <w:tc>
          <w:tcPr>
            <w:tcW w:w="5300" w:type="dxa"/>
            <w:vAlign w:val="bottom"/>
          </w:tcPr>
          <w:p>
            <w:pPr>
              <w:spacing w:after="0"/>
              <w:rPr>
                <w:sz w:val="20"/>
                <w:szCs w:val="20"/>
                <w:color w:val="auto"/>
              </w:rPr>
            </w:pPr>
            <w:r>
              <w:rPr>
                <w:rFonts w:ascii="Arial" w:cs="Arial" w:eastAsia="Arial" w:hAnsi="Arial"/>
                <w:sz w:val="16"/>
                <w:szCs w:val="16"/>
                <w:i w:val="1"/>
                <w:iCs w:val="1"/>
                <w:color w:val="auto"/>
              </w:rPr>
              <w:t>Cash flow hedges</w:t>
            </w: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3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gain (loss) on cash flow hedges</w:t>
            </w:r>
          </w:p>
        </w:tc>
        <w:tc>
          <w:tcPr>
            <w:tcW w:w="4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45</w:t>
            </w: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(9)</w:t>
            </w: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(53)</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FF0FC"/>
          </w:tcPr>
          <w:p>
            <w:pPr>
              <w:spacing w:after="0"/>
              <w:rPr>
                <w:sz w:val="17"/>
                <w:szCs w:val="17"/>
                <w:color w:val="auto"/>
              </w:rPr>
            </w:pPr>
          </w:p>
        </w:tc>
      </w:tr>
      <w:tr>
        <w:trPr>
          <w:trHeight w:val="202"/>
        </w:trPr>
        <w:tc>
          <w:tcPr>
            <w:tcW w:w="5300" w:type="dxa"/>
            <w:vAlign w:val="bottom"/>
          </w:tcPr>
          <w:p>
            <w:pPr>
              <w:ind w:left="260"/>
              <w:spacing w:after="0"/>
              <w:rPr>
                <w:sz w:val="20"/>
                <w:szCs w:val="20"/>
                <w:color w:val="auto"/>
              </w:rPr>
            </w:pPr>
            <w:r>
              <w:rPr>
                <w:rFonts w:ascii="Arial" w:cs="Arial" w:eastAsia="Arial" w:hAnsi="Arial"/>
                <w:sz w:val="16"/>
                <w:szCs w:val="16"/>
                <w:color w:val="auto"/>
              </w:rPr>
              <w:t>Reclassification to net income of net realized (gain) loss</w:t>
            </w: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30</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103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(7)</w:t>
            </w:r>
          </w:p>
        </w:tc>
      </w:tr>
      <w:tr>
        <w:trPr>
          <w:trHeight w:val="203"/>
        </w:trPr>
        <w:tc>
          <w:tcPr>
            <w:tcW w:w="530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Pension and other postretirement benefit plans</w:t>
            </w:r>
          </w:p>
        </w:tc>
        <w:tc>
          <w:tcPr>
            <w:tcW w:w="4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300" w:type="dxa"/>
            <w:vAlign w:val="bottom"/>
          </w:tcPr>
          <w:p>
            <w:pPr>
              <w:ind w:left="260"/>
              <w:spacing w:after="0"/>
              <w:rPr>
                <w:sz w:val="20"/>
                <w:szCs w:val="20"/>
                <w:color w:val="auto"/>
              </w:rPr>
            </w:pPr>
            <w:r>
              <w:rPr>
                <w:rFonts w:ascii="Arial" w:cs="Arial" w:eastAsia="Arial" w:hAnsi="Arial"/>
                <w:sz w:val="16"/>
                <w:szCs w:val="16"/>
                <w:color w:val="auto"/>
              </w:rPr>
              <w:t>Amortization to net income of net actuarial loss</w:t>
            </w: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16</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69</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46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17"/>
                <w:szCs w:val="17"/>
                <w:color w:val="auto"/>
              </w:rPr>
            </w:pPr>
          </w:p>
        </w:tc>
      </w:tr>
      <w:tr>
        <w:trPr>
          <w:trHeight w:val="203"/>
        </w:trPr>
        <w:tc>
          <w:tcPr>
            <w:tcW w:w="53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Amortization to net income of net prior service credit</w:t>
            </w:r>
          </w:p>
        </w:tc>
        <w:tc>
          <w:tcPr>
            <w:tcW w:w="4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(6)</w:t>
            </w:r>
          </w:p>
        </w:tc>
        <w:tc>
          <w:tcPr>
            <w:tcW w:w="82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w:t>
            </w: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(17)</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w:t>
            </w:r>
          </w:p>
        </w:tc>
      </w:tr>
      <w:tr>
        <w:trPr>
          <w:trHeight w:val="203"/>
        </w:trPr>
        <w:tc>
          <w:tcPr>
            <w:tcW w:w="5300" w:type="dxa"/>
            <w:vAlign w:val="bottom"/>
          </w:tcPr>
          <w:p>
            <w:pPr>
              <w:ind w:left="260"/>
              <w:spacing w:after="0"/>
              <w:rPr>
                <w:sz w:val="20"/>
                <w:szCs w:val="20"/>
                <w:color w:val="auto"/>
              </w:rPr>
            </w:pPr>
            <w:r>
              <w:rPr>
                <w:rFonts w:ascii="Arial" w:cs="Arial" w:eastAsia="Arial" w:hAnsi="Arial"/>
                <w:sz w:val="16"/>
                <w:szCs w:val="16"/>
                <w:color w:val="auto"/>
              </w:rPr>
              <w:t>Income taxes on pension and other postretirement benefit plans</w:t>
            </w: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(6)</w:t>
            </w:r>
          </w:p>
        </w:tc>
      </w:tr>
      <w:tr>
        <w:trPr>
          <w:trHeight w:val="203"/>
        </w:trPr>
        <w:tc>
          <w:tcPr>
            <w:tcW w:w="530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Other</w:t>
            </w:r>
          </w:p>
        </w:tc>
        <w:tc>
          <w:tcPr>
            <w:tcW w:w="4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w:t>
            </w:r>
          </w:p>
        </w:tc>
      </w:tr>
      <w:tr>
        <w:trPr>
          <w:trHeight w:val="196"/>
        </w:trPr>
        <w:tc>
          <w:tcPr>
            <w:tcW w:w="5300" w:type="dxa"/>
            <w:vAlign w:val="bottom"/>
          </w:tcPr>
          <w:p>
            <w:pPr>
              <w:spacing w:after="0"/>
              <w:rPr>
                <w:sz w:val="20"/>
                <w:szCs w:val="20"/>
                <w:color w:val="auto"/>
              </w:rPr>
            </w:pPr>
            <w:r>
              <w:rPr>
                <w:rFonts w:ascii="Arial" w:cs="Arial" w:eastAsia="Arial" w:hAnsi="Arial"/>
                <w:sz w:val="16"/>
                <w:szCs w:val="16"/>
                <w:i w:val="1"/>
                <w:iCs w:val="1"/>
                <w:color w:val="auto"/>
              </w:rPr>
              <w:t>Comprehensive income</w:t>
            </w:r>
          </w:p>
        </w:tc>
        <w:tc>
          <w:tcPr>
            <w:tcW w:w="48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987</w:t>
            </w:r>
          </w:p>
        </w:tc>
        <w:tc>
          <w:tcPr>
            <w:tcW w:w="24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641</w:t>
            </w:r>
          </w:p>
        </w:tc>
        <w:tc>
          <w:tcPr>
            <w:tcW w:w="2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2,584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1,504</w:t>
            </w:r>
          </w:p>
        </w:tc>
        <w:tc>
          <w:tcPr>
            <w:tcW w:w="100" w:type="dxa"/>
            <w:vAlign w:val="bottom"/>
          </w:tcPr>
          <w:p>
            <w:pPr>
              <w:spacing w:after="0"/>
              <w:rPr>
                <w:sz w:val="17"/>
                <w:szCs w:val="17"/>
                <w:color w:val="auto"/>
              </w:rPr>
            </w:pPr>
          </w:p>
        </w:tc>
      </w:tr>
      <w:tr>
        <w:trPr>
          <w:trHeight w:val="203"/>
        </w:trPr>
        <w:tc>
          <w:tcPr>
            <w:tcW w:w="53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Comprehensive income attributable to noncontrolling interests</w:t>
            </w:r>
          </w:p>
        </w:tc>
        <w:tc>
          <w:tcPr>
            <w:tcW w:w="480" w:type="dxa"/>
            <w:vAlign w:val="bottom"/>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12</w:t>
            </w:r>
          </w:p>
        </w:tc>
        <w:tc>
          <w:tcPr>
            <w:tcW w:w="240" w:type="dxa"/>
            <w:vAlign w:val="bottom"/>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24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33</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FF0FC"/>
          </w:tcPr>
          <w:p>
            <w:pPr>
              <w:spacing w:after="0"/>
              <w:rPr>
                <w:sz w:val="17"/>
                <w:szCs w:val="17"/>
                <w:color w:val="auto"/>
              </w:rPr>
            </w:pPr>
          </w:p>
        </w:tc>
      </w:tr>
      <w:tr>
        <w:trPr>
          <w:trHeight w:val="196"/>
        </w:trPr>
        <w:tc>
          <w:tcPr>
            <w:tcW w:w="5300" w:type="dxa"/>
            <w:vAlign w:val="bottom"/>
          </w:tcPr>
          <w:p>
            <w:pPr>
              <w:spacing w:after="0"/>
              <w:rPr>
                <w:sz w:val="20"/>
                <w:szCs w:val="20"/>
                <w:color w:val="auto"/>
              </w:rPr>
            </w:pPr>
            <w:r>
              <w:rPr>
                <w:rFonts w:ascii="Arial" w:cs="Arial" w:eastAsia="Arial" w:hAnsi="Arial"/>
                <w:sz w:val="16"/>
                <w:szCs w:val="16"/>
                <w:i w:val="1"/>
                <w:iCs w:val="1"/>
                <w:color w:val="auto"/>
              </w:rPr>
              <w:t>Comprehensive income attributable to Schlumberger</w:t>
            </w:r>
          </w:p>
        </w:tc>
        <w:tc>
          <w:tcPr>
            <w:tcW w:w="480" w:type="dxa"/>
            <w:vAlign w:val="bottom"/>
          </w:tcPr>
          <w:p>
            <w:pPr>
              <w:spacing w:after="0"/>
              <w:rPr>
                <w:sz w:val="17"/>
                <w:szCs w:val="17"/>
                <w:color w:val="auto"/>
              </w:rPr>
            </w:pPr>
          </w:p>
        </w:tc>
        <w:tc>
          <w:tcPr>
            <w:tcW w:w="740" w:type="dxa"/>
            <w:vAlign w:val="bottom"/>
            <w:tcBorders>
              <w:bottom w:val="single" w:sz="8" w:color="auto"/>
            </w:tcBorders>
          </w:tcPr>
          <w:p>
            <w:pPr>
              <w:jc w:val="right"/>
              <w:ind w:right="582"/>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975</w:t>
            </w:r>
          </w:p>
        </w:tc>
        <w:tc>
          <w:tcPr>
            <w:tcW w:w="240" w:type="dxa"/>
            <w:vAlign w:val="bottom"/>
          </w:tcPr>
          <w:p>
            <w:pPr>
              <w:spacing w:after="0"/>
              <w:rPr>
                <w:sz w:val="17"/>
                <w:szCs w:val="17"/>
                <w:color w:val="auto"/>
              </w:rPr>
            </w:pPr>
          </w:p>
        </w:tc>
        <w:tc>
          <w:tcPr>
            <w:tcW w:w="8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629</w:t>
            </w:r>
          </w:p>
        </w:tc>
        <w:tc>
          <w:tcPr>
            <w:tcW w:w="24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2,551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1,467</w:t>
            </w:r>
          </w:p>
        </w:tc>
        <w:tc>
          <w:tcPr>
            <w:tcW w:w="100" w:type="dxa"/>
            <w:vAlign w:val="bottom"/>
          </w:tcPr>
          <w:p>
            <w:pPr>
              <w:spacing w:after="0"/>
              <w:rPr>
                <w:sz w:val="17"/>
                <w:szCs w:val="17"/>
                <w:color w:val="auto"/>
              </w:rPr>
            </w:pPr>
          </w:p>
        </w:tc>
      </w:tr>
      <w:tr>
        <w:trPr>
          <w:trHeight w:val="20"/>
        </w:trPr>
        <w:tc>
          <w:tcPr>
            <w:tcW w:w="5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6"/>
          <w:szCs w:val="16"/>
          <w:b w:val="1"/>
          <w:bCs w:val="1"/>
          <w:u w:val="single" w:color="auto"/>
          <w:color w:val="auto"/>
        </w:rPr>
        <w:t>SCHLUMBERGER LIMITED AND SUBSIDIARIES</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u w:val="single" w:color="auto"/>
          <w:color w:val="auto"/>
        </w:rPr>
        <w:t>CONSOLIDATED BALANCE SHEET</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385"/>
        </w:trPr>
        <w:tc>
          <w:tcPr>
            <w:tcW w:w="7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rPr>
              <w:t>Sept. 30,</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7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center"/>
              <w:ind w:right="119"/>
              <w:spacing w:after="0"/>
              <w:rPr>
                <w:sz w:val="20"/>
                <w:szCs w:val="20"/>
                <w:color w:val="auto"/>
              </w:rPr>
            </w:pPr>
            <w:r>
              <w:rPr>
                <w:rFonts w:ascii="Arial" w:cs="Arial" w:eastAsia="Arial" w:hAnsi="Arial"/>
                <w:sz w:val="16"/>
                <w:szCs w:val="16"/>
                <w:b w:val="1"/>
                <w:bCs w:val="1"/>
                <w:color w:val="auto"/>
              </w:rPr>
              <w:t>2022</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6"/>
                <w:szCs w:val="16"/>
                <w:color w:val="auto"/>
              </w:rPr>
              <w:t>Dec. 31,</w:t>
            </w:r>
          </w:p>
        </w:tc>
      </w:tr>
      <w:tr>
        <w:trPr>
          <w:trHeight w:val="203"/>
        </w:trPr>
        <w:tc>
          <w:tcPr>
            <w:tcW w:w="7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rPr>
              <w:t>(Unaudited)</w:t>
            </w:r>
          </w:p>
        </w:tc>
        <w:tc>
          <w:tcPr>
            <w:tcW w:w="220" w:type="dxa"/>
            <w:vAlign w:val="bottom"/>
          </w:tcPr>
          <w:p>
            <w:pPr>
              <w:spacing w:after="0"/>
              <w:rPr>
                <w:sz w:val="17"/>
                <w:szCs w:val="17"/>
                <w:color w:val="auto"/>
              </w:rPr>
            </w:pPr>
          </w:p>
        </w:tc>
        <w:tc>
          <w:tcPr>
            <w:tcW w:w="1360" w:type="dxa"/>
            <w:vAlign w:val="bottom"/>
          </w:tcPr>
          <w:p>
            <w:pPr>
              <w:jc w:val="right"/>
              <w:ind w:right="539"/>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17"/>
                <w:szCs w:val="17"/>
                <w:color w:val="auto"/>
              </w:rPr>
            </w:pPr>
          </w:p>
        </w:tc>
      </w:tr>
      <w:tr>
        <w:trPr>
          <w:trHeight w:val="210"/>
        </w:trPr>
        <w:tc>
          <w:tcPr>
            <w:tcW w:w="7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i w:val="1"/>
                <w:iCs w:val="1"/>
                <w:color w:val="auto"/>
              </w:rPr>
              <w:t>ASSETS</w:t>
            </w:r>
          </w:p>
        </w:tc>
        <w:tc>
          <w:tcPr>
            <w:tcW w:w="22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03"/>
        </w:trPr>
        <w:tc>
          <w:tcPr>
            <w:tcW w:w="7640" w:type="dxa"/>
            <w:vAlign w:val="bottom"/>
          </w:tcPr>
          <w:p>
            <w:pPr>
              <w:spacing w:after="0"/>
              <w:rPr>
                <w:sz w:val="20"/>
                <w:szCs w:val="20"/>
                <w:color w:val="auto"/>
              </w:rPr>
            </w:pPr>
            <w:r>
              <w:rPr>
                <w:rFonts w:ascii="Arial" w:cs="Arial" w:eastAsia="Arial" w:hAnsi="Arial"/>
                <w:sz w:val="16"/>
                <w:szCs w:val="16"/>
                <w:i w:val="1"/>
                <w:iCs w:val="1"/>
                <w:color w:val="auto"/>
              </w:rPr>
              <w:t>Current Assets</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2,180</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1,757</w:t>
            </w:r>
          </w:p>
        </w:tc>
        <w:tc>
          <w:tcPr>
            <w:tcW w:w="100" w:type="dxa"/>
            <w:vAlign w:val="bottom"/>
            <w:shd w:val="clear" w:color="auto" w:fill="CFF0FC"/>
          </w:tcPr>
          <w:p>
            <w:pPr>
              <w:spacing w:after="0"/>
              <w:rPr>
                <w:sz w:val="17"/>
                <w:szCs w:val="17"/>
                <w:color w:val="auto"/>
              </w:rPr>
            </w:pPr>
          </w:p>
        </w:tc>
      </w:tr>
      <w:tr>
        <w:trPr>
          <w:trHeight w:val="203"/>
        </w:trPr>
        <w:tc>
          <w:tcPr>
            <w:tcW w:w="7640" w:type="dxa"/>
            <w:vAlign w:val="bottom"/>
          </w:tcPr>
          <w:p>
            <w:pPr>
              <w:ind w:left="260"/>
              <w:spacing w:after="0"/>
              <w:rPr>
                <w:sz w:val="20"/>
                <w:szCs w:val="20"/>
                <w:color w:val="auto"/>
              </w:rPr>
            </w:pPr>
            <w:r>
              <w:rPr>
                <w:rFonts w:ascii="Arial" w:cs="Arial" w:eastAsia="Arial" w:hAnsi="Arial"/>
                <w:sz w:val="16"/>
                <w:szCs w:val="16"/>
                <w:color w:val="auto"/>
              </w:rPr>
              <w:t>Short-term investments</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1,429</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1,382</w:t>
            </w:r>
          </w:p>
        </w:tc>
        <w:tc>
          <w:tcPr>
            <w:tcW w:w="100" w:type="dxa"/>
            <w:vAlign w:val="bottom"/>
          </w:tcPr>
          <w:p>
            <w:pPr>
              <w:spacing w:after="0"/>
              <w:rPr>
                <w:sz w:val="17"/>
                <w:szCs w:val="17"/>
                <w:color w:val="auto"/>
              </w:rPr>
            </w:pPr>
          </w:p>
        </w:tc>
      </w:tr>
      <w:tr>
        <w:trPr>
          <w:trHeight w:val="203"/>
        </w:trPr>
        <w:tc>
          <w:tcPr>
            <w:tcW w:w="7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Receivables less allowance for doubtful accounts (2022 - $335; 2021 - $320)</w:t>
            </w: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6,650</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5,315</w:t>
            </w:r>
          </w:p>
        </w:tc>
        <w:tc>
          <w:tcPr>
            <w:tcW w:w="100" w:type="dxa"/>
            <w:vAlign w:val="bottom"/>
            <w:shd w:val="clear" w:color="auto" w:fill="CFF0FC"/>
          </w:tcPr>
          <w:p>
            <w:pPr>
              <w:spacing w:after="0"/>
              <w:rPr>
                <w:sz w:val="17"/>
                <w:szCs w:val="17"/>
                <w:color w:val="auto"/>
              </w:rPr>
            </w:pPr>
          </w:p>
        </w:tc>
      </w:tr>
      <w:tr>
        <w:trPr>
          <w:trHeight w:val="203"/>
        </w:trPr>
        <w:tc>
          <w:tcPr>
            <w:tcW w:w="7640" w:type="dxa"/>
            <w:vAlign w:val="bottom"/>
          </w:tcPr>
          <w:p>
            <w:pPr>
              <w:ind w:left="260"/>
              <w:spacing w:after="0"/>
              <w:rPr>
                <w:sz w:val="20"/>
                <w:szCs w:val="20"/>
                <w:color w:val="auto"/>
              </w:rPr>
            </w:pPr>
            <w:r>
              <w:rPr>
                <w:rFonts w:ascii="Arial" w:cs="Arial" w:eastAsia="Arial" w:hAnsi="Arial"/>
                <w:sz w:val="16"/>
                <w:szCs w:val="16"/>
                <w:color w:val="auto"/>
              </w:rPr>
              <w:t>Inventories</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4,143</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3,272</w:t>
            </w:r>
          </w:p>
        </w:tc>
        <w:tc>
          <w:tcPr>
            <w:tcW w:w="100" w:type="dxa"/>
            <w:vAlign w:val="bottom"/>
          </w:tcPr>
          <w:p>
            <w:pPr>
              <w:spacing w:after="0"/>
              <w:rPr>
                <w:sz w:val="17"/>
                <w:szCs w:val="17"/>
                <w:color w:val="auto"/>
              </w:rPr>
            </w:pPr>
          </w:p>
        </w:tc>
      </w:tr>
      <w:tr>
        <w:trPr>
          <w:trHeight w:val="203"/>
        </w:trPr>
        <w:tc>
          <w:tcPr>
            <w:tcW w:w="7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current assets</w:t>
            </w:r>
          </w:p>
        </w:tc>
        <w:tc>
          <w:tcPr>
            <w:tcW w:w="22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1,209</w:t>
            </w:r>
          </w:p>
        </w:tc>
        <w:tc>
          <w:tcPr>
            <w:tcW w:w="30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928</w:t>
            </w:r>
          </w:p>
        </w:tc>
        <w:tc>
          <w:tcPr>
            <w:tcW w:w="100" w:type="dxa"/>
            <w:vAlign w:val="bottom"/>
            <w:shd w:val="clear" w:color="auto" w:fill="CFF0FC"/>
          </w:tcPr>
          <w:p>
            <w:pPr>
              <w:spacing w:after="0"/>
              <w:rPr>
                <w:sz w:val="17"/>
                <w:szCs w:val="17"/>
                <w:color w:val="auto"/>
              </w:rPr>
            </w:pPr>
          </w:p>
        </w:tc>
      </w:tr>
      <w:tr>
        <w:trPr>
          <w:trHeight w:val="196"/>
        </w:trPr>
        <w:tc>
          <w:tcPr>
            <w:tcW w:w="76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15,611</w:t>
            </w:r>
          </w:p>
        </w:tc>
        <w:tc>
          <w:tcPr>
            <w:tcW w:w="3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12,654</w:t>
            </w:r>
          </w:p>
        </w:tc>
        <w:tc>
          <w:tcPr>
            <w:tcW w:w="100" w:type="dxa"/>
            <w:vAlign w:val="bottom"/>
            <w:tcBorders>
              <w:bottom w:val="single" w:sz="8" w:color="CFF0FC"/>
            </w:tcBorders>
          </w:tcPr>
          <w:p>
            <w:pPr>
              <w:spacing w:after="0"/>
              <w:rPr>
                <w:sz w:val="17"/>
                <w:szCs w:val="17"/>
                <w:color w:val="auto"/>
              </w:rPr>
            </w:pPr>
          </w:p>
        </w:tc>
      </w:tr>
      <w:tr>
        <w:trPr>
          <w:trHeight w:val="196"/>
        </w:trPr>
        <w:tc>
          <w:tcPr>
            <w:tcW w:w="764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Investments in Affiliated Companies</w:t>
            </w: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1,762</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2,044</w:t>
            </w:r>
          </w:p>
        </w:tc>
        <w:tc>
          <w:tcPr>
            <w:tcW w:w="100" w:type="dxa"/>
            <w:vAlign w:val="bottom"/>
            <w:shd w:val="clear" w:color="auto" w:fill="CFF0FC"/>
          </w:tcPr>
          <w:p>
            <w:pPr>
              <w:spacing w:after="0"/>
              <w:rPr>
                <w:sz w:val="17"/>
                <w:szCs w:val="17"/>
                <w:color w:val="auto"/>
              </w:rPr>
            </w:pPr>
          </w:p>
        </w:tc>
      </w:tr>
      <w:tr>
        <w:trPr>
          <w:trHeight w:val="203"/>
        </w:trPr>
        <w:tc>
          <w:tcPr>
            <w:tcW w:w="7640" w:type="dxa"/>
            <w:vAlign w:val="bottom"/>
          </w:tcPr>
          <w:p>
            <w:pPr>
              <w:spacing w:after="0"/>
              <w:rPr>
                <w:sz w:val="20"/>
                <w:szCs w:val="20"/>
                <w:color w:val="auto"/>
              </w:rPr>
            </w:pPr>
            <w:r>
              <w:rPr>
                <w:rFonts w:ascii="Arial" w:cs="Arial" w:eastAsia="Arial" w:hAnsi="Arial"/>
                <w:sz w:val="16"/>
                <w:szCs w:val="16"/>
                <w:i w:val="1"/>
                <w:iCs w:val="1"/>
                <w:color w:val="auto"/>
              </w:rPr>
              <w:t>Fixed Assets less accumulated depreciation</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6,407</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6,429</w:t>
            </w:r>
          </w:p>
        </w:tc>
        <w:tc>
          <w:tcPr>
            <w:tcW w:w="100" w:type="dxa"/>
            <w:vAlign w:val="bottom"/>
          </w:tcPr>
          <w:p>
            <w:pPr>
              <w:spacing w:after="0"/>
              <w:rPr>
                <w:sz w:val="17"/>
                <w:szCs w:val="17"/>
                <w:color w:val="auto"/>
              </w:rPr>
            </w:pPr>
          </w:p>
        </w:tc>
      </w:tr>
      <w:tr>
        <w:trPr>
          <w:trHeight w:val="203"/>
        </w:trPr>
        <w:tc>
          <w:tcPr>
            <w:tcW w:w="764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Goodwill</w:t>
            </w: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12,990</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12,990</w:t>
            </w:r>
          </w:p>
        </w:tc>
        <w:tc>
          <w:tcPr>
            <w:tcW w:w="100" w:type="dxa"/>
            <w:vAlign w:val="bottom"/>
            <w:shd w:val="clear" w:color="auto" w:fill="CFF0FC"/>
          </w:tcPr>
          <w:p>
            <w:pPr>
              <w:spacing w:after="0"/>
              <w:rPr>
                <w:sz w:val="17"/>
                <w:szCs w:val="17"/>
                <w:color w:val="auto"/>
              </w:rPr>
            </w:pPr>
          </w:p>
        </w:tc>
      </w:tr>
      <w:tr>
        <w:trPr>
          <w:trHeight w:val="203"/>
        </w:trPr>
        <w:tc>
          <w:tcPr>
            <w:tcW w:w="7640" w:type="dxa"/>
            <w:vAlign w:val="bottom"/>
          </w:tcPr>
          <w:p>
            <w:pPr>
              <w:spacing w:after="0"/>
              <w:rPr>
                <w:sz w:val="20"/>
                <w:szCs w:val="20"/>
                <w:color w:val="auto"/>
              </w:rPr>
            </w:pPr>
            <w:r>
              <w:rPr>
                <w:rFonts w:ascii="Arial" w:cs="Arial" w:eastAsia="Arial" w:hAnsi="Arial"/>
                <w:sz w:val="16"/>
                <w:szCs w:val="16"/>
                <w:i w:val="1"/>
                <w:iCs w:val="1"/>
                <w:color w:val="auto"/>
              </w:rPr>
              <w:t>Intangible Assets</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3,043</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3,211</w:t>
            </w:r>
          </w:p>
        </w:tc>
        <w:tc>
          <w:tcPr>
            <w:tcW w:w="100" w:type="dxa"/>
            <w:vAlign w:val="bottom"/>
          </w:tcPr>
          <w:p>
            <w:pPr>
              <w:spacing w:after="0"/>
              <w:rPr>
                <w:sz w:val="17"/>
                <w:szCs w:val="17"/>
                <w:color w:val="auto"/>
              </w:rPr>
            </w:pPr>
          </w:p>
        </w:tc>
      </w:tr>
      <w:tr>
        <w:trPr>
          <w:trHeight w:val="203"/>
        </w:trPr>
        <w:tc>
          <w:tcPr>
            <w:tcW w:w="764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Other Assets</w:t>
            </w:r>
          </w:p>
        </w:tc>
        <w:tc>
          <w:tcPr>
            <w:tcW w:w="22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4,280</w:t>
            </w:r>
          </w:p>
        </w:tc>
        <w:tc>
          <w:tcPr>
            <w:tcW w:w="30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4,183</w:t>
            </w:r>
          </w:p>
        </w:tc>
        <w:tc>
          <w:tcPr>
            <w:tcW w:w="100" w:type="dxa"/>
            <w:vAlign w:val="bottom"/>
            <w:shd w:val="clear" w:color="auto" w:fill="CFF0FC"/>
          </w:tcPr>
          <w:p>
            <w:pPr>
              <w:spacing w:after="0"/>
              <w:rPr>
                <w:sz w:val="17"/>
                <w:szCs w:val="17"/>
                <w:color w:val="auto"/>
              </w:rPr>
            </w:pPr>
          </w:p>
        </w:tc>
      </w:tr>
      <w:tr>
        <w:trPr>
          <w:trHeight w:val="236"/>
        </w:trPr>
        <w:tc>
          <w:tcPr>
            <w:tcW w:w="764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44,093</w:t>
            </w:r>
          </w:p>
        </w:tc>
        <w:tc>
          <w:tcPr>
            <w:tcW w:w="3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41,511</w:t>
            </w:r>
          </w:p>
        </w:tc>
        <w:tc>
          <w:tcPr>
            <w:tcW w:w="100" w:type="dxa"/>
            <w:vAlign w:val="bottom"/>
            <w:tcBorders>
              <w:bottom w:val="single" w:sz="8" w:color="CFF0FC"/>
            </w:tcBorders>
          </w:tcPr>
          <w:p>
            <w:pPr>
              <w:spacing w:after="0"/>
              <w:rPr>
                <w:sz w:val="20"/>
                <w:szCs w:val="20"/>
                <w:color w:val="auto"/>
              </w:rPr>
            </w:pPr>
          </w:p>
        </w:tc>
      </w:tr>
      <w:tr>
        <w:trPr>
          <w:trHeight w:val="183"/>
        </w:trPr>
        <w:tc>
          <w:tcPr>
            <w:tcW w:w="7640" w:type="dxa"/>
            <w:vAlign w:val="bottom"/>
            <w:shd w:val="clear" w:color="auto" w:fill="CFF0FC"/>
          </w:tcPr>
          <w:p>
            <w:pPr>
              <w:spacing w:after="0"/>
              <w:rPr>
                <w:sz w:val="20"/>
                <w:szCs w:val="20"/>
                <w:color w:val="auto"/>
              </w:rPr>
            </w:pPr>
            <w:r>
              <w:rPr>
                <w:rFonts w:ascii="Arial" w:cs="Arial" w:eastAsia="Arial" w:hAnsi="Arial"/>
                <w:sz w:val="16"/>
                <w:szCs w:val="16"/>
                <w:b w:val="1"/>
                <w:bCs w:val="1"/>
                <w:i w:val="1"/>
                <w:iCs w:val="1"/>
                <w:color w:val="auto"/>
              </w:rPr>
              <w:t>LIABILITIES AND EQUITY</w:t>
            </w: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640" w:type="dxa"/>
            <w:vAlign w:val="bottom"/>
          </w:tcPr>
          <w:p>
            <w:pPr>
              <w:spacing w:after="0"/>
              <w:rPr>
                <w:sz w:val="20"/>
                <w:szCs w:val="20"/>
                <w:color w:val="auto"/>
              </w:rPr>
            </w:pPr>
            <w:r>
              <w:rPr>
                <w:rFonts w:ascii="Arial" w:cs="Arial" w:eastAsia="Arial" w:hAnsi="Arial"/>
                <w:sz w:val="16"/>
                <w:szCs w:val="16"/>
                <w:i w:val="1"/>
                <w:iCs w:val="1"/>
                <w:color w:val="auto"/>
              </w:rPr>
              <w:t>Current Liabilities</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payable and accrued liabilities</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9,034</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8,382</w:t>
            </w:r>
          </w:p>
        </w:tc>
        <w:tc>
          <w:tcPr>
            <w:tcW w:w="100" w:type="dxa"/>
            <w:vAlign w:val="bottom"/>
            <w:shd w:val="clear" w:color="auto" w:fill="CFF0FC"/>
          </w:tcPr>
          <w:p>
            <w:pPr>
              <w:spacing w:after="0"/>
              <w:rPr>
                <w:sz w:val="17"/>
                <w:szCs w:val="17"/>
                <w:color w:val="auto"/>
              </w:rPr>
            </w:pPr>
          </w:p>
        </w:tc>
      </w:tr>
      <w:tr>
        <w:trPr>
          <w:trHeight w:val="203"/>
        </w:trPr>
        <w:tc>
          <w:tcPr>
            <w:tcW w:w="7640" w:type="dxa"/>
            <w:vAlign w:val="bottom"/>
          </w:tcPr>
          <w:p>
            <w:pPr>
              <w:ind w:left="260"/>
              <w:spacing w:after="0"/>
              <w:rPr>
                <w:sz w:val="20"/>
                <w:szCs w:val="20"/>
                <w:color w:val="auto"/>
              </w:rPr>
            </w:pPr>
            <w:r>
              <w:rPr>
                <w:rFonts w:ascii="Arial" w:cs="Arial" w:eastAsia="Arial" w:hAnsi="Arial"/>
                <w:sz w:val="16"/>
                <w:szCs w:val="16"/>
                <w:color w:val="auto"/>
              </w:rPr>
              <w:t>Estimated liability for taxes on income</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938</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879</w:t>
            </w:r>
          </w:p>
        </w:tc>
        <w:tc>
          <w:tcPr>
            <w:tcW w:w="100" w:type="dxa"/>
            <w:vAlign w:val="bottom"/>
          </w:tcPr>
          <w:p>
            <w:pPr>
              <w:spacing w:after="0"/>
              <w:rPr>
                <w:sz w:val="17"/>
                <w:szCs w:val="17"/>
                <w:color w:val="auto"/>
              </w:rPr>
            </w:pPr>
          </w:p>
        </w:tc>
      </w:tr>
      <w:tr>
        <w:trPr>
          <w:trHeight w:val="203"/>
        </w:trPr>
        <w:tc>
          <w:tcPr>
            <w:tcW w:w="7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Short-term borrowings and current portion of long-term debt</w:t>
            </w: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899</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909</w:t>
            </w:r>
          </w:p>
        </w:tc>
        <w:tc>
          <w:tcPr>
            <w:tcW w:w="100" w:type="dxa"/>
            <w:vAlign w:val="bottom"/>
            <w:shd w:val="clear" w:color="auto" w:fill="CFF0FC"/>
          </w:tcPr>
          <w:p>
            <w:pPr>
              <w:spacing w:after="0"/>
              <w:rPr>
                <w:sz w:val="17"/>
                <w:szCs w:val="17"/>
                <w:color w:val="auto"/>
              </w:rPr>
            </w:pPr>
          </w:p>
        </w:tc>
      </w:tr>
      <w:tr>
        <w:trPr>
          <w:trHeight w:val="203"/>
        </w:trPr>
        <w:tc>
          <w:tcPr>
            <w:tcW w:w="76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Dividends payable</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263</w:t>
            </w:r>
          </w:p>
        </w:tc>
        <w:tc>
          <w:tcPr>
            <w:tcW w:w="3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Borders>
              <w:bottom w:val="single" w:sz="8" w:color="CFF0FC"/>
            </w:tcBorders>
          </w:tcPr>
          <w:p>
            <w:pPr>
              <w:spacing w:after="0"/>
              <w:rPr>
                <w:sz w:val="17"/>
                <w:szCs w:val="17"/>
                <w:color w:val="auto"/>
              </w:rPr>
            </w:pPr>
          </w:p>
        </w:tc>
      </w:tr>
      <w:tr>
        <w:trPr>
          <w:trHeight w:val="196"/>
        </w:trPr>
        <w:tc>
          <w:tcPr>
            <w:tcW w:w="7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11,134</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10,359</w:t>
            </w:r>
          </w:p>
        </w:tc>
        <w:tc>
          <w:tcPr>
            <w:tcW w:w="100" w:type="dxa"/>
            <w:vAlign w:val="bottom"/>
            <w:shd w:val="clear" w:color="auto" w:fill="CFF0FC"/>
          </w:tcPr>
          <w:p>
            <w:pPr>
              <w:spacing w:after="0"/>
              <w:rPr>
                <w:sz w:val="17"/>
                <w:szCs w:val="17"/>
                <w:color w:val="auto"/>
              </w:rPr>
            </w:pPr>
          </w:p>
        </w:tc>
      </w:tr>
      <w:tr>
        <w:trPr>
          <w:trHeight w:val="203"/>
        </w:trPr>
        <w:tc>
          <w:tcPr>
            <w:tcW w:w="7640" w:type="dxa"/>
            <w:vAlign w:val="bottom"/>
          </w:tcPr>
          <w:p>
            <w:pPr>
              <w:spacing w:after="0"/>
              <w:rPr>
                <w:sz w:val="20"/>
                <w:szCs w:val="20"/>
                <w:color w:val="auto"/>
              </w:rPr>
            </w:pPr>
            <w:r>
              <w:rPr>
                <w:rFonts w:ascii="Arial" w:cs="Arial" w:eastAsia="Arial" w:hAnsi="Arial"/>
                <w:sz w:val="16"/>
                <w:szCs w:val="16"/>
                <w:i w:val="1"/>
                <w:iCs w:val="1"/>
                <w:color w:val="auto"/>
              </w:rPr>
              <w:t>Long-term Debt</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12,452</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13,286</w:t>
            </w:r>
          </w:p>
        </w:tc>
        <w:tc>
          <w:tcPr>
            <w:tcW w:w="100" w:type="dxa"/>
            <w:vAlign w:val="bottom"/>
          </w:tcPr>
          <w:p>
            <w:pPr>
              <w:spacing w:after="0"/>
              <w:rPr>
                <w:sz w:val="17"/>
                <w:szCs w:val="17"/>
                <w:color w:val="auto"/>
              </w:rPr>
            </w:pPr>
          </w:p>
        </w:tc>
      </w:tr>
      <w:tr>
        <w:trPr>
          <w:trHeight w:val="203"/>
        </w:trPr>
        <w:tc>
          <w:tcPr>
            <w:tcW w:w="764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Postretirement Benefits</w:t>
            </w: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233</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231</w:t>
            </w:r>
          </w:p>
        </w:tc>
        <w:tc>
          <w:tcPr>
            <w:tcW w:w="100" w:type="dxa"/>
            <w:vAlign w:val="bottom"/>
            <w:shd w:val="clear" w:color="auto" w:fill="CFF0FC"/>
          </w:tcPr>
          <w:p>
            <w:pPr>
              <w:spacing w:after="0"/>
              <w:rPr>
                <w:sz w:val="17"/>
                <w:szCs w:val="17"/>
                <w:color w:val="auto"/>
              </w:rPr>
            </w:pPr>
          </w:p>
        </w:tc>
      </w:tr>
      <w:tr>
        <w:trPr>
          <w:trHeight w:val="203"/>
        </w:trPr>
        <w:tc>
          <w:tcPr>
            <w:tcW w:w="7640" w:type="dxa"/>
            <w:vAlign w:val="bottom"/>
          </w:tcPr>
          <w:p>
            <w:pPr>
              <w:spacing w:after="0"/>
              <w:rPr>
                <w:sz w:val="20"/>
                <w:szCs w:val="20"/>
                <w:color w:val="auto"/>
              </w:rPr>
            </w:pPr>
            <w:r>
              <w:rPr>
                <w:rFonts w:ascii="Arial" w:cs="Arial" w:eastAsia="Arial" w:hAnsi="Arial"/>
                <w:sz w:val="16"/>
                <w:szCs w:val="16"/>
                <w:i w:val="1"/>
                <w:iCs w:val="1"/>
                <w:color w:val="auto"/>
              </w:rPr>
              <w:t>Deferred Taxes</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86</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7"/>
                <w:szCs w:val="17"/>
                <w:color w:val="auto"/>
              </w:rPr>
            </w:pPr>
          </w:p>
        </w:tc>
      </w:tr>
      <w:tr>
        <w:trPr>
          <w:trHeight w:val="203"/>
        </w:trPr>
        <w:tc>
          <w:tcPr>
            <w:tcW w:w="764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Other Liabilities</w:t>
            </w:r>
          </w:p>
        </w:tc>
        <w:tc>
          <w:tcPr>
            <w:tcW w:w="22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2,677</w:t>
            </w:r>
          </w:p>
        </w:tc>
        <w:tc>
          <w:tcPr>
            <w:tcW w:w="30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2,255</w:t>
            </w:r>
          </w:p>
        </w:tc>
        <w:tc>
          <w:tcPr>
            <w:tcW w:w="100" w:type="dxa"/>
            <w:vAlign w:val="bottom"/>
            <w:shd w:val="clear" w:color="auto" w:fill="CFF0FC"/>
          </w:tcPr>
          <w:p>
            <w:pPr>
              <w:spacing w:after="0"/>
              <w:rPr>
                <w:sz w:val="17"/>
                <w:szCs w:val="17"/>
                <w:color w:val="auto"/>
              </w:rPr>
            </w:pPr>
          </w:p>
        </w:tc>
      </w:tr>
      <w:tr>
        <w:trPr>
          <w:trHeight w:val="196"/>
        </w:trPr>
        <w:tc>
          <w:tcPr>
            <w:tcW w:w="76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26,582</w:t>
            </w:r>
          </w:p>
        </w:tc>
        <w:tc>
          <w:tcPr>
            <w:tcW w:w="3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26,225</w:t>
            </w:r>
          </w:p>
        </w:tc>
        <w:tc>
          <w:tcPr>
            <w:tcW w:w="100" w:type="dxa"/>
            <w:vAlign w:val="bottom"/>
            <w:tcBorders>
              <w:bottom w:val="single" w:sz="8" w:color="CFF0FC"/>
            </w:tcBorders>
          </w:tcPr>
          <w:p>
            <w:pPr>
              <w:spacing w:after="0"/>
              <w:rPr>
                <w:sz w:val="17"/>
                <w:szCs w:val="17"/>
                <w:color w:val="auto"/>
              </w:rPr>
            </w:pPr>
          </w:p>
        </w:tc>
      </w:tr>
      <w:tr>
        <w:trPr>
          <w:trHeight w:val="196"/>
        </w:trPr>
        <w:tc>
          <w:tcPr>
            <w:tcW w:w="764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Equity</w:t>
            </w: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640" w:type="dxa"/>
            <w:vAlign w:val="bottom"/>
          </w:tcPr>
          <w:p>
            <w:pPr>
              <w:ind w:left="260"/>
              <w:spacing w:after="0"/>
              <w:rPr>
                <w:sz w:val="20"/>
                <w:szCs w:val="20"/>
                <w:color w:val="auto"/>
              </w:rPr>
            </w:pPr>
            <w:r>
              <w:rPr>
                <w:rFonts w:ascii="Arial" w:cs="Arial" w:eastAsia="Arial" w:hAnsi="Arial"/>
                <w:sz w:val="16"/>
                <w:szCs w:val="16"/>
                <w:color w:val="auto"/>
              </w:rPr>
              <w:t>Common stock</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11,867</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12,608</w:t>
            </w:r>
          </w:p>
        </w:tc>
        <w:tc>
          <w:tcPr>
            <w:tcW w:w="100" w:type="dxa"/>
            <w:vAlign w:val="bottom"/>
          </w:tcPr>
          <w:p>
            <w:pPr>
              <w:spacing w:after="0"/>
              <w:rPr>
                <w:sz w:val="17"/>
                <w:szCs w:val="17"/>
                <w:color w:val="auto"/>
              </w:rPr>
            </w:pPr>
          </w:p>
        </w:tc>
      </w:tr>
      <w:tr>
        <w:trPr>
          <w:trHeight w:val="203"/>
        </w:trPr>
        <w:tc>
          <w:tcPr>
            <w:tcW w:w="7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Treasury stock</w:t>
            </w:r>
          </w:p>
        </w:tc>
        <w:tc>
          <w:tcPr>
            <w:tcW w:w="22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(1,176)</w:t>
            </w:r>
          </w:p>
        </w:tc>
        <w:tc>
          <w:tcPr>
            <w:tcW w:w="2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(2,233)</w:t>
            </w:r>
          </w:p>
        </w:tc>
      </w:tr>
      <w:tr>
        <w:trPr>
          <w:trHeight w:val="203"/>
        </w:trPr>
        <w:tc>
          <w:tcPr>
            <w:tcW w:w="7640" w:type="dxa"/>
            <w:vAlign w:val="bottom"/>
          </w:tcPr>
          <w:p>
            <w:pPr>
              <w:ind w:left="260"/>
              <w:spacing w:after="0"/>
              <w:rPr>
                <w:sz w:val="20"/>
                <w:szCs w:val="20"/>
                <w:color w:val="auto"/>
              </w:rPr>
            </w:pPr>
            <w:r>
              <w:rPr>
                <w:rFonts w:ascii="Arial" w:cs="Arial" w:eastAsia="Arial" w:hAnsi="Arial"/>
                <w:sz w:val="16"/>
                <w:szCs w:val="16"/>
                <w:color w:val="auto"/>
              </w:rPr>
              <w:t>Retained earnings</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9,904</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8,199</w:t>
            </w:r>
          </w:p>
        </w:tc>
        <w:tc>
          <w:tcPr>
            <w:tcW w:w="100" w:type="dxa"/>
            <w:vAlign w:val="bottom"/>
          </w:tcPr>
          <w:p>
            <w:pPr>
              <w:spacing w:after="0"/>
              <w:rPr>
                <w:sz w:val="17"/>
                <w:szCs w:val="17"/>
                <w:color w:val="auto"/>
              </w:rPr>
            </w:pPr>
          </w:p>
        </w:tc>
      </w:tr>
      <w:tr>
        <w:trPr>
          <w:trHeight w:val="203"/>
        </w:trPr>
        <w:tc>
          <w:tcPr>
            <w:tcW w:w="7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(3,396)</w:t>
            </w:r>
          </w:p>
        </w:tc>
        <w:tc>
          <w:tcPr>
            <w:tcW w:w="2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(3,570)</w:t>
            </w:r>
          </w:p>
        </w:tc>
      </w:tr>
      <w:tr>
        <w:trPr>
          <w:trHeight w:val="196"/>
        </w:trPr>
        <w:tc>
          <w:tcPr>
            <w:tcW w:w="7640" w:type="dxa"/>
            <w:vAlign w:val="bottom"/>
          </w:tcPr>
          <w:p>
            <w:pPr>
              <w:ind w:left="260"/>
              <w:spacing w:after="0"/>
              <w:rPr>
                <w:sz w:val="20"/>
                <w:szCs w:val="20"/>
                <w:color w:val="auto"/>
              </w:rPr>
            </w:pPr>
            <w:r>
              <w:rPr>
                <w:rFonts w:ascii="Arial" w:cs="Arial" w:eastAsia="Arial" w:hAnsi="Arial"/>
                <w:sz w:val="16"/>
                <w:szCs w:val="16"/>
                <w:color w:val="auto"/>
              </w:rPr>
              <w:t>Schlumberger stockholders’ equity</w:t>
            </w:r>
          </w:p>
        </w:tc>
        <w:tc>
          <w:tcPr>
            <w:tcW w:w="2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17,199</w:t>
            </w:r>
          </w:p>
        </w:tc>
        <w:tc>
          <w:tcPr>
            <w:tcW w:w="3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15,004</w:t>
            </w:r>
          </w:p>
        </w:tc>
        <w:tc>
          <w:tcPr>
            <w:tcW w:w="100" w:type="dxa"/>
            <w:vAlign w:val="bottom"/>
          </w:tcPr>
          <w:p>
            <w:pPr>
              <w:spacing w:after="0"/>
              <w:rPr>
                <w:sz w:val="17"/>
                <w:szCs w:val="17"/>
                <w:color w:val="auto"/>
              </w:rPr>
            </w:pPr>
          </w:p>
        </w:tc>
      </w:tr>
      <w:tr>
        <w:trPr>
          <w:trHeight w:val="203"/>
        </w:trPr>
        <w:tc>
          <w:tcPr>
            <w:tcW w:w="7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Noncontrolling interests</w:t>
            </w:r>
          </w:p>
        </w:tc>
        <w:tc>
          <w:tcPr>
            <w:tcW w:w="22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312</w:t>
            </w:r>
          </w:p>
        </w:tc>
        <w:tc>
          <w:tcPr>
            <w:tcW w:w="30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282</w:t>
            </w:r>
          </w:p>
        </w:tc>
        <w:tc>
          <w:tcPr>
            <w:tcW w:w="100" w:type="dxa"/>
            <w:vAlign w:val="bottom"/>
            <w:shd w:val="clear" w:color="auto" w:fill="CFF0FC"/>
          </w:tcPr>
          <w:p>
            <w:pPr>
              <w:spacing w:after="0"/>
              <w:rPr>
                <w:sz w:val="17"/>
                <w:szCs w:val="17"/>
                <w:color w:val="auto"/>
              </w:rPr>
            </w:pPr>
          </w:p>
        </w:tc>
      </w:tr>
      <w:tr>
        <w:trPr>
          <w:trHeight w:val="196"/>
        </w:trPr>
        <w:tc>
          <w:tcPr>
            <w:tcW w:w="76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17,511</w:t>
            </w:r>
          </w:p>
        </w:tc>
        <w:tc>
          <w:tcPr>
            <w:tcW w:w="3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15,286</w:t>
            </w:r>
          </w:p>
        </w:tc>
        <w:tc>
          <w:tcPr>
            <w:tcW w:w="100" w:type="dxa"/>
            <w:vAlign w:val="bottom"/>
            <w:tcBorders>
              <w:bottom w:val="single" w:sz="8" w:color="CFF0FC"/>
            </w:tcBorders>
          </w:tcPr>
          <w:p>
            <w:pPr>
              <w:spacing w:after="0"/>
              <w:rPr>
                <w:sz w:val="17"/>
                <w:szCs w:val="17"/>
                <w:color w:val="auto"/>
              </w:rPr>
            </w:pPr>
          </w:p>
        </w:tc>
      </w:tr>
      <w:tr>
        <w:trPr>
          <w:trHeight w:val="196"/>
        </w:trPr>
        <w:tc>
          <w:tcPr>
            <w:tcW w:w="76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44,093</w:t>
            </w:r>
          </w:p>
        </w:tc>
        <w:tc>
          <w:tcPr>
            <w:tcW w:w="3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41,511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
        </w:trPr>
        <w:tc>
          <w:tcPr>
            <w:tcW w:w="7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u w:val="single" w:color="auto"/>
          <w:color w:val="auto"/>
        </w:rPr>
        <w:t>SCHLUMBERGER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CONSOLIDATED STATEMENT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346"/>
        </w:trPr>
        <w:tc>
          <w:tcPr>
            <w:tcW w:w="6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560" w:type="dxa"/>
            <w:vAlign w:val="bottom"/>
            <w:gridSpan w:val="7"/>
          </w:tcPr>
          <w:p>
            <w:pPr>
              <w:jc w:val="right"/>
              <w:ind w:right="500"/>
              <w:spacing w:after="0"/>
              <w:rPr>
                <w:sz w:val="20"/>
                <w:szCs w:val="20"/>
                <w:color w:val="auto"/>
              </w:rPr>
            </w:pPr>
            <w:r>
              <w:rPr>
                <w:rFonts w:ascii="Arial" w:cs="Arial" w:eastAsia="Arial" w:hAnsi="Arial"/>
                <w:sz w:val="16"/>
                <w:szCs w:val="16"/>
                <w:b w:val="1"/>
                <w:bCs w:val="1"/>
                <w:color w:val="auto"/>
              </w:rPr>
              <w:t>Nine Months Ended September 30,</w:t>
            </w:r>
          </w:p>
        </w:tc>
      </w:tr>
      <w:tr>
        <w:trPr>
          <w:trHeight w:val="196"/>
        </w:trPr>
        <w:tc>
          <w:tcPr>
            <w:tcW w:w="6720" w:type="dxa"/>
            <w:vAlign w:val="bottom"/>
            <w:tcBorders>
              <w:bottom w:val="single" w:sz="8" w:color="CFF0FC"/>
            </w:tcBorders>
          </w:tcPr>
          <w:p>
            <w:pPr>
              <w:spacing w:after="0"/>
              <w:rPr>
                <w:sz w:val="17"/>
                <w:szCs w:val="17"/>
                <w:color w:val="auto"/>
              </w:rPr>
            </w:pPr>
          </w:p>
        </w:tc>
        <w:tc>
          <w:tcPr>
            <w:tcW w:w="960" w:type="dxa"/>
            <w:vAlign w:val="bottom"/>
            <w:tcBorders>
              <w:bottom w:val="single" w:sz="8" w:color="CFF0FC"/>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CFF0FC"/>
            </w:tcBorders>
          </w:tcPr>
          <w:p>
            <w:pPr>
              <w:spacing w:after="0"/>
              <w:rPr>
                <w:sz w:val="17"/>
                <w:szCs w:val="17"/>
                <w:color w:val="auto"/>
              </w:rPr>
            </w:pPr>
          </w:p>
        </w:tc>
        <w:tc>
          <w:tcPr>
            <w:tcW w:w="120" w:type="dxa"/>
            <w:vAlign w:val="bottom"/>
            <w:tcBorders>
              <w:top w:val="single" w:sz="8" w:color="auto"/>
              <w:bottom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CFF0FC"/>
            </w:tcBorders>
          </w:tcPr>
          <w:p>
            <w:pPr>
              <w:spacing w:after="0"/>
              <w:rPr>
                <w:sz w:val="17"/>
                <w:szCs w:val="17"/>
                <w:color w:val="auto"/>
              </w:rPr>
            </w:pPr>
          </w:p>
        </w:tc>
      </w:tr>
      <w:tr>
        <w:trPr>
          <w:trHeight w:val="196"/>
        </w:trPr>
        <w:tc>
          <w:tcPr>
            <w:tcW w:w="672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9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720" w:type="dxa"/>
            <w:vAlign w:val="bottom"/>
          </w:tcPr>
          <w:p>
            <w:pPr>
              <w:ind w:left="260"/>
              <w:spacing w:after="0"/>
              <w:rPr>
                <w:sz w:val="20"/>
                <w:szCs w:val="20"/>
                <w:color w:val="auto"/>
              </w:rPr>
            </w:pPr>
            <w:r>
              <w:rPr>
                <w:rFonts w:ascii="Arial" w:cs="Arial" w:eastAsia="Arial" w:hAnsi="Arial"/>
                <w:sz w:val="16"/>
                <w:szCs w:val="16"/>
                <w:color w:val="auto"/>
              </w:rPr>
              <w:t>Net income</w:t>
            </w:r>
          </w:p>
        </w:tc>
        <w:tc>
          <w:tcPr>
            <w:tcW w:w="2000" w:type="dxa"/>
            <w:vAlign w:val="bottom"/>
            <w:gridSpan w:val="2"/>
          </w:tcPr>
          <w:p>
            <w:pPr>
              <w:jc w:val="right"/>
              <w:ind w:right="859"/>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2,410</w:t>
            </w:r>
          </w:p>
        </w:tc>
        <w:tc>
          <w:tcPr>
            <w:tcW w:w="180" w:type="dxa"/>
            <w:vAlign w:val="bottom"/>
          </w:tcPr>
          <w:p>
            <w:pPr>
              <w:spacing w:after="0"/>
              <w:rPr>
                <w:sz w:val="17"/>
                <w:szCs w:val="17"/>
                <w:color w:val="auto"/>
              </w:rPr>
            </w:pPr>
          </w:p>
        </w:tc>
        <w:tc>
          <w:tcPr>
            <w:tcW w:w="34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1,317</w:t>
            </w:r>
          </w:p>
        </w:tc>
        <w:tc>
          <w:tcPr>
            <w:tcW w:w="100" w:type="dxa"/>
            <w:vAlign w:val="bottom"/>
          </w:tcPr>
          <w:p>
            <w:pPr>
              <w:spacing w:after="0"/>
              <w:rPr>
                <w:sz w:val="17"/>
                <w:szCs w:val="17"/>
                <w:color w:val="auto"/>
              </w:rPr>
            </w:pPr>
          </w:p>
        </w:tc>
      </w:tr>
      <w:tr>
        <w:trPr>
          <w:trHeight w:val="203"/>
        </w:trPr>
        <w:tc>
          <w:tcPr>
            <w:tcW w:w="6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income to cash provided by operating activities:</w:t>
            </w:r>
          </w:p>
        </w:tc>
        <w:tc>
          <w:tcPr>
            <w:tcW w:w="9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720" w:type="dxa"/>
            <w:vAlign w:val="bottom"/>
          </w:tcPr>
          <w:p>
            <w:pPr>
              <w:ind w:left="620"/>
              <w:spacing w:after="0"/>
              <w:rPr>
                <w:sz w:val="20"/>
                <w:szCs w:val="20"/>
                <w:color w:val="auto"/>
              </w:rPr>
            </w:pPr>
            <w:r>
              <w:rPr>
                <w:rFonts w:ascii="Arial" w:cs="Arial" w:eastAsia="Arial" w:hAnsi="Arial"/>
                <w:sz w:val="16"/>
                <w:szCs w:val="16"/>
                <w:color w:val="auto"/>
              </w:rPr>
              <w:t>Gain on sale of Liberty shares</w:t>
            </w: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(242)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r>
      <w:tr>
        <w:trPr>
          <w:trHeight w:val="203"/>
        </w:trPr>
        <w:tc>
          <w:tcPr>
            <w:tcW w:w="6720" w:type="dxa"/>
            <w:vAlign w:val="bottom"/>
            <w:shd w:val="clear" w:color="auto" w:fill="CFF0FC"/>
          </w:tcPr>
          <w:p>
            <w:pPr>
              <w:ind w:left="620"/>
              <w:spacing w:after="0"/>
              <w:rPr>
                <w:sz w:val="20"/>
                <w:szCs w:val="20"/>
                <w:color w:val="auto"/>
              </w:rPr>
            </w:pPr>
            <w:r>
              <w:rPr>
                <w:rFonts w:ascii="Arial" w:cs="Arial" w:eastAsia="Arial" w:hAnsi="Arial"/>
                <w:sz w:val="16"/>
                <w:szCs w:val="16"/>
                <w:color w:val="auto"/>
              </w:rPr>
              <w:t>Gain on sale of real estate</w:t>
            </w:r>
          </w:p>
        </w:tc>
        <w:tc>
          <w:tcPr>
            <w:tcW w:w="9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(43)</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r>
      <w:tr>
        <w:trPr>
          <w:trHeight w:val="203"/>
        </w:trPr>
        <w:tc>
          <w:tcPr>
            <w:tcW w:w="6720" w:type="dxa"/>
            <w:vAlign w:val="bottom"/>
          </w:tcPr>
          <w:p>
            <w:pPr>
              <w:ind w:left="620"/>
              <w:spacing w:after="0"/>
              <w:rPr>
                <w:sz w:val="20"/>
                <w:szCs w:val="20"/>
                <w:color w:val="auto"/>
              </w:rPr>
            </w:pPr>
            <w:r>
              <w:rPr>
                <w:rFonts w:ascii="Arial" w:cs="Arial" w:eastAsia="Arial" w:hAnsi="Arial"/>
                <w:sz w:val="16"/>
                <w:szCs w:val="16"/>
                <w:color w:val="auto"/>
              </w:rPr>
              <w:t>Gain on marketable securities</w:t>
            </w: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(47)</w:t>
            </w:r>
          </w:p>
        </w:tc>
      </w:tr>
      <w:tr>
        <w:trPr>
          <w:trHeight w:val="203"/>
        </w:trPr>
        <w:tc>
          <w:tcPr>
            <w:tcW w:w="6720" w:type="dxa"/>
            <w:vAlign w:val="bottom"/>
            <w:shd w:val="clear" w:color="auto" w:fill="CFF0FC"/>
          </w:tcPr>
          <w:p>
            <w:pPr>
              <w:ind w:left="620"/>
              <w:spacing w:after="0" w:line="202" w:lineRule="exact"/>
              <w:rPr>
                <w:sz w:val="20"/>
                <w:szCs w:val="20"/>
                <w:color w:val="auto"/>
              </w:rPr>
            </w:pPr>
            <w:r>
              <w:rPr>
                <w:rFonts w:ascii="Arial" w:cs="Arial" w:eastAsia="Arial" w:hAnsi="Arial"/>
                <w:sz w:val="14"/>
                <w:szCs w:val="14"/>
                <w:color w:val="auto"/>
              </w:rPr>
              <w:t xml:space="preserve">Depreciation and amortization </w:t>
            </w:r>
            <w:r>
              <w:rPr>
                <w:rFonts w:ascii="Arial" w:cs="Arial" w:eastAsia="Arial" w:hAnsi="Arial"/>
                <w:sz w:val="23"/>
                <w:szCs w:val="23"/>
                <w:color w:val="auto"/>
                <w:vertAlign w:val="superscript"/>
              </w:rPr>
              <w:t>(1)</w:t>
            </w:r>
          </w:p>
        </w:tc>
        <w:tc>
          <w:tcPr>
            <w:tcW w:w="9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1,598</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1,588</w:t>
            </w:r>
          </w:p>
        </w:tc>
        <w:tc>
          <w:tcPr>
            <w:tcW w:w="100" w:type="dxa"/>
            <w:vAlign w:val="bottom"/>
            <w:shd w:val="clear" w:color="auto" w:fill="CFF0FC"/>
          </w:tcPr>
          <w:p>
            <w:pPr>
              <w:spacing w:after="0"/>
              <w:rPr>
                <w:sz w:val="17"/>
                <w:szCs w:val="17"/>
                <w:color w:val="auto"/>
              </w:rPr>
            </w:pPr>
          </w:p>
        </w:tc>
      </w:tr>
      <w:tr>
        <w:trPr>
          <w:trHeight w:val="203"/>
        </w:trPr>
        <w:tc>
          <w:tcPr>
            <w:tcW w:w="6720" w:type="dxa"/>
            <w:vAlign w:val="bottom"/>
          </w:tcPr>
          <w:p>
            <w:pPr>
              <w:ind w:left="620"/>
              <w:spacing w:after="0"/>
              <w:rPr>
                <w:sz w:val="20"/>
                <w:szCs w:val="20"/>
                <w:color w:val="auto"/>
              </w:rPr>
            </w:pPr>
            <w:r>
              <w:rPr>
                <w:rFonts w:ascii="Arial" w:cs="Arial" w:eastAsia="Arial" w:hAnsi="Arial"/>
                <w:sz w:val="16"/>
                <w:szCs w:val="16"/>
                <w:color w:val="auto"/>
              </w:rPr>
              <w:t>Deferred taxes</w:t>
            </w: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(33)</w:t>
            </w:r>
          </w:p>
        </w:tc>
      </w:tr>
      <w:tr>
        <w:trPr>
          <w:trHeight w:val="203"/>
        </w:trPr>
        <w:tc>
          <w:tcPr>
            <w:tcW w:w="6720" w:type="dxa"/>
            <w:vAlign w:val="bottom"/>
            <w:shd w:val="clear" w:color="auto" w:fill="CFF0FC"/>
          </w:tcPr>
          <w:p>
            <w:pPr>
              <w:ind w:left="620"/>
              <w:spacing w:after="0"/>
              <w:rPr>
                <w:sz w:val="20"/>
                <w:szCs w:val="20"/>
                <w:color w:val="auto"/>
              </w:rPr>
            </w:pPr>
            <w:r>
              <w:rPr>
                <w:rFonts w:ascii="Arial" w:cs="Arial" w:eastAsia="Arial" w:hAnsi="Arial"/>
                <w:sz w:val="16"/>
                <w:szCs w:val="16"/>
                <w:color w:val="auto"/>
              </w:rPr>
              <w:t>Stock-based compensation expense</w:t>
            </w:r>
          </w:p>
        </w:tc>
        <w:tc>
          <w:tcPr>
            <w:tcW w:w="9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236</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229</w:t>
            </w:r>
          </w:p>
        </w:tc>
        <w:tc>
          <w:tcPr>
            <w:tcW w:w="100" w:type="dxa"/>
            <w:vAlign w:val="bottom"/>
            <w:shd w:val="clear" w:color="auto" w:fill="CFF0FC"/>
          </w:tcPr>
          <w:p>
            <w:pPr>
              <w:spacing w:after="0"/>
              <w:rPr>
                <w:sz w:val="17"/>
                <w:szCs w:val="17"/>
                <w:color w:val="auto"/>
              </w:rPr>
            </w:pPr>
          </w:p>
        </w:tc>
      </w:tr>
      <w:tr>
        <w:trPr>
          <w:trHeight w:val="203"/>
        </w:trPr>
        <w:tc>
          <w:tcPr>
            <w:tcW w:w="6720" w:type="dxa"/>
            <w:vAlign w:val="bottom"/>
          </w:tcPr>
          <w:p>
            <w:pPr>
              <w:ind w:left="620"/>
              <w:spacing w:after="0"/>
              <w:rPr>
                <w:sz w:val="20"/>
                <w:szCs w:val="20"/>
                <w:color w:val="auto"/>
              </w:rPr>
            </w:pPr>
            <w:r>
              <w:rPr>
                <w:rFonts w:ascii="Arial" w:cs="Arial" w:eastAsia="Arial" w:hAnsi="Arial"/>
                <w:sz w:val="16"/>
                <w:szCs w:val="16"/>
                <w:color w:val="auto"/>
              </w:rPr>
              <w:t>Earnings of equity method investments, less dividends received</w:t>
            </w: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(52)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r>
      <w:tr>
        <w:trPr>
          <w:trHeight w:val="203"/>
        </w:trPr>
        <w:tc>
          <w:tcPr>
            <w:tcW w:w="6720" w:type="dxa"/>
            <w:vAlign w:val="bottom"/>
            <w:shd w:val="clear" w:color="auto" w:fill="CFF0FC"/>
          </w:tcPr>
          <w:p>
            <w:pPr>
              <w:ind w:left="260"/>
              <w:spacing w:after="0" w:line="202" w:lineRule="exact"/>
              <w:rPr>
                <w:sz w:val="20"/>
                <w:szCs w:val="20"/>
                <w:color w:val="auto"/>
              </w:rPr>
            </w:pPr>
            <w:r>
              <w:rPr>
                <w:rFonts w:ascii="Arial" w:cs="Arial" w:eastAsia="Arial" w:hAnsi="Arial"/>
                <w:sz w:val="14"/>
                <w:szCs w:val="14"/>
                <w:color w:val="auto"/>
              </w:rPr>
              <w:t xml:space="preserve">Change in assets and liabilities: </w:t>
            </w:r>
            <w:r>
              <w:rPr>
                <w:rFonts w:ascii="Arial" w:cs="Arial" w:eastAsia="Arial" w:hAnsi="Arial"/>
                <w:sz w:val="23"/>
                <w:szCs w:val="23"/>
                <w:color w:val="auto"/>
                <w:vertAlign w:val="superscript"/>
              </w:rPr>
              <w:t>(2)</w:t>
            </w:r>
          </w:p>
        </w:tc>
        <w:tc>
          <w:tcPr>
            <w:tcW w:w="9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720" w:type="dxa"/>
            <w:vAlign w:val="bottom"/>
          </w:tcPr>
          <w:p>
            <w:pPr>
              <w:ind w:left="620"/>
              <w:spacing w:after="0"/>
              <w:rPr>
                <w:sz w:val="20"/>
                <w:szCs w:val="20"/>
                <w:color w:val="auto"/>
              </w:rPr>
            </w:pPr>
            <w:r>
              <w:rPr>
                <w:rFonts w:ascii="Arial" w:cs="Arial" w:eastAsia="Arial" w:hAnsi="Arial"/>
                <w:sz w:val="16"/>
                <w:szCs w:val="16"/>
                <w:color w:val="auto"/>
              </w:rPr>
              <w:t>Increase in receivables</w:t>
            </w: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(1,302)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(97)</w:t>
            </w:r>
          </w:p>
        </w:tc>
      </w:tr>
      <w:tr>
        <w:trPr>
          <w:trHeight w:val="203"/>
        </w:trPr>
        <w:tc>
          <w:tcPr>
            <w:tcW w:w="6720" w:type="dxa"/>
            <w:vAlign w:val="bottom"/>
            <w:shd w:val="clear" w:color="auto" w:fill="CFF0FC"/>
          </w:tcPr>
          <w:p>
            <w:pPr>
              <w:ind w:left="620"/>
              <w:spacing w:after="0"/>
              <w:rPr>
                <w:sz w:val="20"/>
                <w:szCs w:val="20"/>
                <w:color w:val="auto"/>
              </w:rPr>
            </w:pPr>
            <w:r>
              <w:rPr>
                <w:rFonts w:ascii="Arial" w:cs="Arial" w:eastAsia="Arial" w:hAnsi="Arial"/>
                <w:sz w:val="16"/>
                <w:szCs w:val="16"/>
                <w:color w:val="auto"/>
              </w:rPr>
              <w:t>(Increase) decrease in inventories</w:t>
            </w:r>
          </w:p>
        </w:tc>
        <w:tc>
          <w:tcPr>
            <w:tcW w:w="9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(849)</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FF0FC"/>
          </w:tcPr>
          <w:p>
            <w:pPr>
              <w:spacing w:after="0"/>
              <w:rPr>
                <w:sz w:val="17"/>
                <w:szCs w:val="17"/>
                <w:color w:val="auto"/>
              </w:rPr>
            </w:pPr>
          </w:p>
        </w:tc>
      </w:tr>
      <w:tr>
        <w:trPr>
          <w:trHeight w:val="203"/>
        </w:trPr>
        <w:tc>
          <w:tcPr>
            <w:tcW w:w="6720" w:type="dxa"/>
            <w:vAlign w:val="bottom"/>
          </w:tcPr>
          <w:p>
            <w:pPr>
              <w:ind w:left="620"/>
              <w:spacing w:after="0"/>
              <w:rPr>
                <w:sz w:val="20"/>
                <w:szCs w:val="20"/>
                <w:color w:val="auto"/>
              </w:rPr>
            </w:pPr>
            <w:r>
              <w:rPr>
                <w:rFonts w:ascii="Arial" w:cs="Arial" w:eastAsia="Arial" w:hAnsi="Arial"/>
                <w:sz w:val="16"/>
                <w:szCs w:val="16"/>
                <w:color w:val="auto"/>
              </w:rPr>
              <w:t>(Increase) decrease in other current assets</w:t>
            </w: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(144)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506</w:t>
            </w:r>
          </w:p>
        </w:tc>
        <w:tc>
          <w:tcPr>
            <w:tcW w:w="100" w:type="dxa"/>
            <w:vAlign w:val="bottom"/>
          </w:tcPr>
          <w:p>
            <w:pPr>
              <w:spacing w:after="0"/>
              <w:rPr>
                <w:sz w:val="17"/>
                <w:szCs w:val="17"/>
                <w:color w:val="auto"/>
              </w:rPr>
            </w:pPr>
          </w:p>
        </w:tc>
      </w:tr>
      <w:tr>
        <w:trPr>
          <w:trHeight w:val="203"/>
        </w:trPr>
        <w:tc>
          <w:tcPr>
            <w:tcW w:w="6720" w:type="dxa"/>
            <w:vAlign w:val="bottom"/>
            <w:shd w:val="clear" w:color="auto" w:fill="CFF0FC"/>
          </w:tcPr>
          <w:p>
            <w:pPr>
              <w:ind w:left="620"/>
              <w:spacing w:after="0"/>
              <w:rPr>
                <w:sz w:val="20"/>
                <w:szCs w:val="20"/>
                <w:color w:val="auto"/>
              </w:rPr>
            </w:pPr>
            <w:r>
              <w:rPr>
                <w:rFonts w:ascii="Arial" w:cs="Arial" w:eastAsia="Arial" w:hAnsi="Arial"/>
                <w:sz w:val="16"/>
                <w:szCs w:val="16"/>
                <w:color w:val="auto"/>
              </w:rPr>
              <w:t>Increase in other assets</w:t>
            </w:r>
          </w:p>
        </w:tc>
        <w:tc>
          <w:tcPr>
            <w:tcW w:w="9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(40)</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w:t>
            </w:r>
          </w:p>
        </w:tc>
      </w:tr>
      <w:tr>
        <w:trPr>
          <w:trHeight w:val="203"/>
        </w:trPr>
        <w:tc>
          <w:tcPr>
            <w:tcW w:w="6720" w:type="dxa"/>
            <w:vAlign w:val="bottom"/>
          </w:tcPr>
          <w:p>
            <w:pPr>
              <w:ind w:left="620"/>
              <w:spacing w:after="0"/>
              <w:rPr>
                <w:sz w:val="20"/>
                <w:szCs w:val="20"/>
                <w:color w:val="auto"/>
              </w:rPr>
            </w:pPr>
            <w:r>
              <w:rPr>
                <w:rFonts w:ascii="Arial" w:cs="Arial" w:eastAsia="Arial" w:hAnsi="Arial"/>
                <w:sz w:val="16"/>
                <w:szCs w:val="16"/>
                <w:color w:val="auto"/>
              </w:rPr>
              <w:t>Increase (decrease) in accounts payable and accrued liabilities</w:t>
            </w: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475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(660)</w:t>
            </w:r>
          </w:p>
        </w:tc>
      </w:tr>
      <w:tr>
        <w:trPr>
          <w:trHeight w:val="203"/>
        </w:trPr>
        <w:tc>
          <w:tcPr>
            <w:tcW w:w="6720" w:type="dxa"/>
            <w:vAlign w:val="bottom"/>
            <w:shd w:val="clear" w:color="auto" w:fill="CFF0FC"/>
          </w:tcPr>
          <w:p>
            <w:pPr>
              <w:ind w:left="620"/>
              <w:spacing w:after="0"/>
              <w:rPr>
                <w:sz w:val="20"/>
                <w:szCs w:val="20"/>
                <w:color w:val="auto"/>
              </w:rPr>
            </w:pPr>
            <w:r>
              <w:rPr>
                <w:rFonts w:ascii="Arial" w:cs="Arial" w:eastAsia="Arial" w:hAnsi="Arial"/>
                <w:sz w:val="16"/>
                <w:szCs w:val="16"/>
                <w:color w:val="auto"/>
              </w:rPr>
              <w:t>Increase (decrease) in estimated liability for taxes on income</w:t>
            </w:r>
          </w:p>
        </w:tc>
        <w:tc>
          <w:tcPr>
            <w:tcW w:w="9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(124)</w:t>
            </w:r>
          </w:p>
        </w:tc>
      </w:tr>
      <w:tr>
        <w:trPr>
          <w:trHeight w:val="203"/>
        </w:trPr>
        <w:tc>
          <w:tcPr>
            <w:tcW w:w="6720" w:type="dxa"/>
            <w:vAlign w:val="bottom"/>
          </w:tcPr>
          <w:p>
            <w:pPr>
              <w:ind w:left="620"/>
              <w:spacing w:after="0"/>
              <w:rPr>
                <w:sz w:val="20"/>
                <w:szCs w:val="20"/>
                <w:color w:val="auto"/>
              </w:rPr>
            </w:pPr>
            <w:r>
              <w:rPr>
                <w:rFonts w:ascii="Arial" w:cs="Arial" w:eastAsia="Arial" w:hAnsi="Arial"/>
                <w:sz w:val="16"/>
                <w:szCs w:val="16"/>
                <w:color w:val="auto"/>
              </w:rPr>
              <w:t>Other</w:t>
            </w: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50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(11)</w:t>
            </w:r>
          </w:p>
        </w:tc>
      </w:tr>
      <w:tr>
        <w:trPr>
          <w:trHeight w:val="196"/>
        </w:trPr>
        <w:tc>
          <w:tcPr>
            <w:tcW w:w="6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CASH PROVIDED BY OPERATING ACTIVITIES</w:t>
            </w:r>
          </w:p>
        </w:tc>
        <w:tc>
          <w:tcPr>
            <w:tcW w:w="96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spacing w:after="0"/>
              <w:rPr>
                <w:sz w:val="17"/>
                <w:szCs w:val="17"/>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2,106</w:t>
            </w: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2,719</w:t>
            </w:r>
          </w:p>
        </w:tc>
        <w:tc>
          <w:tcPr>
            <w:tcW w:w="100" w:type="dxa"/>
            <w:vAlign w:val="bottom"/>
            <w:tcBorders>
              <w:top w:val="single" w:sz="8" w:color="CFF0FC"/>
            </w:tcBorders>
            <w:shd w:val="clear" w:color="auto" w:fill="CFF0FC"/>
          </w:tcPr>
          <w:p>
            <w:pPr>
              <w:spacing w:after="0"/>
              <w:rPr>
                <w:sz w:val="17"/>
                <w:szCs w:val="17"/>
                <w:color w:val="auto"/>
              </w:rPr>
            </w:pPr>
          </w:p>
        </w:tc>
      </w:tr>
      <w:tr>
        <w:trPr>
          <w:trHeight w:val="196"/>
        </w:trPr>
        <w:tc>
          <w:tcPr>
            <w:tcW w:w="672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6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Capital expenditures</w:t>
            </w:r>
          </w:p>
        </w:tc>
        <w:tc>
          <w:tcPr>
            <w:tcW w:w="9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(1,046)</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(694)</w:t>
            </w:r>
          </w:p>
        </w:tc>
      </w:tr>
      <w:tr>
        <w:trPr>
          <w:trHeight w:val="203"/>
        </w:trPr>
        <w:tc>
          <w:tcPr>
            <w:tcW w:w="6720" w:type="dxa"/>
            <w:vAlign w:val="bottom"/>
          </w:tcPr>
          <w:p>
            <w:pPr>
              <w:ind w:left="380"/>
              <w:spacing w:after="0"/>
              <w:rPr>
                <w:sz w:val="20"/>
                <w:szCs w:val="20"/>
                <w:color w:val="auto"/>
              </w:rPr>
            </w:pPr>
            <w:r>
              <w:rPr>
                <w:rFonts w:ascii="Arial" w:cs="Arial" w:eastAsia="Arial" w:hAnsi="Arial"/>
                <w:sz w:val="16"/>
                <w:szCs w:val="16"/>
                <w:color w:val="auto"/>
              </w:rPr>
              <w:t>APS investments</w:t>
            </w: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(420)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(305)</w:t>
            </w:r>
          </w:p>
        </w:tc>
      </w:tr>
      <w:tr>
        <w:trPr>
          <w:trHeight w:val="203"/>
        </w:trPr>
        <w:tc>
          <w:tcPr>
            <w:tcW w:w="6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Exploration data costs capitalized</w:t>
            </w:r>
          </w:p>
        </w:tc>
        <w:tc>
          <w:tcPr>
            <w:tcW w:w="9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(77)</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w:t>
            </w:r>
          </w:p>
        </w:tc>
      </w:tr>
      <w:tr>
        <w:trPr>
          <w:trHeight w:val="203"/>
        </w:trPr>
        <w:tc>
          <w:tcPr>
            <w:tcW w:w="6720" w:type="dxa"/>
            <w:vAlign w:val="bottom"/>
          </w:tcPr>
          <w:p>
            <w:pPr>
              <w:ind w:left="380"/>
              <w:spacing w:after="0"/>
              <w:rPr>
                <w:sz w:val="20"/>
                <w:szCs w:val="20"/>
                <w:color w:val="auto"/>
              </w:rPr>
            </w:pPr>
            <w:r>
              <w:rPr>
                <w:rFonts w:ascii="Arial" w:cs="Arial" w:eastAsia="Arial" w:hAnsi="Arial"/>
                <w:sz w:val="16"/>
                <w:szCs w:val="16"/>
                <w:color w:val="auto"/>
              </w:rPr>
              <w:t>Business acquisitions and investments, net of cash acquired</w:t>
            </w: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(45)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(134)</w:t>
            </w:r>
          </w:p>
        </w:tc>
      </w:tr>
      <w:tr>
        <w:trPr>
          <w:trHeight w:val="203"/>
        </w:trPr>
        <w:tc>
          <w:tcPr>
            <w:tcW w:w="6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Proceeds from sale of Liberty shares</w:t>
            </w:r>
          </w:p>
        </w:tc>
        <w:tc>
          <w:tcPr>
            <w:tcW w:w="9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513</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r>
      <w:tr>
        <w:trPr>
          <w:trHeight w:val="203"/>
        </w:trPr>
        <w:tc>
          <w:tcPr>
            <w:tcW w:w="6720" w:type="dxa"/>
            <w:vAlign w:val="bottom"/>
          </w:tcPr>
          <w:p>
            <w:pPr>
              <w:ind w:left="380"/>
              <w:spacing w:after="0"/>
              <w:rPr>
                <w:sz w:val="20"/>
                <w:szCs w:val="20"/>
                <w:color w:val="auto"/>
              </w:rPr>
            </w:pPr>
            <w:r>
              <w:rPr>
                <w:rFonts w:ascii="Arial" w:cs="Arial" w:eastAsia="Arial" w:hAnsi="Arial"/>
                <w:sz w:val="16"/>
                <w:szCs w:val="16"/>
                <w:color w:val="auto"/>
              </w:rPr>
              <w:t>Proceeds from sale of real estate</w:t>
            </w: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120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r>
      <w:tr>
        <w:trPr>
          <w:trHeight w:val="203"/>
        </w:trPr>
        <w:tc>
          <w:tcPr>
            <w:tcW w:w="6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(Purchase) sale of short-term investments, net</w:t>
            </w:r>
          </w:p>
        </w:tc>
        <w:tc>
          <w:tcPr>
            <w:tcW w:w="9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(55)</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790</w:t>
            </w:r>
          </w:p>
        </w:tc>
        <w:tc>
          <w:tcPr>
            <w:tcW w:w="100" w:type="dxa"/>
            <w:vAlign w:val="bottom"/>
            <w:shd w:val="clear" w:color="auto" w:fill="CFF0FC"/>
          </w:tcPr>
          <w:p>
            <w:pPr>
              <w:spacing w:after="0"/>
              <w:rPr>
                <w:sz w:val="17"/>
                <w:szCs w:val="17"/>
                <w:color w:val="auto"/>
              </w:rPr>
            </w:pPr>
          </w:p>
        </w:tc>
      </w:tr>
      <w:tr>
        <w:trPr>
          <w:trHeight w:val="203"/>
        </w:trPr>
        <w:tc>
          <w:tcPr>
            <w:tcW w:w="6720" w:type="dxa"/>
            <w:vAlign w:val="bottom"/>
          </w:tcPr>
          <w:p>
            <w:pPr>
              <w:ind w:left="380"/>
              <w:spacing w:after="0"/>
              <w:rPr>
                <w:sz w:val="20"/>
                <w:szCs w:val="20"/>
                <w:color w:val="auto"/>
              </w:rPr>
            </w:pPr>
            <w:r>
              <w:rPr>
                <w:rFonts w:ascii="Arial" w:cs="Arial" w:eastAsia="Arial" w:hAnsi="Arial"/>
                <w:sz w:val="16"/>
                <w:szCs w:val="16"/>
                <w:color w:val="auto"/>
              </w:rPr>
              <w:t>Other</w:t>
            </w: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(106)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(29)</w:t>
            </w:r>
          </w:p>
        </w:tc>
      </w:tr>
      <w:tr>
        <w:trPr>
          <w:trHeight w:val="196"/>
        </w:trPr>
        <w:tc>
          <w:tcPr>
            <w:tcW w:w="6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CASH USED IN INVESTING ACTIVITIES</w:t>
            </w:r>
          </w:p>
        </w:tc>
        <w:tc>
          <w:tcPr>
            <w:tcW w:w="96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spacing w:after="0"/>
              <w:rPr>
                <w:sz w:val="17"/>
                <w:szCs w:val="17"/>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(1,116)</w:t>
            </w: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(393)</w:t>
            </w:r>
          </w:p>
        </w:tc>
        <w:tc>
          <w:tcPr>
            <w:tcW w:w="100" w:type="dxa"/>
            <w:vAlign w:val="bottom"/>
            <w:tcBorders>
              <w:top w:val="single" w:sz="8" w:color="CFF0FC"/>
            </w:tcBorders>
            <w:shd w:val="clear" w:color="auto" w:fill="CFF0FC"/>
          </w:tcPr>
          <w:p>
            <w:pPr>
              <w:spacing w:after="0"/>
              <w:rPr>
                <w:sz w:val="17"/>
                <w:szCs w:val="17"/>
                <w:color w:val="auto"/>
              </w:rPr>
            </w:pPr>
          </w:p>
        </w:tc>
      </w:tr>
      <w:tr>
        <w:trPr>
          <w:trHeight w:val="196"/>
        </w:trPr>
        <w:tc>
          <w:tcPr>
            <w:tcW w:w="672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Dividends paid</w:t>
            </w:r>
          </w:p>
        </w:tc>
        <w:tc>
          <w:tcPr>
            <w:tcW w:w="9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(600)</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(524)</w:t>
            </w:r>
          </w:p>
        </w:tc>
      </w:tr>
      <w:tr>
        <w:trPr>
          <w:trHeight w:val="203"/>
        </w:trPr>
        <w:tc>
          <w:tcPr>
            <w:tcW w:w="6720" w:type="dxa"/>
            <w:vAlign w:val="bottom"/>
          </w:tcPr>
          <w:p>
            <w:pPr>
              <w:ind w:left="380"/>
              <w:spacing w:after="0"/>
              <w:rPr>
                <w:sz w:val="20"/>
                <w:szCs w:val="20"/>
                <w:color w:val="auto"/>
              </w:rPr>
            </w:pPr>
            <w:r>
              <w:rPr>
                <w:rFonts w:ascii="Arial" w:cs="Arial" w:eastAsia="Arial" w:hAnsi="Arial"/>
                <w:sz w:val="16"/>
                <w:szCs w:val="16"/>
                <w:color w:val="auto"/>
              </w:rPr>
              <w:t>Proceeds from employee stock purchase plan</w:t>
            </w: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142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7"/>
                <w:szCs w:val="17"/>
                <w:color w:val="auto"/>
              </w:rPr>
            </w:pPr>
          </w:p>
        </w:tc>
      </w:tr>
      <w:tr>
        <w:trPr>
          <w:trHeight w:val="203"/>
        </w:trPr>
        <w:tc>
          <w:tcPr>
            <w:tcW w:w="6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Proceeds from exercise of stock options</w:t>
            </w:r>
          </w:p>
        </w:tc>
        <w:tc>
          <w:tcPr>
            <w:tcW w:w="9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29</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r>
      <w:tr>
        <w:trPr>
          <w:trHeight w:val="203"/>
        </w:trPr>
        <w:tc>
          <w:tcPr>
            <w:tcW w:w="6720" w:type="dxa"/>
            <w:vAlign w:val="bottom"/>
          </w:tcPr>
          <w:p>
            <w:pPr>
              <w:ind w:left="380"/>
              <w:spacing w:after="0"/>
              <w:rPr>
                <w:sz w:val="20"/>
                <w:szCs w:val="20"/>
                <w:color w:val="auto"/>
              </w:rPr>
            </w:pPr>
            <w:r>
              <w:rPr>
                <w:rFonts w:ascii="Arial" w:cs="Arial" w:eastAsia="Arial" w:hAnsi="Arial"/>
                <w:sz w:val="16"/>
                <w:szCs w:val="16"/>
                <w:color w:val="auto"/>
              </w:rPr>
              <w:t>Proceeds from issuance of long-term debt</w:t>
            </w: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7"/>
                <w:szCs w:val="17"/>
                <w:color w:val="auto"/>
              </w:rPr>
            </w:pPr>
          </w:p>
        </w:tc>
      </w:tr>
      <w:tr>
        <w:trPr>
          <w:trHeight w:val="203"/>
        </w:trPr>
        <w:tc>
          <w:tcPr>
            <w:tcW w:w="6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Repayment of long-term debt</w:t>
            </w:r>
          </w:p>
        </w:tc>
        <w:tc>
          <w:tcPr>
            <w:tcW w:w="9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(1,076)</w:t>
            </w:r>
          </w:p>
        </w:tc>
      </w:tr>
      <w:tr>
        <w:trPr>
          <w:trHeight w:val="203"/>
        </w:trPr>
        <w:tc>
          <w:tcPr>
            <w:tcW w:w="6720" w:type="dxa"/>
            <w:vAlign w:val="bottom"/>
          </w:tcPr>
          <w:p>
            <w:pPr>
              <w:ind w:left="380"/>
              <w:spacing w:after="0"/>
              <w:rPr>
                <w:sz w:val="20"/>
                <w:szCs w:val="20"/>
                <w:color w:val="auto"/>
              </w:rPr>
            </w:pPr>
            <w:r>
              <w:rPr>
                <w:rFonts w:ascii="Arial" w:cs="Arial" w:eastAsia="Arial" w:hAnsi="Arial"/>
                <w:sz w:val="16"/>
                <w:szCs w:val="16"/>
                <w:color w:val="auto"/>
              </w:rPr>
              <w:t>Net decrease in short-term borrowings</w:t>
            </w: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(94)</w:t>
            </w:r>
          </w:p>
        </w:tc>
      </w:tr>
      <w:tr>
        <w:trPr>
          <w:trHeight w:val="203"/>
        </w:trPr>
        <w:tc>
          <w:tcPr>
            <w:tcW w:w="6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Taxes paid on net settled stock-based compensation awards</w:t>
            </w:r>
          </w:p>
        </w:tc>
        <w:tc>
          <w:tcPr>
            <w:tcW w:w="9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(92)</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w:t>
            </w:r>
          </w:p>
        </w:tc>
      </w:tr>
      <w:tr>
        <w:trPr>
          <w:trHeight w:val="203"/>
        </w:trPr>
        <w:tc>
          <w:tcPr>
            <w:tcW w:w="6720" w:type="dxa"/>
            <w:vAlign w:val="bottom"/>
          </w:tcPr>
          <w:p>
            <w:pPr>
              <w:ind w:left="380"/>
              <w:spacing w:after="0"/>
              <w:rPr>
                <w:sz w:val="20"/>
                <w:szCs w:val="20"/>
                <w:color w:val="auto"/>
              </w:rPr>
            </w:pPr>
            <w:r>
              <w:rPr>
                <w:rFonts w:ascii="Arial" w:cs="Arial" w:eastAsia="Arial" w:hAnsi="Arial"/>
                <w:sz w:val="16"/>
                <w:szCs w:val="16"/>
                <w:color w:val="auto"/>
              </w:rPr>
              <w:t>Other</w:t>
            </w: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(60)</w:t>
            </w:r>
          </w:p>
        </w:tc>
      </w:tr>
      <w:tr>
        <w:trPr>
          <w:trHeight w:val="196"/>
        </w:trPr>
        <w:tc>
          <w:tcPr>
            <w:tcW w:w="6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CASH USED IN FINANCING ACTIVITIES</w:t>
            </w:r>
          </w:p>
        </w:tc>
        <w:tc>
          <w:tcPr>
            <w:tcW w:w="96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spacing w:after="0"/>
              <w:rPr>
                <w:sz w:val="17"/>
                <w:szCs w:val="17"/>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(538)</w:t>
            </w: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(1,604)</w:t>
            </w:r>
          </w:p>
        </w:tc>
        <w:tc>
          <w:tcPr>
            <w:tcW w:w="100" w:type="dxa"/>
            <w:vAlign w:val="bottom"/>
            <w:tcBorders>
              <w:top w:val="single" w:sz="8" w:color="CFF0FC"/>
            </w:tcBorders>
            <w:shd w:val="clear" w:color="auto" w:fill="CFF0FC"/>
          </w:tcPr>
          <w:p>
            <w:pPr>
              <w:spacing w:after="0"/>
              <w:rPr>
                <w:sz w:val="17"/>
                <w:szCs w:val="17"/>
                <w:color w:val="auto"/>
              </w:rPr>
            </w:pPr>
          </w:p>
        </w:tc>
      </w:tr>
      <w:tr>
        <w:trPr>
          <w:trHeight w:val="196"/>
        </w:trPr>
        <w:tc>
          <w:tcPr>
            <w:tcW w:w="6720" w:type="dxa"/>
            <w:vAlign w:val="bottom"/>
          </w:tcPr>
          <w:p>
            <w:pPr>
              <w:spacing w:after="0"/>
              <w:rPr>
                <w:sz w:val="20"/>
                <w:szCs w:val="20"/>
                <w:color w:val="auto"/>
              </w:rPr>
            </w:pPr>
            <w:r>
              <w:rPr>
                <w:rFonts w:ascii="Arial" w:cs="Arial" w:eastAsia="Arial" w:hAnsi="Arial"/>
                <w:sz w:val="16"/>
                <w:szCs w:val="16"/>
                <w:color w:val="auto"/>
              </w:rPr>
              <w:t>Net increase in cash before translation effect</w:t>
            </w: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452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722</w:t>
            </w:r>
          </w:p>
        </w:tc>
        <w:tc>
          <w:tcPr>
            <w:tcW w:w="100" w:type="dxa"/>
            <w:vAlign w:val="bottom"/>
          </w:tcPr>
          <w:p>
            <w:pPr>
              <w:spacing w:after="0"/>
              <w:rPr>
                <w:sz w:val="17"/>
                <w:szCs w:val="17"/>
                <w:color w:val="auto"/>
              </w:rPr>
            </w:pPr>
          </w:p>
        </w:tc>
      </w:tr>
      <w:tr>
        <w:trPr>
          <w:trHeight w:val="203"/>
        </w:trPr>
        <w:tc>
          <w:tcPr>
            <w:tcW w:w="6720" w:type="dxa"/>
            <w:vAlign w:val="bottom"/>
            <w:shd w:val="clear" w:color="auto" w:fill="CFF0FC"/>
          </w:tcPr>
          <w:p>
            <w:pPr>
              <w:spacing w:after="0"/>
              <w:rPr>
                <w:sz w:val="20"/>
                <w:szCs w:val="20"/>
                <w:color w:val="auto"/>
              </w:rPr>
            </w:pPr>
            <w:r>
              <w:rPr>
                <w:rFonts w:ascii="Arial" w:cs="Arial" w:eastAsia="Arial" w:hAnsi="Arial"/>
                <w:sz w:val="16"/>
                <w:szCs w:val="16"/>
                <w:color w:val="auto"/>
              </w:rPr>
              <w:t>Translation effect on cash</w:t>
            </w:r>
          </w:p>
        </w:tc>
        <w:tc>
          <w:tcPr>
            <w:tcW w:w="9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(29)</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FF0FC"/>
          </w:tcPr>
          <w:p>
            <w:pPr>
              <w:spacing w:after="0"/>
              <w:rPr>
                <w:sz w:val="17"/>
                <w:szCs w:val="17"/>
                <w:color w:val="auto"/>
              </w:rPr>
            </w:pPr>
          </w:p>
        </w:tc>
      </w:tr>
      <w:tr>
        <w:trPr>
          <w:trHeight w:val="203"/>
        </w:trPr>
        <w:tc>
          <w:tcPr>
            <w:tcW w:w="6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beginning of period</w:t>
            </w:r>
          </w:p>
        </w:tc>
        <w:tc>
          <w:tcPr>
            <w:tcW w:w="960" w:type="dxa"/>
            <w:vAlign w:val="bottom"/>
            <w:tcBorders>
              <w:bottom w:val="single" w:sz="8" w:color="CFF0FC"/>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1,757</w:t>
            </w:r>
          </w:p>
        </w:tc>
        <w:tc>
          <w:tcPr>
            <w:tcW w:w="18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844</w:t>
            </w:r>
          </w:p>
        </w:tc>
        <w:tc>
          <w:tcPr>
            <w:tcW w:w="100" w:type="dxa"/>
            <w:vAlign w:val="bottom"/>
            <w:tcBorders>
              <w:bottom w:val="single" w:sz="8" w:color="CFF0FC"/>
            </w:tcBorders>
          </w:tcPr>
          <w:p>
            <w:pPr>
              <w:spacing w:after="0"/>
              <w:rPr>
                <w:sz w:val="17"/>
                <w:szCs w:val="17"/>
                <w:color w:val="auto"/>
              </w:rPr>
            </w:pPr>
          </w:p>
        </w:tc>
      </w:tr>
      <w:tr>
        <w:trPr>
          <w:trHeight w:val="196"/>
        </w:trPr>
        <w:tc>
          <w:tcPr>
            <w:tcW w:w="6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end of period</w:t>
            </w:r>
          </w:p>
        </w:tc>
        <w:tc>
          <w:tcPr>
            <w:tcW w:w="96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859"/>
              <w:spacing w:after="0"/>
              <w:rPr>
                <w:sz w:val="20"/>
                <w:szCs w:val="20"/>
                <w:color w:val="auto"/>
              </w:rPr>
            </w:pPr>
            <w:r>
              <w:rPr>
                <w:rFonts w:ascii="Arial" w:cs="Arial" w:eastAsia="Arial" w:hAnsi="Arial"/>
                <w:sz w:val="16"/>
                <w:szCs w:val="16"/>
                <w:b w:val="1"/>
                <w:bCs w:val="1"/>
                <w:color w:val="auto"/>
                <w:w w:val="8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2,180</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1,569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
        </w:trPr>
        <w:tc>
          <w:tcPr>
            <w:tcW w:w="6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ind w:left="380" w:hanging="372"/>
        <w:spacing w:after="0"/>
        <w:tabs>
          <w:tab w:leader="none" w:pos="380" w:val="left"/>
        </w:tabs>
        <w:numPr>
          <w:ilvl w:val="0"/>
          <w:numId w:val="3"/>
        </w:numPr>
        <w:rPr>
          <w:rFonts w:ascii="Arial" w:cs="Arial" w:eastAsia="Arial" w:hAnsi="Arial"/>
          <w:sz w:val="24"/>
          <w:szCs w:val="24"/>
          <w:color w:val="auto"/>
          <w:vertAlign w:val="superscript"/>
        </w:rPr>
      </w:pPr>
      <w:r>
        <w:rPr>
          <w:rFonts w:ascii="Arial" w:cs="Arial" w:eastAsia="Arial" w:hAnsi="Arial"/>
          <w:sz w:val="14"/>
          <w:szCs w:val="14"/>
          <w:color w:val="auto"/>
        </w:rPr>
        <w:t>Includes depreciation of property, plant and equipment and amortization of intangible assets, exploration data costs, and APS investments.</w:t>
      </w:r>
    </w:p>
    <w:p>
      <w:pPr>
        <w:spacing w:after="0" w:line="93" w:lineRule="exact"/>
        <w:rPr>
          <w:rFonts w:ascii="Arial" w:cs="Arial" w:eastAsia="Arial" w:hAnsi="Arial"/>
          <w:sz w:val="24"/>
          <w:szCs w:val="24"/>
          <w:color w:val="auto"/>
          <w:vertAlign w:val="superscript"/>
        </w:rPr>
      </w:pPr>
    </w:p>
    <w:p>
      <w:pPr>
        <w:ind w:left="380" w:hanging="372"/>
        <w:spacing w:after="0" w:line="183" w:lineRule="auto"/>
        <w:tabs>
          <w:tab w:leader="none" w:pos="380" w:val="left"/>
        </w:tabs>
        <w:numPr>
          <w:ilvl w:val="0"/>
          <w:numId w:val="3"/>
        </w:numPr>
        <w:rPr>
          <w:rFonts w:ascii="Arial" w:cs="Arial" w:eastAsia="Arial" w:hAnsi="Arial"/>
          <w:sz w:val="20"/>
          <w:szCs w:val="20"/>
          <w:color w:val="auto"/>
          <w:vertAlign w:val="superscript"/>
        </w:rPr>
      </w:pPr>
      <w:r>
        <w:rPr>
          <w:rFonts w:ascii="Arial" w:cs="Arial" w:eastAsia="Arial" w:hAnsi="Arial"/>
          <w:sz w:val="12"/>
          <w:szCs w:val="12"/>
          <w:color w:val="auto"/>
        </w:rPr>
        <w:t>Net of the effect of business acquisitions and divestitures.</w:t>
      </w:r>
    </w:p>
    <w:p>
      <w:pPr>
        <w:spacing w:after="0" w:line="186"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u w:val="single" w:color="auto"/>
          <w:color w:val="auto"/>
        </w:rPr>
        <w:t>SCHLUMBERGER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CONSOLIDATED STATEMENT OF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40" w:type="dxa"/>
            <w:vAlign w:val="bottom"/>
            <w:gridSpan w:val="9"/>
          </w:tcPr>
          <w:p>
            <w:pPr>
              <w:jc w:val="right"/>
              <w:ind w:right="120"/>
              <w:spacing w:after="0"/>
              <w:rPr>
                <w:sz w:val="20"/>
                <w:szCs w:val="20"/>
                <w:color w:val="auto"/>
              </w:rPr>
            </w:pPr>
            <w:r>
              <w:rPr>
                <w:rFonts w:ascii="Arial" w:cs="Arial" w:eastAsia="Arial" w:hAnsi="Arial"/>
                <w:sz w:val="14"/>
                <w:szCs w:val="14"/>
                <w:i w:val="1"/>
                <w:iCs w:val="1"/>
                <w:color w:val="auto"/>
              </w:rPr>
              <w:t>(Stated in millions, except per share amounts)</w:t>
            </w:r>
          </w:p>
        </w:tc>
        <w:tc>
          <w:tcPr>
            <w:tcW w:w="0" w:type="dxa"/>
            <w:vAlign w:val="bottom"/>
          </w:tcPr>
          <w:p>
            <w:pPr>
              <w:spacing w:after="0"/>
              <w:rPr>
                <w:sz w:val="1"/>
                <w:szCs w:val="1"/>
                <w:color w:val="auto"/>
              </w:rPr>
            </w:pPr>
          </w:p>
        </w:tc>
      </w:tr>
      <w:tr>
        <w:trPr>
          <w:trHeight w:val="336"/>
        </w:trPr>
        <w:tc>
          <w:tcPr>
            <w:tcW w:w="3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528"/>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Retained</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1400" w:type="dxa"/>
            <w:vAlign w:val="bottom"/>
            <w:gridSpan w:val="4"/>
          </w:tcPr>
          <w:p>
            <w:pPr>
              <w:ind w:left="120"/>
              <w:spacing w:after="0"/>
              <w:rPr>
                <w:sz w:val="20"/>
                <w:szCs w:val="20"/>
                <w:color w:val="auto"/>
              </w:rPr>
            </w:pPr>
            <w:r>
              <w:rPr>
                <w:rFonts w:ascii="Arial" w:cs="Arial" w:eastAsia="Arial" w:hAnsi="Arial"/>
                <w:sz w:val="14"/>
                <w:szCs w:val="14"/>
                <w:b w:val="1"/>
                <w:bCs w:val="1"/>
                <w:color w:val="auto"/>
              </w:rPr>
              <w:t>Noncontrolling</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January 1, 2022 – September 30, 2022</w:t>
            </w:r>
          </w:p>
        </w:tc>
        <w:tc>
          <w:tcPr>
            <w:tcW w:w="1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Issued</w:t>
            </w:r>
          </w:p>
        </w:tc>
        <w:tc>
          <w:tcPr>
            <w:tcW w:w="2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In Treasury</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Earnings</w:t>
            </w:r>
          </w:p>
        </w:tc>
        <w:tc>
          <w:tcPr>
            <w:tcW w:w="26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Loss</w:t>
            </w:r>
          </w:p>
        </w:tc>
        <w:tc>
          <w:tcPr>
            <w:tcW w:w="14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Interests</w:t>
            </w:r>
          </w:p>
        </w:tc>
        <w:tc>
          <w:tcPr>
            <w:tcW w:w="2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00" w:type="dxa"/>
            <w:vAlign w:val="bottom"/>
            <w:shd w:val="clear" w:color="auto" w:fill="CFF0FC"/>
          </w:tcPr>
          <w:p>
            <w:pPr>
              <w:spacing w:after="0"/>
              <w:rPr>
                <w:sz w:val="20"/>
                <w:szCs w:val="20"/>
                <w:color w:val="auto"/>
              </w:rPr>
            </w:pPr>
            <w:r>
              <w:rPr>
                <w:rFonts w:ascii="Arial" w:cs="Arial" w:eastAsia="Arial" w:hAnsi="Arial"/>
                <w:sz w:val="14"/>
                <w:szCs w:val="14"/>
                <w:color w:val="auto"/>
              </w:rPr>
              <w:t>Balance, January 1, 2022</w:t>
            </w:r>
          </w:p>
        </w:tc>
        <w:tc>
          <w:tcPr>
            <w:tcW w:w="32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12,608</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(2,233)</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8,199</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(3,570)</w:t>
            </w:r>
          </w:p>
        </w:tc>
        <w:tc>
          <w:tcPr>
            <w:tcW w:w="26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282</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15,286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600" w:type="dxa"/>
            <w:vAlign w:val="bottom"/>
          </w:tcPr>
          <w:p>
            <w:pPr>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2,377</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00" w:type="dxa"/>
            <w:vAlign w:val="bottom"/>
            <w:shd w:val="clear" w:color="auto" w:fill="CFF0FC"/>
          </w:tcPr>
          <w:p>
            <w:pPr>
              <w:spacing w:after="0"/>
              <w:rPr>
                <w:sz w:val="20"/>
                <w:szCs w:val="20"/>
                <w:color w:val="auto"/>
              </w:rPr>
            </w:pPr>
            <w:r>
              <w:rPr>
                <w:rFonts w:ascii="Arial" w:cs="Arial" w:eastAsia="Arial" w:hAnsi="Arial"/>
                <w:sz w:val="14"/>
                <w:szCs w:val="14"/>
                <w:color w:val="auto"/>
              </w:rPr>
              <w:t>Currency translation adjustments</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00" w:type="dxa"/>
            <w:vAlign w:val="bottom"/>
          </w:tcPr>
          <w:p>
            <w:pPr>
              <w:spacing w:after="0"/>
              <w:rPr>
                <w:sz w:val="20"/>
                <w:szCs w:val="20"/>
                <w:color w:val="auto"/>
              </w:rPr>
            </w:pPr>
            <w:r>
              <w:rPr>
                <w:rFonts w:ascii="Arial" w:cs="Arial" w:eastAsia="Arial" w:hAnsi="Arial"/>
                <w:sz w:val="14"/>
                <w:szCs w:val="14"/>
                <w:color w:val="auto"/>
              </w:rPr>
              <w:t>Changes in fair value of cash flow hedges</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00" w:type="dxa"/>
            <w:vAlign w:val="bottom"/>
            <w:shd w:val="clear" w:color="auto" w:fill="CFF0FC"/>
          </w:tcPr>
          <w:p>
            <w:pPr>
              <w:spacing w:after="0"/>
              <w:rPr>
                <w:sz w:val="20"/>
                <w:szCs w:val="20"/>
                <w:color w:val="auto"/>
              </w:rPr>
            </w:pPr>
            <w:r>
              <w:rPr>
                <w:rFonts w:ascii="Arial" w:cs="Arial" w:eastAsia="Arial" w:hAnsi="Arial"/>
                <w:sz w:val="14"/>
                <w:szCs w:val="14"/>
                <w:color w:val="auto"/>
              </w:rPr>
              <w:t>Pension and other postretirement benefit plans</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00" w:type="dxa"/>
            <w:vAlign w:val="bottom"/>
          </w:tcPr>
          <w:p>
            <w:pPr>
              <w:spacing w:after="0"/>
              <w:rPr>
                <w:sz w:val="20"/>
                <w:szCs w:val="20"/>
                <w:color w:val="auto"/>
              </w:rPr>
            </w:pPr>
            <w:r>
              <w:rPr>
                <w:rFonts w:ascii="Arial" w:cs="Arial" w:eastAsia="Arial" w:hAnsi="Arial"/>
                <w:sz w:val="14"/>
                <w:szCs w:val="14"/>
                <w:color w:val="auto"/>
              </w:rPr>
              <w:t>Shares sold to optionees, less shares exchanged</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00" w:type="dxa"/>
            <w:vAlign w:val="bottom"/>
            <w:shd w:val="clear" w:color="auto" w:fill="CFF0FC"/>
          </w:tcPr>
          <w:p>
            <w:pPr>
              <w:spacing w:after="0"/>
              <w:rPr>
                <w:sz w:val="20"/>
                <w:szCs w:val="20"/>
                <w:color w:val="auto"/>
              </w:rPr>
            </w:pPr>
            <w:r>
              <w:rPr>
                <w:rFonts w:ascii="Arial" w:cs="Arial" w:eastAsia="Arial" w:hAnsi="Arial"/>
                <w:sz w:val="14"/>
                <w:szCs w:val="14"/>
                <w:color w:val="auto"/>
              </w:rPr>
              <w:t>Vesting of restricted stock, net of taxes withheld</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(730)</w:t>
            </w: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638</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75"/>
        </w:trPr>
        <w:tc>
          <w:tcPr>
            <w:tcW w:w="3600" w:type="dxa"/>
            <w:vAlign w:val="bottom"/>
          </w:tcPr>
          <w:p>
            <w:pPr>
              <w:spacing w:after="0"/>
              <w:rPr>
                <w:sz w:val="20"/>
                <w:szCs w:val="20"/>
                <w:color w:val="auto"/>
              </w:rPr>
            </w:pPr>
            <w:r>
              <w:rPr>
                <w:rFonts w:ascii="Arial" w:cs="Arial" w:eastAsia="Arial" w:hAnsi="Arial"/>
                <w:sz w:val="14"/>
                <w:szCs w:val="14"/>
                <w:color w:val="auto"/>
              </w:rPr>
              <w:t>Employee stock purchase plan</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(222)</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364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0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 expense</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236</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00" w:type="dxa"/>
            <w:vAlign w:val="bottom"/>
          </w:tcPr>
          <w:p>
            <w:pPr>
              <w:spacing w:after="0"/>
              <w:rPr>
                <w:sz w:val="20"/>
                <w:szCs w:val="20"/>
                <w:color w:val="auto"/>
              </w:rPr>
            </w:pPr>
            <w:r>
              <w:rPr>
                <w:rFonts w:ascii="Arial" w:cs="Arial" w:eastAsia="Arial" w:hAnsi="Arial"/>
                <w:sz w:val="14"/>
                <w:szCs w:val="14"/>
                <w:color w:val="auto"/>
              </w:rPr>
              <w:t>Dividends declared ($0.475 per share)</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(672)</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(672)</w:t>
            </w:r>
          </w:p>
        </w:tc>
        <w:tc>
          <w:tcPr>
            <w:tcW w:w="0" w:type="dxa"/>
            <w:vAlign w:val="bottom"/>
          </w:tcPr>
          <w:p>
            <w:pPr>
              <w:spacing w:after="0"/>
              <w:rPr>
                <w:sz w:val="1"/>
                <w:szCs w:val="1"/>
                <w:color w:val="auto"/>
              </w:rPr>
            </w:pPr>
          </w:p>
        </w:tc>
      </w:tr>
      <w:tr>
        <w:trPr>
          <w:trHeight w:val="176"/>
        </w:trPr>
        <w:tc>
          <w:tcPr>
            <w:tcW w:w="3600" w:type="dxa"/>
            <w:vAlign w:val="bottom"/>
            <w:shd w:val="clear" w:color="auto" w:fill="CFF0FC"/>
          </w:tcPr>
          <w:p>
            <w:pPr>
              <w:spacing w:after="0"/>
              <w:rPr>
                <w:sz w:val="20"/>
                <w:szCs w:val="20"/>
                <w:color w:val="auto"/>
              </w:rPr>
            </w:pPr>
            <w:r>
              <w:rPr>
                <w:rFonts w:ascii="Arial" w:cs="Arial" w:eastAsia="Arial" w:hAnsi="Arial"/>
                <w:sz w:val="14"/>
                <w:szCs w:val="14"/>
                <w:color w:val="auto"/>
              </w:rPr>
              <w:t>Dividends paid to noncontrolling interests</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(4)</w:t>
            </w:r>
          </w:p>
        </w:tc>
        <w:tc>
          <w:tcPr>
            <w:tcW w:w="2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76"/>
        </w:trPr>
        <w:tc>
          <w:tcPr>
            <w:tcW w:w="3600" w:type="dxa"/>
            <w:vAlign w:val="bottom"/>
          </w:tcPr>
          <w:p>
            <w:pPr>
              <w:spacing w:after="0"/>
              <w:rPr>
                <w:sz w:val="20"/>
                <w:szCs w:val="20"/>
                <w:color w:val="auto"/>
              </w:rPr>
            </w:pPr>
            <w:r>
              <w:rPr>
                <w:rFonts w:ascii="Arial" w:cs="Arial" w:eastAsia="Arial" w:hAnsi="Arial"/>
                <w:sz w:val="14"/>
                <w:szCs w:val="14"/>
                <w:color w:val="auto"/>
              </w:rPr>
              <w:t>Other</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0" w:type="dxa"/>
            <w:vAlign w:val="bottom"/>
            <w:vMerge w:val="restart"/>
            <w:shd w:val="clear" w:color="auto" w:fill="CFF0FC"/>
          </w:tcPr>
          <w:p>
            <w:pPr>
              <w:spacing w:after="0"/>
              <w:rPr>
                <w:sz w:val="20"/>
                <w:szCs w:val="20"/>
                <w:color w:val="auto"/>
              </w:rPr>
            </w:pPr>
            <w:r>
              <w:rPr>
                <w:rFonts w:ascii="Arial" w:cs="Arial" w:eastAsia="Arial" w:hAnsi="Arial"/>
                <w:sz w:val="14"/>
                <w:szCs w:val="14"/>
                <w:color w:val="auto"/>
              </w:rPr>
              <w:t>Balance, September 30, 2022</w:t>
            </w: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0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11,867</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(1,176)</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9,904</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(3,396)</w:t>
            </w:r>
          </w:p>
        </w:tc>
        <w:tc>
          <w:tcPr>
            <w:tcW w:w="26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312</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17,511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6"/>
        </w:trPr>
        <w:tc>
          <w:tcPr>
            <w:tcW w:w="3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528"/>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Retained</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1400" w:type="dxa"/>
            <w:vAlign w:val="bottom"/>
            <w:gridSpan w:val="4"/>
          </w:tcPr>
          <w:p>
            <w:pPr>
              <w:ind w:left="120"/>
              <w:spacing w:after="0"/>
              <w:rPr>
                <w:sz w:val="20"/>
                <w:szCs w:val="20"/>
                <w:color w:val="auto"/>
              </w:rPr>
            </w:pPr>
            <w:r>
              <w:rPr>
                <w:rFonts w:ascii="Arial" w:cs="Arial" w:eastAsia="Arial" w:hAnsi="Arial"/>
                <w:sz w:val="14"/>
                <w:szCs w:val="14"/>
                <w:b w:val="1"/>
                <w:bCs w:val="1"/>
                <w:color w:val="auto"/>
              </w:rPr>
              <w:t>Noncontrolling</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January 1, 2021 – September 30, 2021</w:t>
            </w:r>
          </w:p>
        </w:tc>
        <w:tc>
          <w:tcPr>
            <w:tcW w:w="1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Issued</w:t>
            </w:r>
          </w:p>
        </w:tc>
        <w:tc>
          <w:tcPr>
            <w:tcW w:w="2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In Treasury</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Earnings</w:t>
            </w:r>
          </w:p>
        </w:tc>
        <w:tc>
          <w:tcPr>
            <w:tcW w:w="26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Loss</w:t>
            </w:r>
          </w:p>
        </w:tc>
        <w:tc>
          <w:tcPr>
            <w:tcW w:w="14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Interests</w:t>
            </w:r>
          </w:p>
        </w:tc>
        <w:tc>
          <w:tcPr>
            <w:tcW w:w="2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00" w:type="dxa"/>
            <w:vAlign w:val="bottom"/>
            <w:shd w:val="clear" w:color="auto" w:fill="CFF0FC"/>
          </w:tcPr>
          <w:p>
            <w:pPr>
              <w:spacing w:after="0"/>
              <w:rPr>
                <w:sz w:val="20"/>
                <w:szCs w:val="20"/>
                <w:color w:val="auto"/>
              </w:rPr>
            </w:pPr>
            <w:r>
              <w:rPr>
                <w:rFonts w:ascii="Arial" w:cs="Arial" w:eastAsia="Arial" w:hAnsi="Arial"/>
                <w:sz w:val="14"/>
                <w:szCs w:val="14"/>
                <w:color w:val="auto"/>
              </w:rPr>
              <w:t>Balance, January 1, 2021</w:t>
            </w:r>
          </w:p>
        </w:tc>
        <w:tc>
          <w:tcPr>
            <w:tcW w:w="32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12,970</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(3,033)</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7,018</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(4,884)</w:t>
            </w:r>
          </w:p>
        </w:tc>
        <w:tc>
          <w:tcPr>
            <w:tcW w:w="26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418</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12,489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600" w:type="dxa"/>
            <w:vAlign w:val="bottom"/>
          </w:tcPr>
          <w:p>
            <w:pPr>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1,280</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37</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00" w:type="dxa"/>
            <w:vAlign w:val="bottom"/>
            <w:shd w:val="clear" w:color="auto" w:fill="CFF0FC"/>
          </w:tcPr>
          <w:p>
            <w:pPr>
              <w:spacing w:after="0"/>
              <w:rPr>
                <w:sz w:val="20"/>
                <w:szCs w:val="20"/>
                <w:color w:val="auto"/>
              </w:rPr>
            </w:pPr>
            <w:r>
              <w:rPr>
                <w:rFonts w:ascii="Arial" w:cs="Arial" w:eastAsia="Arial" w:hAnsi="Arial"/>
                <w:sz w:val="14"/>
                <w:szCs w:val="14"/>
                <w:color w:val="auto"/>
              </w:rPr>
              <w:t>Currency translation adjustments</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(2)</w:t>
            </w: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00" w:type="dxa"/>
            <w:vAlign w:val="bottom"/>
          </w:tcPr>
          <w:p>
            <w:pPr>
              <w:spacing w:after="0"/>
              <w:rPr>
                <w:sz w:val="20"/>
                <w:szCs w:val="20"/>
                <w:color w:val="auto"/>
              </w:rPr>
            </w:pPr>
            <w:r>
              <w:rPr>
                <w:rFonts w:ascii="Arial" w:cs="Arial" w:eastAsia="Arial" w:hAnsi="Arial"/>
                <w:sz w:val="14"/>
                <w:szCs w:val="14"/>
                <w:color w:val="auto"/>
              </w:rPr>
              <w:t>Changes in fair value of cash flow hedges</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00" w:type="dxa"/>
            <w:vAlign w:val="bottom"/>
            <w:shd w:val="clear" w:color="auto" w:fill="CFF0FC"/>
          </w:tcPr>
          <w:p>
            <w:pPr>
              <w:spacing w:after="0"/>
              <w:rPr>
                <w:sz w:val="20"/>
                <w:szCs w:val="20"/>
                <w:color w:val="auto"/>
              </w:rPr>
            </w:pPr>
            <w:r>
              <w:rPr>
                <w:rFonts w:ascii="Arial" w:cs="Arial" w:eastAsia="Arial" w:hAnsi="Arial"/>
                <w:sz w:val="14"/>
                <w:szCs w:val="14"/>
                <w:color w:val="auto"/>
              </w:rPr>
              <w:t>Pension and other postretirement benefit plans</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179</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00" w:type="dxa"/>
            <w:vAlign w:val="bottom"/>
          </w:tcPr>
          <w:p>
            <w:pPr>
              <w:spacing w:after="0"/>
              <w:rPr>
                <w:sz w:val="20"/>
                <w:szCs w:val="20"/>
                <w:color w:val="auto"/>
              </w:rPr>
            </w:pPr>
            <w:r>
              <w:rPr>
                <w:rFonts w:ascii="Arial" w:cs="Arial" w:eastAsia="Arial" w:hAnsi="Arial"/>
                <w:sz w:val="14"/>
                <w:szCs w:val="14"/>
                <w:color w:val="auto"/>
              </w:rPr>
              <w:t>Vesting of restricted stock, net of taxes withheld</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(248)</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227</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75"/>
        </w:trPr>
        <w:tc>
          <w:tcPr>
            <w:tcW w:w="3600" w:type="dxa"/>
            <w:vAlign w:val="bottom"/>
            <w:shd w:val="clear" w:color="auto" w:fill="CFF0FC"/>
          </w:tcPr>
          <w:p>
            <w:pPr>
              <w:spacing w:after="0"/>
              <w:rPr>
                <w:sz w:val="20"/>
                <w:szCs w:val="20"/>
                <w:color w:val="auto"/>
              </w:rPr>
            </w:pPr>
            <w:r>
              <w:rPr>
                <w:rFonts w:ascii="Arial" w:cs="Arial" w:eastAsia="Arial" w:hAnsi="Arial"/>
                <w:sz w:val="14"/>
                <w:szCs w:val="14"/>
                <w:color w:val="auto"/>
              </w:rPr>
              <w:t>Employee stock purchase plan</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(377)</w:t>
            </w: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514</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0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229</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00" w:type="dxa"/>
            <w:vAlign w:val="bottom"/>
            <w:shd w:val="clear" w:color="auto" w:fill="CFF0FC"/>
          </w:tcPr>
          <w:p>
            <w:pPr>
              <w:spacing w:after="0"/>
              <w:rPr>
                <w:sz w:val="20"/>
                <w:szCs w:val="20"/>
                <w:color w:val="auto"/>
              </w:rPr>
            </w:pPr>
            <w:r>
              <w:rPr>
                <w:rFonts w:ascii="Arial" w:cs="Arial" w:eastAsia="Arial" w:hAnsi="Arial"/>
                <w:sz w:val="14"/>
                <w:szCs w:val="14"/>
                <w:color w:val="auto"/>
              </w:rPr>
              <w:t>Dividends declared ($0.375 per share)</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(523)</w:t>
            </w:r>
          </w:p>
        </w:tc>
        <w:tc>
          <w:tcPr>
            <w:tcW w:w="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(523)</w:t>
            </w:r>
          </w:p>
        </w:tc>
        <w:tc>
          <w:tcPr>
            <w:tcW w:w="0" w:type="dxa"/>
            <w:vAlign w:val="bottom"/>
          </w:tcPr>
          <w:p>
            <w:pPr>
              <w:spacing w:after="0"/>
              <w:rPr>
                <w:sz w:val="1"/>
                <w:szCs w:val="1"/>
                <w:color w:val="auto"/>
              </w:rPr>
            </w:pPr>
          </w:p>
        </w:tc>
      </w:tr>
      <w:tr>
        <w:trPr>
          <w:trHeight w:val="175"/>
        </w:trPr>
        <w:tc>
          <w:tcPr>
            <w:tcW w:w="3600" w:type="dxa"/>
            <w:vAlign w:val="bottom"/>
          </w:tcPr>
          <w:p>
            <w:pPr>
              <w:spacing w:after="0"/>
              <w:rPr>
                <w:sz w:val="20"/>
                <w:szCs w:val="20"/>
                <w:color w:val="auto"/>
              </w:rPr>
            </w:pPr>
            <w:r>
              <w:rPr>
                <w:rFonts w:ascii="Arial" w:cs="Arial" w:eastAsia="Arial" w:hAnsi="Arial"/>
                <w:sz w:val="14"/>
                <w:szCs w:val="14"/>
                <w:color w:val="auto"/>
              </w:rPr>
              <w:t>Deconsolidation of subsidiary</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(123)</w:t>
            </w:r>
          </w:p>
        </w:tc>
        <w:tc>
          <w:tcPr>
            <w:tcW w:w="20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75"/>
        </w:trPr>
        <w:tc>
          <w:tcPr>
            <w:tcW w:w="3600" w:type="dxa"/>
            <w:vAlign w:val="bottom"/>
            <w:shd w:val="clear" w:color="auto" w:fill="CFF0FC"/>
          </w:tcPr>
          <w:p>
            <w:pPr>
              <w:spacing w:after="0"/>
              <w:rPr>
                <w:sz w:val="20"/>
                <w:szCs w:val="20"/>
                <w:color w:val="auto"/>
              </w:rPr>
            </w:pPr>
            <w:r>
              <w:rPr>
                <w:rFonts w:ascii="Arial" w:cs="Arial" w:eastAsia="Arial" w:hAnsi="Arial"/>
                <w:sz w:val="14"/>
                <w:szCs w:val="14"/>
                <w:color w:val="auto"/>
              </w:rPr>
              <w:t>Other</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(3)</w:t>
            </w: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(27)</w:t>
            </w:r>
          </w:p>
        </w:tc>
        <w:tc>
          <w:tcPr>
            <w:tcW w:w="2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4"/>
                <w:szCs w:val="14"/>
                <w:color w:val="auto"/>
              </w:rPr>
              <w:t>Balance, September 30, 2021</w:t>
            </w: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12,571</w:t>
            </w:r>
          </w:p>
        </w:tc>
        <w:tc>
          <w:tcPr>
            <w:tcW w:w="2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(2,287)</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7,775</w:t>
            </w:r>
          </w:p>
        </w:tc>
        <w:tc>
          <w:tcPr>
            <w:tcW w:w="26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(4,697)</w:t>
            </w:r>
          </w:p>
        </w:tc>
        <w:tc>
          <w:tcPr>
            <w:tcW w:w="26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303</w:t>
            </w:r>
          </w:p>
        </w:tc>
        <w:tc>
          <w:tcPr>
            <w:tcW w:w="26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13,665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3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528"/>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Retained</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1400" w:type="dxa"/>
            <w:vAlign w:val="bottom"/>
            <w:gridSpan w:val="4"/>
          </w:tcPr>
          <w:p>
            <w:pPr>
              <w:ind w:left="120"/>
              <w:spacing w:after="0"/>
              <w:rPr>
                <w:sz w:val="20"/>
                <w:szCs w:val="20"/>
                <w:color w:val="auto"/>
              </w:rPr>
            </w:pPr>
            <w:r>
              <w:rPr>
                <w:rFonts w:ascii="Arial" w:cs="Arial" w:eastAsia="Arial" w:hAnsi="Arial"/>
                <w:sz w:val="14"/>
                <w:szCs w:val="14"/>
                <w:b w:val="1"/>
                <w:bCs w:val="1"/>
                <w:color w:val="auto"/>
              </w:rPr>
              <w:t>Noncontrolling</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July 1, 2022 – September 30, 2022</w:t>
            </w:r>
          </w:p>
        </w:tc>
        <w:tc>
          <w:tcPr>
            <w:tcW w:w="1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Issued</w:t>
            </w:r>
          </w:p>
        </w:tc>
        <w:tc>
          <w:tcPr>
            <w:tcW w:w="2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In Treasury</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Earnings</w:t>
            </w:r>
          </w:p>
        </w:tc>
        <w:tc>
          <w:tcPr>
            <w:tcW w:w="26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Loss</w:t>
            </w:r>
          </w:p>
        </w:tc>
        <w:tc>
          <w:tcPr>
            <w:tcW w:w="14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Interests</w:t>
            </w:r>
          </w:p>
        </w:tc>
        <w:tc>
          <w:tcPr>
            <w:tcW w:w="2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00" w:type="dxa"/>
            <w:vAlign w:val="bottom"/>
            <w:shd w:val="clear" w:color="auto" w:fill="CFF0FC"/>
          </w:tcPr>
          <w:p>
            <w:pPr>
              <w:spacing w:after="0"/>
              <w:rPr>
                <w:sz w:val="20"/>
                <w:szCs w:val="20"/>
                <w:color w:val="auto"/>
              </w:rPr>
            </w:pPr>
            <w:r>
              <w:rPr>
                <w:rFonts w:ascii="Arial" w:cs="Arial" w:eastAsia="Arial" w:hAnsi="Arial"/>
                <w:sz w:val="14"/>
                <w:szCs w:val="14"/>
                <w:color w:val="auto"/>
              </w:rPr>
              <w:t>Balance, July 1, 2022</w:t>
            </w:r>
          </w:p>
        </w:tc>
        <w:tc>
          <w:tcPr>
            <w:tcW w:w="32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11,981</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(1,436)</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9,244</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(3,464)</w:t>
            </w:r>
          </w:p>
        </w:tc>
        <w:tc>
          <w:tcPr>
            <w:tcW w:w="26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300</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16,625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00" w:type="dxa"/>
            <w:vAlign w:val="bottom"/>
          </w:tcPr>
          <w:p>
            <w:pPr>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907</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00" w:type="dxa"/>
            <w:vAlign w:val="bottom"/>
            <w:shd w:val="clear" w:color="auto" w:fill="CFF0FC"/>
          </w:tcPr>
          <w:p>
            <w:pPr>
              <w:spacing w:after="0"/>
              <w:rPr>
                <w:sz w:val="20"/>
                <w:szCs w:val="20"/>
                <w:color w:val="auto"/>
              </w:rPr>
            </w:pPr>
            <w:r>
              <w:rPr>
                <w:rFonts w:ascii="Arial" w:cs="Arial" w:eastAsia="Arial" w:hAnsi="Arial"/>
                <w:sz w:val="14"/>
                <w:szCs w:val="14"/>
                <w:color w:val="auto"/>
              </w:rPr>
              <w:t>Currency translation adjustments</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75"/>
        </w:trPr>
        <w:tc>
          <w:tcPr>
            <w:tcW w:w="3600" w:type="dxa"/>
            <w:vAlign w:val="bottom"/>
          </w:tcPr>
          <w:p>
            <w:pPr>
              <w:spacing w:after="0"/>
              <w:rPr>
                <w:sz w:val="20"/>
                <w:szCs w:val="20"/>
                <w:color w:val="auto"/>
              </w:rPr>
            </w:pPr>
            <w:r>
              <w:rPr>
                <w:rFonts w:ascii="Arial" w:cs="Arial" w:eastAsia="Arial" w:hAnsi="Arial"/>
                <w:sz w:val="14"/>
                <w:szCs w:val="14"/>
                <w:color w:val="auto"/>
              </w:rPr>
              <w:t>Changes in fair value of cash flow hedges</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00" w:type="dxa"/>
            <w:vAlign w:val="bottom"/>
            <w:shd w:val="clear" w:color="auto" w:fill="CFF0FC"/>
          </w:tcPr>
          <w:p>
            <w:pPr>
              <w:spacing w:after="0"/>
              <w:rPr>
                <w:sz w:val="20"/>
                <w:szCs w:val="20"/>
                <w:color w:val="auto"/>
              </w:rPr>
            </w:pPr>
            <w:r>
              <w:rPr>
                <w:rFonts w:ascii="Arial" w:cs="Arial" w:eastAsia="Arial" w:hAnsi="Arial"/>
                <w:sz w:val="14"/>
                <w:szCs w:val="14"/>
                <w:color w:val="auto"/>
              </w:rPr>
              <w:t>Pension and other postretirement benefit plans</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00" w:type="dxa"/>
            <w:vAlign w:val="bottom"/>
          </w:tcPr>
          <w:p>
            <w:pPr>
              <w:spacing w:after="0"/>
              <w:rPr>
                <w:sz w:val="20"/>
                <w:szCs w:val="20"/>
                <w:color w:val="auto"/>
              </w:rPr>
            </w:pPr>
            <w:r>
              <w:rPr>
                <w:rFonts w:ascii="Arial" w:cs="Arial" w:eastAsia="Arial" w:hAnsi="Arial"/>
                <w:sz w:val="14"/>
                <w:szCs w:val="14"/>
                <w:color w:val="auto"/>
              </w:rPr>
              <w:t>Vesting of restricted stock, net of taxes withheld</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75"/>
        </w:trPr>
        <w:tc>
          <w:tcPr>
            <w:tcW w:w="3600" w:type="dxa"/>
            <w:vAlign w:val="bottom"/>
            <w:shd w:val="clear" w:color="auto" w:fill="CFF0FC"/>
          </w:tcPr>
          <w:p>
            <w:pPr>
              <w:spacing w:after="0"/>
              <w:rPr>
                <w:sz w:val="20"/>
                <w:szCs w:val="20"/>
                <w:color w:val="auto"/>
              </w:rPr>
            </w:pPr>
            <w:r>
              <w:rPr>
                <w:rFonts w:ascii="Arial" w:cs="Arial" w:eastAsia="Arial" w:hAnsi="Arial"/>
                <w:sz w:val="14"/>
                <w:szCs w:val="14"/>
                <w:color w:val="auto"/>
              </w:rPr>
              <w:t>Employee stock purchase plan</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196</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0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76</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00" w:type="dxa"/>
            <w:vAlign w:val="bottom"/>
            <w:shd w:val="clear" w:color="auto" w:fill="CFF0FC"/>
          </w:tcPr>
          <w:p>
            <w:pPr>
              <w:spacing w:after="0"/>
              <w:rPr>
                <w:sz w:val="20"/>
                <w:szCs w:val="20"/>
                <w:color w:val="auto"/>
              </w:rPr>
            </w:pPr>
            <w:r>
              <w:rPr>
                <w:rFonts w:ascii="Arial" w:cs="Arial" w:eastAsia="Arial" w:hAnsi="Arial"/>
                <w:sz w:val="14"/>
                <w:szCs w:val="14"/>
                <w:color w:val="auto"/>
              </w:rPr>
              <w:t>Dividends declared ($0.175 per share)</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(248)</w:t>
            </w:r>
          </w:p>
        </w:tc>
        <w:tc>
          <w:tcPr>
            <w:tcW w:w="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175"/>
        </w:trPr>
        <w:tc>
          <w:tcPr>
            <w:tcW w:w="3600" w:type="dxa"/>
            <w:vAlign w:val="bottom"/>
          </w:tcPr>
          <w:p>
            <w:pPr>
              <w:spacing w:after="0"/>
              <w:rPr>
                <w:sz w:val="20"/>
                <w:szCs w:val="20"/>
                <w:color w:val="auto"/>
              </w:rPr>
            </w:pPr>
            <w:r>
              <w:rPr>
                <w:rFonts w:ascii="Arial" w:cs="Arial" w:eastAsia="Arial" w:hAnsi="Arial"/>
                <w:sz w:val="14"/>
                <w:szCs w:val="14"/>
                <w:color w:val="auto"/>
              </w:rPr>
              <w:t>Other</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0" w:type="dxa"/>
            <w:vAlign w:val="bottom"/>
            <w:vMerge w:val="restart"/>
            <w:shd w:val="clear" w:color="auto" w:fill="CFF0FC"/>
          </w:tcPr>
          <w:p>
            <w:pPr>
              <w:spacing w:after="0"/>
              <w:rPr>
                <w:sz w:val="20"/>
                <w:szCs w:val="20"/>
                <w:color w:val="auto"/>
              </w:rPr>
            </w:pPr>
            <w:r>
              <w:rPr>
                <w:rFonts w:ascii="Arial" w:cs="Arial" w:eastAsia="Arial" w:hAnsi="Arial"/>
                <w:sz w:val="14"/>
                <w:szCs w:val="14"/>
                <w:color w:val="auto"/>
              </w:rPr>
              <w:t>Balance, September 30, 2022</w:t>
            </w: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0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11,867</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(1,176)</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9,904</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(3,396)</w:t>
            </w:r>
          </w:p>
        </w:tc>
        <w:tc>
          <w:tcPr>
            <w:tcW w:w="26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312</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17,511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8"/>
        </w:trPr>
        <w:tc>
          <w:tcPr>
            <w:tcW w:w="3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40" w:type="dxa"/>
            <w:vAlign w:val="bottom"/>
            <w:gridSpan w:val="9"/>
          </w:tcPr>
          <w:p>
            <w:pPr>
              <w:jc w:val="right"/>
              <w:ind w:right="120"/>
              <w:spacing w:after="0"/>
              <w:rPr>
                <w:sz w:val="20"/>
                <w:szCs w:val="20"/>
                <w:color w:val="auto"/>
              </w:rPr>
            </w:pPr>
            <w:r>
              <w:rPr>
                <w:rFonts w:ascii="Arial" w:cs="Arial" w:eastAsia="Arial" w:hAnsi="Arial"/>
                <w:sz w:val="14"/>
                <w:szCs w:val="14"/>
                <w:i w:val="1"/>
                <w:iCs w:val="1"/>
                <w:color w:val="auto"/>
              </w:rPr>
              <w:t>(Stated in millions, except per share amounts)</w:t>
            </w:r>
          </w:p>
        </w:tc>
        <w:tc>
          <w:tcPr>
            <w:tcW w:w="0" w:type="dxa"/>
            <w:vAlign w:val="bottom"/>
          </w:tcPr>
          <w:p>
            <w:pPr>
              <w:spacing w:after="0"/>
              <w:rPr>
                <w:sz w:val="1"/>
                <w:szCs w:val="1"/>
                <w:color w:val="auto"/>
              </w:rPr>
            </w:pPr>
          </w:p>
        </w:tc>
      </w:tr>
      <w:tr>
        <w:trPr>
          <w:trHeight w:val="336"/>
        </w:trPr>
        <w:tc>
          <w:tcPr>
            <w:tcW w:w="3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528"/>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Retained</w:t>
            </w:r>
          </w:p>
        </w:tc>
        <w:tc>
          <w:tcPr>
            <w:tcW w:w="12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Comprehensive</w:t>
            </w:r>
          </w:p>
        </w:tc>
        <w:tc>
          <w:tcPr>
            <w:tcW w:w="1400" w:type="dxa"/>
            <w:vAlign w:val="bottom"/>
            <w:gridSpan w:val="4"/>
          </w:tcPr>
          <w:p>
            <w:pPr>
              <w:ind w:left="120"/>
              <w:spacing w:after="0"/>
              <w:rPr>
                <w:sz w:val="20"/>
                <w:szCs w:val="20"/>
                <w:color w:val="auto"/>
              </w:rPr>
            </w:pPr>
            <w:r>
              <w:rPr>
                <w:rFonts w:ascii="Arial" w:cs="Arial" w:eastAsia="Arial" w:hAnsi="Arial"/>
                <w:sz w:val="14"/>
                <w:szCs w:val="14"/>
                <w:b w:val="1"/>
                <w:bCs w:val="1"/>
                <w:color w:val="auto"/>
              </w:rPr>
              <w:t>Noncontrolling</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July 1, 2021 – September 30, 2021</w:t>
            </w:r>
          </w:p>
        </w:tc>
        <w:tc>
          <w:tcPr>
            <w:tcW w:w="1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Issued</w:t>
            </w:r>
          </w:p>
        </w:tc>
        <w:tc>
          <w:tcPr>
            <w:tcW w:w="2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In Treasury</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Earnings</w:t>
            </w:r>
          </w:p>
        </w:tc>
        <w:tc>
          <w:tcPr>
            <w:tcW w:w="26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Loss</w:t>
            </w:r>
          </w:p>
        </w:tc>
        <w:tc>
          <w:tcPr>
            <w:tcW w:w="14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Interests</w:t>
            </w:r>
          </w:p>
        </w:tc>
        <w:tc>
          <w:tcPr>
            <w:tcW w:w="2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00" w:type="dxa"/>
            <w:vAlign w:val="bottom"/>
            <w:shd w:val="clear" w:color="auto" w:fill="CFF0FC"/>
          </w:tcPr>
          <w:p>
            <w:pPr>
              <w:spacing w:after="0"/>
              <w:rPr>
                <w:sz w:val="20"/>
                <w:szCs w:val="20"/>
                <w:color w:val="auto"/>
              </w:rPr>
            </w:pPr>
            <w:r>
              <w:rPr>
                <w:rFonts w:ascii="Arial" w:cs="Arial" w:eastAsia="Arial" w:hAnsi="Arial"/>
                <w:sz w:val="14"/>
                <w:szCs w:val="14"/>
                <w:color w:val="auto"/>
              </w:rPr>
              <w:t>Balance, July 1, 2021</w:t>
            </w:r>
          </w:p>
        </w:tc>
        <w:tc>
          <w:tcPr>
            <w:tcW w:w="32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12,730</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(2,591)</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7,399</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(4,776)</w:t>
            </w:r>
          </w:p>
        </w:tc>
        <w:tc>
          <w:tcPr>
            <w:tcW w:w="26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297</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13,059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00" w:type="dxa"/>
            <w:vAlign w:val="bottom"/>
          </w:tcPr>
          <w:p>
            <w:pPr>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550</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562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00" w:type="dxa"/>
            <w:vAlign w:val="bottom"/>
            <w:shd w:val="clear" w:color="auto" w:fill="CFF0FC"/>
          </w:tcPr>
          <w:p>
            <w:pPr>
              <w:spacing w:after="0"/>
              <w:rPr>
                <w:sz w:val="20"/>
                <w:szCs w:val="20"/>
                <w:color w:val="auto"/>
              </w:rPr>
            </w:pPr>
            <w:r>
              <w:rPr>
                <w:rFonts w:ascii="Arial" w:cs="Arial" w:eastAsia="Arial" w:hAnsi="Arial"/>
                <w:sz w:val="14"/>
                <w:szCs w:val="14"/>
                <w:color w:val="auto"/>
              </w:rPr>
              <w:t>Currency translation adjustments</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00" w:type="dxa"/>
            <w:vAlign w:val="bottom"/>
          </w:tcPr>
          <w:p>
            <w:pPr>
              <w:spacing w:after="0"/>
              <w:rPr>
                <w:sz w:val="20"/>
                <w:szCs w:val="20"/>
                <w:color w:val="auto"/>
              </w:rPr>
            </w:pPr>
            <w:r>
              <w:rPr>
                <w:rFonts w:ascii="Arial" w:cs="Arial" w:eastAsia="Arial" w:hAnsi="Arial"/>
                <w:sz w:val="14"/>
                <w:szCs w:val="14"/>
                <w:color w:val="auto"/>
              </w:rPr>
              <w:t>Changes in fair value of cash flow hedges</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75"/>
        </w:trPr>
        <w:tc>
          <w:tcPr>
            <w:tcW w:w="3600" w:type="dxa"/>
            <w:vAlign w:val="bottom"/>
            <w:shd w:val="clear" w:color="auto" w:fill="CFF0FC"/>
          </w:tcPr>
          <w:p>
            <w:pPr>
              <w:spacing w:after="0"/>
              <w:rPr>
                <w:sz w:val="20"/>
                <w:szCs w:val="20"/>
                <w:color w:val="auto"/>
              </w:rPr>
            </w:pPr>
            <w:r>
              <w:rPr>
                <w:rFonts w:ascii="Arial" w:cs="Arial" w:eastAsia="Arial" w:hAnsi="Arial"/>
                <w:sz w:val="14"/>
                <w:szCs w:val="14"/>
                <w:color w:val="auto"/>
              </w:rPr>
              <w:t>Pension and other postretirement benefit plans</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00" w:type="dxa"/>
            <w:vAlign w:val="bottom"/>
          </w:tcPr>
          <w:p>
            <w:pPr>
              <w:spacing w:after="0"/>
              <w:rPr>
                <w:sz w:val="20"/>
                <w:szCs w:val="20"/>
                <w:color w:val="auto"/>
              </w:rPr>
            </w:pPr>
            <w:r>
              <w:rPr>
                <w:rFonts w:ascii="Arial" w:cs="Arial" w:eastAsia="Arial" w:hAnsi="Arial"/>
                <w:sz w:val="14"/>
                <w:szCs w:val="14"/>
                <w:color w:val="auto"/>
              </w:rPr>
              <w:t>Vesting of restricted stock, net of taxes withheld</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5"/>
        </w:trPr>
        <w:tc>
          <w:tcPr>
            <w:tcW w:w="3600" w:type="dxa"/>
            <w:vAlign w:val="bottom"/>
            <w:shd w:val="clear" w:color="auto" w:fill="CFF0FC"/>
          </w:tcPr>
          <w:p>
            <w:pPr>
              <w:spacing w:after="0"/>
              <w:rPr>
                <w:sz w:val="20"/>
                <w:szCs w:val="20"/>
                <w:color w:val="auto"/>
              </w:rPr>
            </w:pPr>
            <w:r>
              <w:rPr>
                <w:rFonts w:ascii="Arial" w:cs="Arial" w:eastAsia="Arial" w:hAnsi="Arial"/>
                <w:sz w:val="14"/>
                <w:szCs w:val="14"/>
                <w:color w:val="auto"/>
              </w:rPr>
              <w:t>Employee stock purchase plan</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(175)</w:t>
            </w: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250</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0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73</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00" w:type="dxa"/>
            <w:vAlign w:val="bottom"/>
            <w:shd w:val="clear" w:color="auto" w:fill="CFF0FC"/>
          </w:tcPr>
          <w:p>
            <w:pPr>
              <w:spacing w:after="0"/>
              <w:rPr>
                <w:sz w:val="20"/>
                <w:szCs w:val="20"/>
                <w:color w:val="auto"/>
              </w:rPr>
            </w:pPr>
            <w:r>
              <w:rPr>
                <w:rFonts w:ascii="Arial" w:cs="Arial" w:eastAsia="Arial" w:hAnsi="Arial"/>
                <w:sz w:val="14"/>
                <w:szCs w:val="14"/>
                <w:color w:val="auto"/>
              </w:rPr>
              <w:t>Dividends declared ($0.125 per share)</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(174)</w:t>
            </w:r>
          </w:p>
        </w:tc>
        <w:tc>
          <w:tcPr>
            <w:tcW w:w="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76"/>
        </w:trPr>
        <w:tc>
          <w:tcPr>
            <w:tcW w:w="3600" w:type="dxa"/>
            <w:vAlign w:val="bottom"/>
          </w:tcPr>
          <w:p>
            <w:pPr>
              <w:spacing w:after="0"/>
              <w:rPr>
                <w:sz w:val="20"/>
                <w:szCs w:val="20"/>
                <w:color w:val="auto"/>
              </w:rPr>
            </w:pPr>
            <w:r>
              <w:rPr>
                <w:rFonts w:ascii="Arial" w:cs="Arial" w:eastAsia="Arial" w:hAnsi="Arial"/>
                <w:sz w:val="14"/>
                <w:szCs w:val="14"/>
                <w:color w:val="auto"/>
              </w:rPr>
              <w:t>Other</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(6)</w:t>
            </w:r>
          </w:p>
        </w:tc>
        <w:tc>
          <w:tcPr>
            <w:tcW w:w="20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
        </w:trPr>
        <w:tc>
          <w:tcPr>
            <w:tcW w:w="3600" w:type="dxa"/>
            <w:vAlign w:val="bottom"/>
            <w:vMerge w:val="restart"/>
            <w:shd w:val="clear" w:color="auto" w:fill="CFF0FC"/>
          </w:tcPr>
          <w:p>
            <w:pPr>
              <w:spacing w:after="0"/>
              <w:rPr>
                <w:sz w:val="20"/>
                <w:szCs w:val="20"/>
                <w:color w:val="auto"/>
              </w:rPr>
            </w:pPr>
            <w:r>
              <w:rPr>
                <w:rFonts w:ascii="Arial" w:cs="Arial" w:eastAsia="Arial" w:hAnsi="Arial"/>
                <w:sz w:val="14"/>
                <w:szCs w:val="14"/>
                <w:color w:val="auto"/>
              </w:rPr>
              <w:t>Balance, September 30, 2021</w:t>
            </w: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0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12,571</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(2,287)</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7,775</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(4,697)</w:t>
            </w:r>
          </w:p>
        </w:tc>
        <w:tc>
          <w:tcPr>
            <w:tcW w:w="26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303</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13,665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SHARES OF COMMON STOCK</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ind w:left="160"/>
              <w:spacing w:after="0"/>
              <w:rPr>
                <w:sz w:val="20"/>
                <w:szCs w:val="20"/>
                <w:color w:val="auto"/>
              </w:rPr>
            </w:pPr>
            <w:r>
              <w:rPr>
                <w:rFonts w:ascii="Arial" w:cs="Arial" w:eastAsia="Arial" w:hAnsi="Arial"/>
                <w:sz w:val="14"/>
                <w:szCs w:val="14"/>
                <w:i w:val="1"/>
                <w:iCs w:val="1"/>
                <w:color w:val="auto"/>
              </w:rPr>
              <w:t>(Stated in millions)</w:t>
            </w:r>
          </w:p>
        </w:tc>
      </w:tr>
      <w:tr>
        <w:trPr>
          <w:trHeight w:val="358"/>
        </w:trPr>
        <w:tc>
          <w:tcPr>
            <w:tcW w:w="6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Shares</w:t>
            </w:r>
          </w:p>
        </w:tc>
      </w:tr>
      <w:tr>
        <w:trPr>
          <w:trHeight w:val="203"/>
        </w:trPr>
        <w:tc>
          <w:tcPr>
            <w:tcW w:w="6600" w:type="dxa"/>
            <w:vAlign w:val="bottom"/>
          </w:tcPr>
          <w:p>
            <w:pPr>
              <w:spacing w:after="0"/>
              <w:rPr>
                <w:sz w:val="17"/>
                <w:szCs w:val="17"/>
                <w:color w:val="auto"/>
              </w:rPr>
            </w:pPr>
          </w:p>
        </w:tc>
        <w:tc>
          <w:tcPr>
            <w:tcW w:w="920" w:type="dxa"/>
            <w:vAlign w:val="bottom"/>
          </w:tcPr>
          <w:p>
            <w:pPr>
              <w:ind w:left="400"/>
              <w:spacing w:after="0"/>
              <w:rPr>
                <w:sz w:val="20"/>
                <w:szCs w:val="20"/>
                <w:color w:val="auto"/>
              </w:rPr>
            </w:pPr>
            <w:r>
              <w:rPr>
                <w:rFonts w:ascii="Arial" w:cs="Arial" w:eastAsia="Arial" w:hAnsi="Arial"/>
                <w:sz w:val="16"/>
                <w:szCs w:val="16"/>
                <w:b w:val="1"/>
                <w:bCs w:val="1"/>
                <w:color w:val="auto"/>
                <w:w w:val="98"/>
              </w:rPr>
              <w:t>Issued</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gridSpan w:val="2"/>
          </w:tcPr>
          <w:p>
            <w:pPr>
              <w:ind w:left="240"/>
              <w:spacing w:after="0"/>
              <w:rPr>
                <w:sz w:val="20"/>
                <w:szCs w:val="20"/>
                <w:color w:val="auto"/>
              </w:rPr>
            </w:pPr>
            <w:r>
              <w:rPr>
                <w:rFonts w:ascii="Arial" w:cs="Arial" w:eastAsia="Arial" w:hAnsi="Arial"/>
                <w:sz w:val="16"/>
                <w:szCs w:val="16"/>
                <w:b w:val="1"/>
                <w:bCs w:val="1"/>
                <w:color w:val="auto"/>
              </w:rPr>
              <w:t>In Treasury</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Outstanding</w:t>
            </w:r>
          </w:p>
        </w:tc>
      </w:tr>
      <w:tr>
        <w:trPr>
          <w:trHeight w:val="196"/>
        </w:trPr>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 January 1, 2022</w:t>
            </w:r>
          </w:p>
        </w:tc>
        <w:tc>
          <w:tcPr>
            <w:tcW w:w="92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4"/>
              </w:rPr>
              <w:t>1,434</w:t>
            </w:r>
          </w:p>
        </w:tc>
        <w:tc>
          <w:tcPr>
            <w:tcW w:w="240" w:type="dxa"/>
            <w:vAlign w:val="bottom"/>
            <w:tcBorders>
              <w:top w:val="single" w:sz="8" w:color="CFF0FC"/>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260" w:type="dxa"/>
            <w:vAlign w:val="bottom"/>
            <w:tcBorders>
              <w:top w:val="single" w:sz="8" w:color="CFF0FC"/>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1,403</w:t>
            </w:r>
          </w:p>
        </w:tc>
        <w:tc>
          <w:tcPr>
            <w:tcW w:w="100" w:type="dxa"/>
            <w:vAlign w:val="bottom"/>
            <w:tcBorders>
              <w:top w:val="single" w:sz="8" w:color="CFF0FC"/>
            </w:tcBorders>
            <w:shd w:val="clear" w:color="auto" w:fill="CFF0FC"/>
          </w:tcPr>
          <w:p>
            <w:pPr>
              <w:spacing w:after="0"/>
              <w:rPr>
                <w:sz w:val="17"/>
                <w:szCs w:val="17"/>
                <w:color w:val="auto"/>
              </w:rPr>
            </w:pPr>
          </w:p>
        </w:tc>
      </w:tr>
      <w:tr>
        <w:trPr>
          <w:trHeight w:val="203"/>
        </w:trPr>
        <w:tc>
          <w:tcPr>
            <w:tcW w:w="7520" w:type="dxa"/>
            <w:vAlign w:val="bottom"/>
            <w:gridSpan w:val="2"/>
          </w:tcPr>
          <w:p>
            <w:pPr>
              <w:spacing w:after="0"/>
              <w:rPr>
                <w:sz w:val="20"/>
                <w:szCs w:val="20"/>
                <w:color w:val="auto"/>
              </w:rPr>
            </w:pPr>
            <w:r>
              <w:rPr>
                <w:rFonts w:ascii="Arial" w:cs="Arial" w:eastAsia="Arial" w:hAnsi="Arial"/>
                <w:sz w:val="16"/>
                <w:szCs w:val="16"/>
                <w:color w:val="auto"/>
              </w:rPr>
              <w:t>Shares sold to optionees, less shares exchanged</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r>
      <w:tr>
        <w:trPr>
          <w:trHeight w:val="203"/>
        </w:trPr>
        <w:tc>
          <w:tcPr>
            <w:tcW w:w="75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Vesting of restricted stock</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FF0FC"/>
          </w:tcPr>
          <w:p>
            <w:pPr>
              <w:spacing w:after="0"/>
              <w:rPr>
                <w:sz w:val="17"/>
                <w:szCs w:val="17"/>
                <w:color w:val="auto"/>
              </w:rPr>
            </w:pPr>
          </w:p>
        </w:tc>
      </w:tr>
      <w:tr>
        <w:trPr>
          <w:trHeight w:val="202"/>
        </w:trPr>
        <w:tc>
          <w:tcPr>
            <w:tcW w:w="7520" w:type="dxa"/>
            <w:vAlign w:val="bottom"/>
            <w:gridSpan w:val="2"/>
          </w:tcPr>
          <w:p>
            <w:pPr>
              <w:spacing w:after="0"/>
              <w:rPr>
                <w:sz w:val="20"/>
                <w:szCs w:val="20"/>
                <w:color w:val="auto"/>
              </w:rPr>
            </w:pPr>
            <w:r>
              <w:rPr>
                <w:rFonts w:ascii="Arial" w:cs="Arial" w:eastAsia="Arial" w:hAnsi="Arial"/>
                <w:sz w:val="16"/>
                <w:szCs w:val="16"/>
                <w:color w:val="auto"/>
              </w:rPr>
              <w:t>Shares issued under employee stock purchase plan</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w:t>
            </w:r>
          </w:p>
        </w:tc>
        <w:tc>
          <w:tcPr>
            <w:tcW w:w="2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r>
      <w:tr>
        <w:trPr>
          <w:trHeight w:val="196"/>
        </w:trPr>
        <w:tc>
          <w:tcPr>
            <w:tcW w:w="6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 September 30, 2022</w:t>
            </w:r>
          </w:p>
        </w:tc>
        <w:tc>
          <w:tcPr>
            <w:tcW w:w="920" w:type="dxa"/>
            <w:vAlign w:val="bottom"/>
            <w:tcBorders>
              <w:top w:val="single" w:sz="8" w:color="auto"/>
              <w:bottom w:val="single" w:sz="8" w:color="auto"/>
            </w:tcBorders>
            <w:shd w:val="clear" w:color="auto" w:fill="CFF0FC"/>
          </w:tcPr>
          <w:p>
            <w:pPr>
              <w:spacing w:after="0"/>
              <w:rPr>
                <w:sz w:val="17"/>
                <w:szCs w:val="17"/>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4"/>
              </w:rPr>
              <w:t>1,434</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1,418</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6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8" w:name="page9"/>
    <w:bookmarkEnd w:id="8"/>
    <w:p>
      <w:pPr>
        <w:ind w:left="3780"/>
        <w:spacing w:after="0"/>
        <w:rPr>
          <w:sz w:val="20"/>
          <w:szCs w:val="20"/>
          <w:color w:val="auto"/>
        </w:rPr>
      </w:pPr>
      <w:r>
        <w:rPr>
          <w:rFonts w:ascii="Arial" w:cs="Arial" w:eastAsia="Arial" w:hAnsi="Arial"/>
          <w:sz w:val="16"/>
          <w:szCs w:val="16"/>
          <w:b w:val="1"/>
          <w:bCs w:val="1"/>
          <w:u w:val="single" w:color="auto"/>
          <w:color w:val="auto"/>
        </w:rPr>
        <w:t>SCHLUMBERGER LIMITED AND SUBSIDIARIES</w:t>
      </w:r>
    </w:p>
    <w:p>
      <w:pPr>
        <w:spacing w:after="0" w:line="113" w:lineRule="exact"/>
        <w:rPr>
          <w:sz w:val="20"/>
          <w:szCs w:val="20"/>
          <w:color w:val="auto"/>
        </w:rPr>
      </w:pPr>
    </w:p>
    <w:p>
      <w:pPr>
        <w:ind w:left="3520"/>
        <w:spacing w:after="0"/>
        <w:rPr>
          <w:sz w:val="20"/>
          <w:szCs w:val="20"/>
          <w:color w:val="auto"/>
        </w:rPr>
      </w:pPr>
      <w:r>
        <w:rPr>
          <w:rFonts w:ascii="Arial" w:cs="Arial" w:eastAsia="Arial" w:hAnsi="Arial"/>
          <w:sz w:val="16"/>
          <w:szCs w:val="16"/>
          <w:b w:val="1"/>
          <w:bCs w:val="1"/>
          <w:u w:val="single" w:color="auto"/>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92" w:lineRule="exact"/>
        <w:rPr>
          <w:sz w:val="20"/>
          <w:szCs w:val="20"/>
          <w:color w:val="auto"/>
        </w:rPr>
      </w:pPr>
    </w:p>
    <w:p>
      <w:pPr>
        <w:ind w:left="280" w:hanging="272"/>
        <w:spacing w:after="0"/>
        <w:tabs>
          <w:tab w:leader="none" w:pos="28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Basis of Presentation</w:t>
      </w:r>
    </w:p>
    <w:p>
      <w:pPr>
        <w:spacing w:after="0" w:line="11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The accompanying unaudited consolidated financial statements of Schlumberger Limited and its subsidiaries (“Schlumberger”) have been prepared in accordance with generally accepted accounting principles in the United States of America for interim financial information and with the instructions to Form 10-Q and Article 10 of Regulation S-X. Accordingly, they do not include all of the information and footnotes required by generally accepted accounting principles for complete financial statements. In the opinion of Schlumberger management, all adjustments considered necessary for a fair statement have been included in the accompanying unaudited financial statements. All intercompany transactions and balances have been eliminated in consolidation. Operating results for the nine-month period ended September 30, 2022 are not necessarily indicative of the results that may be expected for the full year ending December 31, 2022. The December 31, 2021 balance sheet information has been derived from the Schlumberger 2021 audited financial statements. For further information, refer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xml:space="preserve"> and notes thereto included in the Schlumberger Annual Report on Form 10-K for the year ended December 31, 2021, filed with the Securities and Exchange Commission on January 26, 2022.</w:t>
      </w:r>
    </w:p>
    <w:p>
      <w:pPr>
        <w:spacing w:after="0" w:line="185" w:lineRule="exact"/>
        <w:rPr>
          <w:sz w:val="20"/>
          <w:szCs w:val="20"/>
          <w:color w:val="auto"/>
        </w:rPr>
      </w:pPr>
    </w:p>
    <w:p>
      <w:pPr>
        <w:ind w:right="9380" w:firstLine="8"/>
        <w:spacing w:after="0" w:line="387" w:lineRule="auto"/>
        <w:tabs>
          <w:tab w:leader="none" w:pos="27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Charges and Credits </w:t>
      </w:r>
      <w:r>
        <w:rPr>
          <w:rFonts w:ascii="Arial" w:cs="Arial" w:eastAsia="Arial" w:hAnsi="Arial"/>
          <w:sz w:val="16"/>
          <w:szCs w:val="16"/>
          <w:b w:val="1"/>
          <w:bCs w:val="1"/>
          <w:color w:val="auto"/>
        </w:rPr>
        <w:t>2022</w:t>
      </w:r>
    </w:p>
    <w:p>
      <w:pPr>
        <w:spacing w:after="0" w:line="1"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 xml:space="preserve">Schlumberger recorded the following credits during the first nine months of 2022, all of which are classified in </w:t>
      </w:r>
      <w:r>
        <w:rPr>
          <w:rFonts w:ascii="Arial" w:cs="Arial" w:eastAsia="Arial" w:hAnsi="Arial"/>
          <w:sz w:val="16"/>
          <w:szCs w:val="16"/>
          <w:i w:val="1"/>
          <w:iCs w:val="1"/>
          <w:color w:val="auto"/>
        </w:rPr>
        <w:t>Interest &amp; other income</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 of Income</w:t>
      </w:r>
      <w:r>
        <w:rPr>
          <w:rFonts w:ascii="Arial" w:cs="Arial" w:eastAsia="Arial" w:hAnsi="Arial"/>
          <w:sz w:val="16"/>
          <w:szCs w:val="16"/>
          <w:color w:val="auto"/>
        </w:rPr>
        <w:t>:</w:t>
      </w:r>
    </w:p>
    <w:p>
      <w:pPr>
        <w:spacing w:after="0" w:line="1" w:lineRule="exact"/>
        <w:rPr>
          <w:sz w:val="20"/>
          <w:szCs w:val="20"/>
          <w:color w:val="auto"/>
        </w:rPr>
      </w:pPr>
    </w:p>
    <w:p>
      <w:pPr>
        <w:ind w:left="9940"/>
        <w:spacing w:after="0"/>
        <w:rPr>
          <w:sz w:val="20"/>
          <w:szCs w:val="20"/>
          <w:color w:val="auto"/>
        </w:rPr>
      </w:pPr>
      <w:r>
        <w:rPr>
          <w:rFonts w:ascii="Arial" w:cs="Arial" w:eastAsia="Arial" w:hAnsi="Arial"/>
          <w:sz w:val="14"/>
          <w:szCs w:val="14"/>
          <w:i w:val="1"/>
          <w:iCs w:val="1"/>
          <w:color w:val="auto"/>
        </w:rPr>
        <w:t>(Stated in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color w:val="auto"/>
              </w:rPr>
              <w:t>Pretax Credit</w:t>
            </w:r>
          </w:p>
        </w:tc>
        <w:tc>
          <w:tcPr>
            <w:tcW w:w="160" w:type="dxa"/>
            <w:vAlign w:val="bottom"/>
          </w:tcPr>
          <w:p>
            <w:pPr>
              <w:spacing w:after="0"/>
              <w:rPr>
                <w:sz w:val="17"/>
                <w:szCs w:val="17"/>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color w:val="auto"/>
              </w:rPr>
              <w:t>Tax Expense</w:t>
            </w:r>
          </w:p>
        </w:tc>
        <w:tc>
          <w:tcPr>
            <w:tcW w:w="320" w:type="dxa"/>
            <w:vAlign w:val="bottom"/>
          </w:tcPr>
          <w:p>
            <w:pPr>
              <w:spacing w:after="0"/>
              <w:rPr>
                <w:sz w:val="17"/>
                <w:szCs w:val="17"/>
                <w:color w:val="auto"/>
              </w:rPr>
            </w:pPr>
          </w:p>
        </w:tc>
        <w:tc>
          <w:tcPr>
            <w:tcW w:w="1140" w:type="dxa"/>
            <w:vAlign w:val="bottom"/>
            <w:gridSpan w:val="2"/>
          </w:tcPr>
          <w:p>
            <w:pPr>
              <w:ind w:left="220"/>
              <w:spacing w:after="0"/>
              <w:rPr>
                <w:sz w:val="20"/>
                <w:szCs w:val="20"/>
                <w:color w:val="auto"/>
              </w:rPr>
            </w:pPr>
            <w:r>
              <w:rPr>
                <w:rFonts w:ascii="Arial" w:cs="Arial" w:eastAsia="Arial" w:hAnsi="Arial"/>
                <w:sz w:val="16"/>
                <w:szCs w:val="16"/>
                <w:color w:val="auto"/>
              </w:rPr>
              <w:t>Net</w:t>
            </w:r>
          </w:p>
        </w:tc>
      </w:tr>
      <w:tr>
        <w:trPr>
          <w:trHeight w:val="196"/>
        </w:trPr>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i w:val="1"/>
                <w:iCs w:val="1"/>
                <w:color w:val="auto"/>
              </w:rPr>
              <w:t>First quarter:</w:t>
            </w:r>
          </w:p>
        </w:tc>
        <w:tc>
          <w:tcPr>
            <w:tcW w:w="14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03"/>
        </w:trPr>
        <w:tc>
          <w:tcPr>
            <w:tcW w:w="6600" w:type="dxa"/>
            <w:vAlign w:val="bottom"/>
          </w:tcPr>
          <w:p>
            <w:pPr>
              <w:ind w:left="260"/>
              <w:spacing w:after="0"/>
              <w:rPr>
                <w:sz w:val="20"/>
                <w:szCs w:val="20"/>
                <w:color w:val="auto"/>
              </w:rPr>
            </w:pPr>
            <w:r>
              <w:rPr>
                <w:rFonts w:ascii="Arial" w:cs="Arial" w:eastAsia="Arial" w:hAnsi="Arial"/>
                <w:sz w:val="16"/>
                <w:szCs w:val="16"/>
                <w:color w:val="auto"/>
              </w:rPr>
              <w:t>Gain on sale of Liberty shares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26</w:t>
            </w:r>
          </w:p>
        </w:tc>
        <w:tc>
          <w:tcPr>
            <w:tcW w:w="2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w:t>
            </w:r>
          </w:p>
        </w:tc>
        <w:tc>
          <w:tcPr>
            <w:tcW w:w="26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r>
      <w:tr>
        <w:trPr>
          <w:trHeight w:val="203"/>
        </w:trPr>
        <w:tc>
          <w:tcPr>
            <w:tcW w:w="660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Second quarter:</w:t>
            </w: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ind w:left="260"/>
              <w:spacing w:after="0"/>
              <w:rPr>
                <w:sz w:val="20"/>
                <w:szCs w:val="20"/>
                <w:color w:val="auto"/>
              </w:rPr>
            </w:pPr>
            <w:r>
              <w:rPr>
                <w:rFonts w:ascii="Arial" w:cs="Arial" w:eastAsia="Arial" w:hAnsi="Arial"/>
                <w:sz w:val="16"/>
                <w:szCs w:val="16"/>
                <w:color w:val="auto"/>
              </w:rPr>
              <w:t>Gain on sale of Liberty shares</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216</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17"/>
                <w:szCs w:val="17"/>
                <w:color w:val="auto"/>
              </w:rPr>
            </w:pPr>
          </w:p>
        </w:tc>
      </w:tr>
      <w:tr>
        <w:trPr>
          <w:trHeight w:val="203"/>
        </w:trPr>
        <w:tc>
          <w:tcPr>
            <w:tcW w:w="6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Gain on sale of real estate</w:t>
            </w:r>
          </w:p>
        </w:tc>
        <w:tc>
          <w:tcPr>
            <w:tcW w:w="14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24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60" w:type="dxa"/>
            <w:vAlign w:val="bottom"/>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FF0FC"/>
          </w:tcPr>
          <w:p>
            <w:pPr>
              <w:spacing w:after="0"/>
              <w:rPr>
                <w:sz w:val="17"/>
                <w:szCs w:val="17"/>
                <w:color w:val="auto"/>
              </w:rPr>
            </w:pPr>
          </w:p>
        </w:tc>
      </w:tr>
      <w:tr>
        <w:trPr>
          <w:trHeight w:val="196"/>
        </w:trPr>
        <w:tc>
          <w:tcPr>
            <w:tcW w:w="66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w:t>
            </w:r>
          </w:p>
        </w:tc>
        <w:tc>
          <w:tcPr>
            <w:tcW w:w="24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26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17"/>
                <w:szCs w:val="17"/>
                <w:color w:val="auto"/>
              </w:rPr>
            </w:pPr>
          </w:p>
        </w:tc>
      </w:tr>
      <w:tr>
        <w:trPr>
          <w:trHeight w:val="20"/>
        </w:trPr>
        <w:tc>
          <w:tcPr>
            <w:tcW w:w="6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On December 31, 2020, Schlumberger contributed its onshore hydraulic fracturing business in the United States and Canada, including its pressure pumping, pumpdown perforating and Permian frac sand business to Liberty Energy Inc. (“Liberty”) in exchange for an equity interest in Liberty. During the first quarter of 2022, Schlumberger sold 7.2 million of its shares of Liberty and received proceeds of $84 million. During the second quarter of 2022, Schlumberger sold an additional 26.5 million of its shares in Liberty and received proceeds of $429 million. As a result of these transactions Schlumberger recognized a gain of $26 million during the first quarter of 2022 and a gain of $216 million during the second quarter of 2022. As of September 30, 2022, Schlumberger had a 12% equity interest in Liberty.</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During the second quarter of 2022, Schlumberger sold certain real estate and received proceeds of $120 million. As a result of this transaction, Schlumberger recognized a gain of $43 million.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2021</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During the third quarter of 2021, a start-up company that Schlumberger previously invested in was acquired. As a result of this transaction, Schlumberger’s ownership interest was converted into shares of a publicly traded company. Schlumberger recognized an unrealized pretax gain of $47 million ($36 million after-tax) to increase the carrying value of this investment to its estimated fair value of approximately $55 million. This unrealized gain is reflected in </w:t>
      </w:r>
      <w:r>
        <w:rPr>
          <w:rFonts w:ascii="Arial" w:cs="Arial" w:eastAsia="Arial" w:hAnsi="Arial"/>
          <w:sz w:val="16"/>
          <w:szCs w:val="16"/>
          <w:i w:val="1"/>
          <w:iCs w:val="1"/>
          <w:color w:val="auto"/>
        </w:rPr>
        <w:t>Interest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&amp; other income </w:t>
      </w:r>
      <w:r>
        <w:rPr>
          <w:rFonts w:ascii="Arial" w:cs="Arial" w:eastAsia="Arial" w:hAnsi="Arial"/>
          <w:sz w:val="16"/>
          <w:szCs w:val="16"/>
          <w:color w:val="auto"/>
        </w:rPr>
        <w:t>in the</w:t>
      </w:r>
      <w:r>
        <w:rPr>
          <w:rFonts w:ascii="Arial" w:cs="Arial" w:eastAsia="Arial" w:hAnsi="Arial"/>
          <w:sz w:val="16"/>
          <w:szCs w:val="16"/>
          <w:i w:val="1"/>
          <w:iCs w:val="1"/>
          <w:color w:val="auto"/>
        </w:rPr>
        <w:t xml:space="preserve"> Consolidated Statement of Income</w:t>
      </w:r>
      <w:r>
        <w:rPr>
          <w:rFonts w:ascii="Arial" w:cs="Arial" w:eastAsia="Arial" w:hAnsi="Arial"/>
          <w:sz w:val="16"/>
          <w:szCs w:val="16"/>
          <w:color w:val="auto"/>
        </w:rPr>
        <w: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 w:name="page10"/>
    <w:bookmarkEnd w:id="9"/>
    <w:p>
      <w:pPr>
        <w:ind w:left="280" w:hanging="272"/>
        <w:spacing w:after="0"/>
        <w:tabs>
          <w:tab w:leader="none" w:pos="28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Earnings per Share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from basic income per share of Schlumberger to diluted income per share of Schlumberger:</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40" w:type="dxa"/>
            <w:vAlign w:val="bottom"/>
            <w:gridSpan w:val="8"/>
          </w:tcPr>
          <w:p>
            <w:pPr>
              <w:jc w:val="right"/>
              <w:ind w:right="120"/>
              <w:spacing w:after="0"/>
              <w:rPr>
                <w:sz w:val="20"/>
                <w:szCs w:val="20"/>
                <w:color w:val="auto"/>
              </w:rPr>
            </w:pPr>
            <w:r>
              <w:rPr>
                <w:rFonts w:ascii="Arial" w:cs="Arial" w:eastAsia="Arial" w:hAnsi="Arial"/>
                <w:sz w:val="14"/>
                <w:szCs w:val="14"/>
                <w:i w:val="1"/>
                <w:iCs w:val="1"/>
                <w:color w:val="auto"/>
              </w:rPr>
              <w:t>(Stated in millions, except per share amounts)</w:t>
            </w:r>
          </w:p>
        </w:tc>
      </w:tr>
      <w:tr>
        <w:trPr>
          <w:trHeight w:val="399"/>
        </w:trPr>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rPr>
              <w:t>2021</w:t>
            </w: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380"/>
              <w:spacing w:after="0" w:line="182" w:lineRule="exact"/>
              <w:rPr>
                <w:sz w:val="20"/>
                <w:szCs w:val="20"/>
                <w:color w:val="auto"/>
              </w:rPr>
            </w:pPr>
            <w:r>
              <w:rPr>
                <w:rFonts w:ascii="Arial" w:cs="Arial" w:eastAsia="Arial" w:hAnsi="Arial"/>
                <w:sz w:val="16"/>
                <w:szCs w:val="16"/>
                <w:b w:val="1"/>
                <w:bCs w:val="1"/>
                <w:color w:val="auto"/>
                <w:w w:val="99"/>
              </w:rPr>
              <w:t>Net Income</w:t>
            </w:r>
          </w:p>
        </w:tc>
        <w:tc>
          <w:tcPr>
            <w:tcW w:w="1340" w:type="dxa"/>
            <w:vAlign w:val="bottom"/>
            <w:gridSpan w:val="2"/>
          </w:tcPr>
          <w:p>
            <w:pPr>
              <w:jc w:val="center"/>
              <w:ind w:right="260"/>
              <w:spacing w:after="0" w:line="182" w:lineRule="exact"/>
              <w:rPr>
                <w:sz w:val="20"/>
                <w:szCs w:val="20"/>
                <w:color w:val="auto"/>
              </w:rPr>
            </w:pPr>
            <w:r>
              <w:rPr>
                <w:rFonts w:ascii="Arial" w:cs="Arial" w:eastAsia="Arial" w:hAnsi="Arial"/>
                <w:sz w:val="16"/>
                <w:szCs w:val="16"/>
                <w:b w:val="1"/>
                <w:bCs w:val="1"/>
                <w:color w:val="auto"/>
              </w:rPr>
              <w:t>Average</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ind w:right="40"/>
              <w:spacing w:after="0" w:line="182" w:lineRule="exact"/>
              <w:rPr>
                <w:sz w:val="20"/>
                <w:szCs w:val="20"/>
                <w:color w:val="auto"/>
              </w:rPr>
            </w:pPr>
            <w:r>
              <w:rPr>
                <w:rFonts w:ascii="Arial" w:cs="Arial" w:eastAsia="Arial" w:hAnsi="Arial"/>
                <w:sz w:val="16"/>
                <w:szCs w:val="16"/>
                <w:color w:val="auto"/>
              </w:rPr>
              <w:t>Net Income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340"/>
              <w:spacing w:after="0" w:line="182" w:lineRule="exact"/>
              <w:rPr>
                <w:sz w:val="20"/>
                <w:szCs w:val="20"/>
                <w:color w:val="auto"/>
              </w:rPr>
            </w:pPr>
            <w:r>
              <w:rPr>
                <w:rFonts w:ascii="Arial" w:cs="Arial" w:eastAsia="Arial" w:hAnsi="Arial"/>
                <w:sz w:val="16"/>
                <w:szCs w:val="16"/>
                <w:color w:val="auto"/>
              </w:rPr>
              <w:t>Average</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9"/>
        </w:trPr>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50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rPr>
              <w:t>Attributable to</w:t>
            </w: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Shares</w:t>
            </w: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rPr>
              <w:t>Earnings per</w:t>
            </w:r>
          </w:p>
        </w:tc>
        <w:tc>
          <w:tcPr>
            <w:tcW w:w="240" w:type="dxa"/>
            <w:vAlign w:val="bottom"/>
          </w:tcPr>
          <w:p>
            <w:pPr>
              <w:spacing w:after="0"/>
              <w:rPr>
                <w:sz w:val="16"/>
                <w:szCs w:val="16"/>
                <w:color w:val="auto"/>
              </w:rPr>
            </w:pPr>
          </w:p>
        </w:tc>
        <w:tc>
          <w:tcPr>
            <w:tcW w:w="1120" w:type="dxa"/>
            <w:vAlign w:val="bottom"/>
            <w:gridSpan w:val="2"/>
          </w:tcPr>
          <w:p>
            <w:pPr>
              <w:jc w:val="center"/>
              <w:spacing w:after="0"/>
              <w:rPr>
                <w:sz w:val="20"/>
                <w:szCs w:val="20"/>
                <w:color w:val="auto"/>
              </w:rPr>
            </w:pPr>
            <w:r>
              <w:rPr>
                <w:rFonts w:ascii="Arial" w:cs="Arial" w:eastAsia="Arial" w:hAnsi="Arial"/>
                <w:sz w:val="16"/>
                <w:szCs w:val="16"/>
                <w:color w:val="auto"/>
              </w:rPr>
              <w:t>Attributable to</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color w:val="auto"/>
              </w:rPr>
              <w:t>Shares</w:t>
            </w:r>
          </w:p>
        </w:tc>
        <w:tc>
          <w:tcPr>
            <w:tcW w:w="8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color w:val="auto"/>
              </w:rPr>
              <w:t>Earnings per</w:t>
            </w:r>
          </w:p>
        </w:tc>
      </w:tr>
      <w:tr>
        <w:trPr>
          <w:trHeight w:val="203"/>
        </w:trPr>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50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rPr>
              <w:t>Schlumberger</w:t>
            </w: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Outstanding</w:t>
            </w:r>
          </w:p>
        </w:tc>
        <w:tc>
          <w:tcPr>
            <w:tcW w:w="200" w:type="dxa"/>
            <w:vAlign w:val="bottom"/>
          </w:tcPr>
          <w:p>
            <w:pPr>
              <w:spacing w:after="0"/>
              <w:rPr>
                <w:sz w:val="17"/>
                <w:szCs w:val="17"/>
                <w:color w:val="auto"/>
              </w:rPr>
            </w:pPr>
          </w:p>
        </w:tc>
        <w:tc>
          <w:tcPr>
            <w:tcW w:w="900" w:type="dxa"/>
            <w:vAlign w:val="bottom"/>
          </w:tcPr>
          <w:p>
            <w:pPr>
              <w:jc w:val="center"/>
              <w:ind w:right="139"/>
              <w:spacing w:after="0"/>
              <w:rPr>
                <w:sz w:val="20"/>
                <w:szCs w:val="20"/>
                <w:color w:val="auto"/>
              </w:rPr>
            </w:pPr>
            <w:r>
              <w:rPr>
                <w:rFonts w:ascii="Arial" w:cs="Arial" w:eastAsia="Arial" w:hAnsi="Arial"/>
                <w:sz w:val="16"/>
                <w:szCs w:val="16"/>
                <w:b w:val="1"/>
                <w:bCs w:val="1"/>
                <w:color w:val="auto"/>
                <w:w w:val="98"/>
              </w:rPr>
              <w:t>Share</w:t>
            </w:r>
          </w:p>
        </w:tc>
        <w:tc>
          <w:tcPr>
            <w:tcW w:w="240" w:type="dxa"/>
            <w:vAlign w:val="bottom"/>
          </w:tcPr>
          <w:p>
            <w:pPr>
              <w:spacing w:after="0"/>
              <w:rPr>
                <w:sz w:val="17"/>
                <w:szCs w:val="17"/>
                <w:color w:val="auto"/>
              </w:rPr>
            </w:pPr>
          </w:p>
        </w:tc>
        <w:tc>
          <w:tcPr>
            <w:tcW w:w="1120" w:type="dxa"/>
            <w:vAlign w:val="bottom"/>
            <w:gridSpan w:val="2"/>
          </w:tcPr>
          <w:p>
            <w:pPr>
              <w:jc w:val="center"/>
              <w:spacing w:after="0"/>
              <w:rPr>
                <w:sz w:val="20"/>
                <w:szCs w:val="20"/>
                <w:color w:val="auto"/>
              </w:rPr>
            </w:pPr>
            <w:r>
              <w:rPr>
                <w:rFonts w:ascii="Arial" w:cs="Arial" w:eastAsia="Arial" w:hAnsi="Arial"/>
                <w:sz w:val="16"/>
                <w:szCs w:val="16"/>
                <w:color w:val="auto"/>
              </w:rPr>
              <w:t>Schlumberger</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color w:val="auto"/>
              </w:rPr>
              <w:t>Outstanding</w:t>
            </w:r>
          </w:p>
        </w:tc>
        <w:tc>
          <w:tcPr>
            <w:tcW w:w="8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color w:val="auto"/>
                <w:w w:val="98"/>
              </w:rPr>
              <w:t>Share</w:t>
            </w:r>
          </w:p>
        </w:tc>
      </w:tr>
      <w:tr>
        <w:trPr>
          <w:trHeight w:val="176"/>
        </w:trPr>
        <w:tc>
          <w:tcPr>
            <w:tcW w:w="3220" w:type="dxa"/>
            <w:vAlign w:val="bottom"/>
            <w:tcBorders>
              <w:top w:val="single" w:sz="8" w:color="CFF0FC"/>
            </w:tcBorders>
            <w:gridSpan w:val="3"/>
            <w:shd w:val="clear" w:color="auto" w:fill="CFF0FC"/>
          </w:tcPr>
          <w:p>
            <w:pPr>
              <w:spacing w:after="0" w:line="169" w:lineRule="exact"/>
              <w:rPr>
                <w:sz w:val="20"/>
                <w:szCs w:val="20"/>
                <w:color w:val="auto"/>
              </w:rPr>
            </w:pPr>
            <w:r>
              <w:rPr>
                <w:rFonts w:ascii="Arial" w:cs="Arial" w:eastAsia="Arial" w:hAnsi="Arial"/>
                <w:sz w:val="16"/>
                <w:szCs w:val="16"/>
                <w:b w:val="1"/>
                <w:bCs w:val="1"/>
                <w:color w:val="auto"/>
              </w:rPr>
              <w:t>Third Quarter</w:t>
            </w:r>
          </w:p>
        </w:tc>
        <w:tc>
          <w:tcPr>
            <w:tcW w:w="140" w:type="dxa"/>
            <w:vAlign w:val="bottom"/>
            <w:tcBorders>
              <w:top w:val="single" w:sz="8" w:color="auto"/>
            </w:tcBorders>
            <w:shd w:val="clear" w:color="auto" w:fill="CFF0FC"/>
          </w:tcPr>
          <w:p>
            <w:pPr>
              <w:spacing w:after="0"/>
              <w:rPr>
                <w:sz w:val="15"/>
                <w:szCs w:val="15"/>
                <w:color w:val="auto"/>
              </w:rPr>
            </w:pPr>
          </w:p>
        </w:tc>
        <w:tc>
          <w:tcPr>
            <w:tcW w:w="112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110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r>
      <w:tr>
        <w:trPr>
          <w:trHeight w:val="243"/>
        </w:trPr>
        <w:tc>
          <w:tcPr>
            <w:tcW w:w="1040" w:type="dxa"/>
            <w:vAlign w:val="bottom"/>
            <w:tcBorders>
              <w:top w:val="single" w:sz="8" w:color="auto"/>
              <w:bottom w:val="single" w:sz="8" w:color="CFF0FC"/>
            </w:tcBorders>
            <w:gridSpan w:val="2"/>
          </w:tcPr>
          <w:p>
            <w:pPr>
              <w:spacing w:after="0"/>
              <w:rPr>
                <w:sz w:val="20"/>
                <w:szCs w:val="20"/>
                <w:color w:val="auto"/>
              </w:rPr>
            </w:pPr>
            <w:r>
              <w:rPr>
                <w:rFonts w:ascii="Arial" w:cs="Arial" w:eastAsia="Arial" w:hAnsi="Arial"/>
                <w:sz w:val="16"/>
                <w:szCs w:val="16"/>
                <w:color w:val="auto"/>
              </w:rPr>
              <w:t>Basic</w:t>
            </w:r>
          </w:p>
        </w:tc>
        <w:tc>
          <w:tcPr>
            <w:tcW w:w="2180" w:type="dxa"/>
            <w:vAlign w:val="bottom"/>
            <w:tcBorders>
              <w:top w:val="single" w:sz="8" w:color="CFF0FC"/>
              <w:bottom w:val="single" w:sz="8" w:color="CFF0FC"/>
            </w:tcBorders>
          </w:tcPr>
          <w:p>
            <w:pPr>
              <w:spacing w:after="0"/>
              <w:rPr>
                <w:sz w:val="21"/>
                <w:szCs w:val="21"/>
                <w:color w:val="auto"/>
              </w:rPr>
            </w:pPr>
          </w:p>
        </w:tc>
        <w:tc>
          <w:tcPr>
            <w:tcW w:w="140" w:type="dxa"/>
            <w:vAlign w:val="bottom"/>
            <w:tcBorders>
              <w:top w:val="single" w:sz="8" w:color="CFF0FC"/>
              <w:bottom w:val="single" w:sz="8" w:color="CFF0FC"/>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CFF0FC"/>
              <w:bottom w:val="single" w:sz="8" w:color="CFF0FC"/>
            </w:tcBorders>
          </w:tcPr>
          <w:p>
            <w:pPr>
              <w:jc w:val="right"/>
              <w:spacing w:after="0"/>
              <w:rPr>
                <w:sz w:val="20"/>
                <w:szCs w:val="20"/>
                <w:color w:val="auto"/>
              </w:rPr>
            </w:pPr>
            <w:r>
              <w:rPr>
                <w:rFonts w:ascii="Arial" w:cs="Arial" w:eastAsia="Arial" w:hAnsi="Arial"/>
                <w:sz w:val="16"/>
                <w:szCs w:val="16"/>
                <w:b w:val="1"/>
                <w:bCs w:val="1"/>
                <w:color w:val="auto"/>
              </w:rPr>
              <w:t>907</w:t>
            </w:r>
          </w:p>
        </w:tc>
        <w:tc>
          <w:tcPr>
            <w:tcW w:w="240" w:type="dxa"/>
            <w:vAlign w:val="bottom"/>
            <w:tcBorders>
              <w:top w:val="single" w:sz="8" w:color="CFF0FC"/>
              <w:bottom w:val="single" w:sz="8" w:color="CFF0FC"/>
            </w:tcBorders>
          </w:tcPr>
          <w:p>
            <w:pPr>
              <w:spacing w:after="0"/>
              <w:rPr>
                <w:sz w:val="21"/>
                <w:szCs w:val="21"/>
                <w:color w:val="auto"/>
              </w:rPr>
            </w:pPr>
          </w:p>
        </w:tc>
        <w:tc>
          <w:tcPr>
            <w:tcW w:w="1100" w:type="dxa"/>
            <w:vAlign w:val="bottom"/>
            <w:tcBorders>
              <w:top w:val="single" w:sz="8" w:color="CFF0FC"/>
              <w:bottom w:val="single" w:sz="8" w:color="CFF0FC"/>
            </w:tcBorders>
          </w:tcPr>
          <w:p>
            <w:pPr>
              <w:jc w:val="right"/>
              <w:spacing w:after="0"/>
              <w:rPr>
                <w:sz w:val="20"/>
                <w:szCs w:val="20"/>
                <w:color w:val="auto"/>
              </w:rPr>
            </w:pPr>
            <w:r>
              <w:rPr>
                <w:rFonts w:ascii="Arial" w:cs="Arial" w:eastAsia="Arial" w:hAnsi="Arial"/>
                <w:sz w:val="16"/>
                <w:szCs w:val="16"/>
                <w:b w:val="1"/>
                <w:bCs w:val="1"/>
                <w:color w:val="auto"/>
              </w:rPr>
              <w:t>1,418</w:t>
            </w:r>
          </w:p>
        </w:tc>
        <w:tc>
          <w:tcPr>
            <w:tcW w:w="240" w:type="dxa"/>
            <w:vAlign w:val="bottom"/>
            <w:tcBorders>
              <w:top w:val="single" w:sz="8" w:color="CFF0FC"/>
              <w:bottom w:val="single" w:sz="8" w:color="CFF0FC"/>
            </w:tcBorders>
          </w:tcPr>
          <w:p>
            <w:pPr>
              <w:spacing w:after="0"/>
              <w:rPr>
                <w:sz w:val="21"/>
                <w:szCs w:val="21"/>
                <w:color w:val="auto"/>
              </w:rPr>
            </w:pPr>
          </w:p>
        </w:tc>
        <w:tc>
          <w:tcPr>
            <w:tcW w:w="200" w:type="dxa"/>
            <w:vAlign w:val="bottom"/>
            <w:tcBorders>
              <w:top w:val="single" w:sz="8" w:color="CFF0FC"/>
              <w:bottom w:val="single" w:sz="8" w:color="auto"/>
            </w:tcBorders>
          </w:tcPr>
          <w:p>
            <w:pPr>
              <w:jc w:val="right"/>
              <w:ind w:right="42"/>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CFF0FC"/>
              <w:bottom w:val="single" w:sz="8" w:color="auto"/>
            </w:tcBorders>
          </w:tcPr>
          <w:p>
            <w:pPr>
              <w:jc w:val="right"/>
              <w:spacing w:after="0"/>
              <w:rPr>
                <w:sz w:val="20"/>
                <w:szCs w:val="20"/>
                <w:color w:val="auto"/>
              </w:rPr>
            </w:pPr>
            <w:r>
              <w:rPr>
                <w:rFonts w:ascii="Arial" w:cs="Arial" w:eastAsia="Arial" w:hAnsi="Arial"/>
                <w:sz w:val="16"/>
                <w:szCs w:val="16"/>
                <w:b w:val="1"/>
                <w:bCs w:val="1"/>
                <w:color w:val="auto"/>
              </w:rPr>
              <w:t>0.64</w:t>
            </w:r>
          </w:p>
        </w:tc>
        <w:tc>
          <w:tcPr>
            <w:tcW w:w="340" w:type="dxa"/>
            <w:vAlign w:val="bottom"/>
            <w:tcBorders>
              <w:top w:val="single" w:sz="8" w:color="CFF0FC"/>
              <w:bottom w:val="single" w:sz="8" w:color="CFF0FC"/>
            </w:tcBorders>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CFF0FC"/>
              <w:bottom w:val="single" w:sz="8" w:color="CFF0FC"/>
            </w:tcBorders>
          </w:tcPr>
          <w:p>
            <w:pPr>
              <w:jc w:val="right"/>
              <w:spacing w:after="0"/>
              <w:rPr>
                <w:sz w:val="20"/>
                <w:szCs w:val="20"/>
                <w:color w:val="auto"/>
              </w:rPr>
            </w:pPr>
            <w:r>
              <w:rPr>
                <w:rFonts w:ascii="Arial" w:cs="Arial" w:eastAsia="Arial" w:hAnsi="Arial"/>
                <w:sz w:val="16"/>
                <w:szCs w:val="16"/>
                <w:color w:val="auto"/>
              </w:rPr>
              <w:t>550</w:t>
            </w:r>
          </w:p>
        </w:tc>
        <w:tc>
          <w:tcPr>
            <w:tcW w:w="220" w:type="dxa"/>
            <w:vAlign w:val="bottom"/>
            <w:tcBorders>
              <w:top w:val="single" w:sz="8" w:color="CFF0FC"/>
              <w:bottom w:val="single" w:sz="8" w:color="CFF0FC"/>
            </w:tcBorders>
          </w:tcPr>
          <w:p>
            <w:pPr>
              <w:spacing w:after="0"/>
              <w:rPr>
                <w:sz w:val="21"/>
                <w:szCs w:val="21"/>
                <w:color w:val="auto"/>
              </w:rPr>
            </w:pPr>
          </w:p>
        </w:tc>
        <w:tc>
          <w:tcPr>
            <w:tcW w:w="100" w:type="dxa"/>
            <w:vAlign w:val="bottom"/>
            <w:tcBorders>
              <w:top w:val="single" w:sz="8" w:color="CFF0FC"/>
              <w:bottom w:val="single" w:sz="8" w:color="CFF0FC"/>
            </w:tcBorders>
          </w:tcPr>
          <w:p>
            <w:pPr>
              <w:spacing w:after="0"/>
              <w:rPr>
                <w:sz w:val="21"/>
                <w:szCs w:val="21"/>
                <w:color w:val="auto"/>
              </w:rPr>
            </w:pPr>
          </w:p>
        </w:tc>
        <w:tc>
          <w:tcPr>
            <w:tcW w:w="1020" w:type="dxa"/>
            <w:vAlign w:val="bottom"/>
            <w:tcBorders>
              <w:top w:val="single" w:sz="8" w:color="CFF0FC"/>
              <w:bottom w:val="single" w:sz="8" w:color="CFF0FC"/>
            </w:tcBorders>
          </w:tcPr>
          <w:p>
            <w:pPr>
              <w:jc w:val="right"/>
              <w:spacing w:after="0"/>
              <w:rPr>
                <w:sz w:val="20"/>
                <w:szCs w:val="20"/>
                <w:color w:val="auto"/>
              </w:rPr>
            </w:pPr>
            <w:r>
              <w:rPr>
                <w:rFonts w:ascii="Arial" w:cs="Arial" w:eastAsia="Arial" w:hAnsi="Arial"/>
                <w:sz w:val="16"/>
                <w:szCs w:val="16"/>
                <w:color w:val="auto"/>
              </w:rPr>
              <w:t>1,402</w:t>
            </w:r>
          </w:p>
        </w:tc>
        <w:tc>
          <w:tcPr>
            <w:tcW w:w="240" w:type="dxa"/>
            <w:vAlign w:val="bottom"/>
            <w:tcBorders>
              <w:top w:val="single" w:sz="8" w:color="CFF0FC"/>
              <w:bottom w:val="single" w:sz="8" w:color="CFF0FC"/>
            </w:tcBorders>
          </w:tcPr>
          <w:p>
            <w:pPr>
              <w:spacing w:after="0"/>
              <w:rPr>
                <w:sz w:val="21"/>
                <w:szCs w:val="21"/>
                <w:color w:val="auto"/>
              </w:rPr>
            </w:pPr>
          </w:p>
        </w:tc>
        <w:tc>
          <w:tcPr>
            <w:tcW w:w="80" w:type="dxa"/>
            <w:vAlign w:val="bottom"/>
            <w:tcBorders>
              <w:top w:val="single" w:sz="8" w:color="CFF0FC"/>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CFF0FC"/>
              <w:bottom w:val="single" w:sz="8" w:color="auto"/>
            </w:tcBorders>
          </w:tcPr>
          <w:p>
            <w:pPr>
              <w:jc w:val="right"/>
              <w:spacing w:after="0"/>
              <w:rPr>
                <w:sz w:val="20"/>
                <w:szCs w:val="20"/>
                <w:color w:val="auto"/>
              </w:rPr>
            </w:pPr>
            <w:r>
              <w:rPr>
                <w:rFonts w:ascii="Arial" w:cs="Arial" w:eastAsia="Arial" w:hAnsi="Arial"/>
                <w:sz w:val="16"/>
                <w:szCs w:val="16"/>
                <w:color w:val="auto"/>
              </w:rPr>
              <w:t>0.39</w:t>
            </w:r>
          </w:p>
        </w:tc>
        <w:tc>
          <w:tcPr>
            <w:tcW w:w="120" w:type="dxa"/>
            <w:vAlign w:val="bottom"/>
            <w:tcBorders>
              <w:top w:val="single" w:sz="8" w:color="CFF0FC"/>
              <w:bottom w:val="single" w:sz="8" w:color="CFF0FC"/>
            </w:tcBorders>
          </w:tcPr>
          <w:p>
            <w:pPr>
              <w:spacing w:after="0"/>
              <w:rPr>
                <w:sz w:val="21"/>
                <w:szCs w:val="21"/>
                <w:color w:val="auto"/>
              </w:rPr>
            </w:pPr>
          </w:p>
        </w:tc>
      </w:tr>
      <w:tr>
        <w:trPr>
          <w:trHeight w:val="183"/>
        </w:trPr>
        <w:tc>
          <w:tcPr>
            <w:tcW w:w="322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Unvested restricted stock</w:t>
            </w:r>
          </w:p>
        </w:tc>
        <w:tc>
          <w:tcPr>
            <w:tcW w:w="14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21</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96"/>
        </w:trPr>
        <w:tc>
          <w:tcPr>
            <w:tcW w:w="3220" w:type="dxa"/>
            <w:vAlign w:val="bottom"/>
            <w:gridSpan w:val="3"/>
          </w:tcPr>
          <w:p>
            <w:pPr>
              <w:spacing w:after="0"/>
              <w:rPr>
                <w:sz w:val="20"/>
                <w:szCs w:val="20"/>
                <w:color w:val="auto"/>
              </w:rPr>
            </w:pPr>
            <w:r>
              <w:rPr>
                <w:rFonts w:ascii="Arial" w:cs="Arial" w:eastAsia="Arial" w:hAnsi="Arial"/>
                <w:sz w:val="16"/>
                <w:szCs w:val="16"/>
                <w:color w:val="auto"/>
              </w:rPr>
              <w:t>Diluted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907</w:t>
            </w:r>
          </w:p>
        </w:tc>
        <w:tc>
          <w:tcPr>
            <w:tcW w:w="24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1,439</w:t>
            </w:r>
          </w:p>
        </w:tc>
        <w:tc>
          <w:tcPr>
            <w:tcW w:w="240" w:type="dxa"/>
            <w:vAlign w:val="bottom"/>
          </w:tcPr>
          <w:p>
            <w:pPr>
              <w:spacing w:after="0"/>
              <w:rPr>
                <w:sz w:val="17"/>
                <w:szCs w:val="17"/>
                <w:color w:val="auto"/>
              </w:rPr>
            </w:pPr>
          </w:p>
        </w:tc>
        <w:tc>
          <w:tcPr>
            <w:tcW w:w="200" w:type="dxa"/>
            <w:vAlign w:val="bottom"/>
            <w:tcBorders>
              <w:bottom w:val="single" w:sz="8" w:color="auto"/>
            </w:tcBorders>
          </w:tcPr>
          <w:p>
            <w:pPr>
              <w:jc w:val="right"/>
              <w:ind w:right="42"/>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0.63</w:t>
            </w:r>
          </w:p>
        </w:tc>
        <w:tc>
          <w:tcPr>
            <w:tcW w:w="2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1,424</w:t>
            </w:r>
          </w:p>
        </w:tc>
        <w:tc>
          <w:tcPr>
            <w:tcW w:w="24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0.39</w:t>
            </w:r>
          </w:p>
        </w:tc>
        <w:tc>
          <w:tcPr>
            <w:tcW w:w="1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88"/>
        </w:trPr>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rPr>
              <w:t>2021</w:t>
            </w: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380"/>
              <w:spacing w:after="0" w:line="182" w:lineRule="exact"/>
              <w:rPr>
                <w:sz w:val="20"/>
                <w:szCs w:val="20"/>
                <w:color w:val="auto"/>
              </w:rPr>
            </w:pPr>
            <w:r>
              <w:rPr>
                <w:rFonts w:ascii="Arial" w:cs="Arial" w:eastAsia="Arial" w:hAnsi="Arial"/>
                <w:sz w:val="16"/>
                <w:szCs w:val="16"/>
                <w:b w:val="1"/>
                <w:bCs w:val="1"/>
                <w:color w:val="auto"/>
                <w:w w:val="99"/>
              </w:rPr>
              <w:t>Net Income</w:t>
            </w:r>
          </w:p>
        </w:tc>
        <w:tc>
          <w:tcPr>
            <w:tcW w:w="1340" w:type="dxa"/>
            <w:vAlign w:val="bottom"/>
            <w:gridSpan w:val="2"/>
          </w:tcPr>
          <w:p>
            <w:pPr>
              <w:jc w:val="center"/>
              <w:ind w:right="260"/>
              <w:spacing w:after="0" w:line="182" w:lineRule="exact"/>
              <w:rPr>
                <w:sz w:val="20"/>
                <w:szCs w:val="20"/>
                <w:color w:val="auto"/>
              </w:rPr>
            </w:pPr>
            <w:r>
              <w:rPr>
                <w:rFonts w:ascii="Arial" w:cs="Arial" w:eastAsia="Arial" w:hAnsi="Arial"/>
                <w:sz w:val="16"/>
                <w:szCs w:val="16"/>
                <w:b w:val="1"/>
                <w:bCs w:val="1"/>
                <w:color w:val="auto"/>
              </w:rPr>
              <w:t>Average</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ind w:right="40"/>
              <w:spacing w:after="0" w:line="182" w:lineRule="exact"/>
              <w:rPr>
                <w:sz w:val="20"/>
                <w:szCs w:val="20"/>
                <w:color w:val="auto"/>
              </w:rPr>
            </w:pPr>
            <w:r>
              <w:rPr>
                <w:rFonts w:ascii="Arial" w:cs="Arial" w:eastAsia="Arial" w:hAnsi="Arial"/>
                <w:sz w:val="16"/>
                <w:szCs w:val="16"/>
                <w:color w:val="auto"/>
              </w:rPr>
              <w:t>Net Income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340"/>
              <w:spacing w:after="0" w:line="182" w:lineRule="exact"/>
              <w:rPr>
                <w:sz w:val="20"/>
                <w:szCs w:val="20"/>
                <w:color w:val="auto"/>
              </w:rPr>
            </w:pPr>
            <w:r>
              <w:rPr>
                <w:rFonts w:ascii="Arial" w:cs="Arial" w:eastAsia="Arial" w:hAnsi="Arial"/>
                <w:sz w:val="16"/>
                <w:szCs w:val="16"/>
                <w:color w:val="auto"/>
              </w:rPr>
              <w:t>Average</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9"/>
        </w:trPr>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50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rPr>
              <w:t>Attributable to</w:t>
            </w: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Shares</w:t>
            </w: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rPr>
              <w:t>Earnings per</w:t>
            </w:r>
          </w:p>
        </w:tc>
        <w:tc>
          <w:tcPr>
            <w:tcW w:w="240" w:type="dxa"/>
            <w:vAlign w:val="bottom"/>
          </w:tcPr>
          <w:p>
            <w:pPr>
              <w:spacing w:after="0"/>
              <w:rPr>
                <w:sz w:val="16"/>
                <w:szCs w:val="16"/>
                <w:color w:val="auto"/>
              </w:rPr>
            </w:pPr>
          </w:p>
        </w:tc>
        <w:tc>
          <w:tcPr>
            <w:tcW w:w="1120" w:type="dxa"/>
            <w:vAlign w:val="bottom"/>
            <w:gridSpan w:val="2"/>
          </w:tcPr>
          <w:p>
            <w:pPr>
              <w:jc w:val="center"/>
              <w:spacing w:after="0"/>
              <w:rPr>
                <w:sz w:val="20"/>
                <w:szCs w:val="20"/>
                <w:color w:val="auto"/>
              </w:rPr>
            </w:pPr>
            <w:r>
              <w:rPr>
                <w:rFonts w:ascii="Arial" w:cs="Arial" w:eastAsia="Arial" w:hAnsi="Arial"/>
                <w:sz w:val="16"/>
                <w:szCs w:val="16"/>
                <w:color w:val="auto"/>
              </w:rPr>
              <w:t>Attributable to</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color w:val="auto"/>
              </w:rPr>
              <w:t>Shares</w:t>
            </w:r>
          </w:p>
        </w:tc>
        <w:tc>
          <w:tcPr>
            <w:tcW w:w="8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color w:val="auto"/>
              </w:rPr>
              <w:t>Earnings per</w:t>
            </w:r>
          </w:p>
        </w:tc>
      </w:tr>
      <w:tr>
        <w:trPr>
          <w:trHeight w:val="203"/>
        </w:trPr>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50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rPr>
              <w:t>Schlumberger</w:t>
            </w: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Outstanding</w:t>
            </w:r>
          </w:p>
        </w:tc>
        <w:tc>
          <w:tcPr>
            <w:tcW w:w="200" w:type="dxa"/>
            <w:vAlign w:val="bottom"/>
          </w:tcPr>
          <w:p>
            <w:pPr>
              <w:spacing w:after="0"/>
              <w:rPr>
                <w:sz w:val="17"/>
                <w:szCs w:val="17"/>
                <w:color w:val="auto"/>
              </w:rPr>
            </w:pPr>
          </w:p>
        </w:tc>
        <w:tc>
          <w:tcPr>
            <w:tcW w:w="900" w:type="dxa"/>
            <w:vAlign w:val="bottom"/>
          </w:tcPr>
          <w:p>
            <w:pPr>
              <w:jc w:val="center"/>
              <w:ind w:right="139"/>
              <w:spacing w:after="0"/>
              <w:rPr>
                <w:sz w:val="20"/>
                <w:szCs w:val="20"/>
                <w:color w:val="auto"/>
              </w:rPr>
            </w:pPr>
            <w:r>
              <w:rPr>
                <w:rFonts w:ascii="Arial" w:cs="Arial" w:eastAsia="Arial" w:hAnsi="Arial"/>
                <w:sz w:val="16"/>
                <w:szCs w:val="16"/>
                <w:b w:val="1"/>
                <w:bCs w:val="1"/>
                <w:color w:val="auto"/>
                <w:w w:val="98"/>
              </w:rPr>
              <w:t>Share</w:t>
            </w:r>
          </w:p>
        </w:tc>
        <w:tc>
          <w:tcPr>
            <w:tcW w:w="240" w:type="dxa"/>
            <w:vAlign w:val="bottom"/>
          </w:tcPr>
          <w:p>
            <w:pPr>
              <w:spacing w:after="0"/>
              <w:rPr>
                <w:sz w:val="17"/>
                <w:szCs w:val="17"/>
                <w:color w:val="auto"/>
              </w:rPr>
            </w:pPr>
          </w:p>
        </w:tc>
        <w:tc>
          <w:tcPr>
            <w:tcW w:w="1120" w:type="dxa"/>
            <w:vAlign w:val="bottom"/>
            <w:gridSpan w:val="2"/>
          </w:tcPr>
          <w:p>
            <w:pPr>
              <w:jc w:val="center"/>
              <w:spacing w:after="0"/>
              <w:rPr>
                <w:sz w:val="20"/>
                <w:szCs w:val="20"/>
                <w:color w:val="auto"/>
              </w:rPr>
            </w:pPr>
            <w:r>
              <w:rPr>
                <w:rFonts w:ascii="Arial" w:cs="Arial" w:eastAsia="Arial" w:hAnsi="Arial"/>
                <w:sz w:val="16"/>
                <w:szCs w:val="16"/>
                <w:color w:val="auto"/>
              </w:rPr>
              <w:t>Schlumberger</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color w:val="auto"/>
              </w:rPr>
              <w:t>Outstanding</w:t>
            </w:r>
          </w:p>
        </w:tc>
        <w:tc>
          <w:tcPr>
            <w:tcW w:w="8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color w:val="auto"/>
                <w:w w:val="98"/>
              </w:rPr>
              <w:t>Share</w:t>
            </w:r>
          </w:p>
        </w:tc>
      </w:tr>
      <w:tr>
        <w:trPr>
          <w:trHeight w:val="176"/>
        </w:trPr>
        <w:tc>
          <w:tcPr>
            <w:tcW w:w="980" w:type="dxa"/>
            <w:vAlign w:val="bottom"/>
            <w:tcBorders>
              <w:top w:val="single" w:sz="8" w:color="CFF0FC"/>
              <w:bottom w:val="single" w:sz="8" w:color="auto"/>
            </w:tcBorders>
            <w:shd w:val="clear" w:color="auto" w:fill="CFF0FC"/>
          </w:tcPr>
          <w:p>
            <w:pPr>
              <w:spacing w:after="0" w:line="169" w:lineRule="exact"/>
              <w:rPr>
                <w:sz w:val="20"/>
                <w:szCs w:val="20"/>
                <w:color w:val="auto"/>
              </w:rPr>
            </w:pPr>
            <w:r>
              <w:rPr>
                <w:rFonts w:ascii="Arial" w:cs="Arial" w:eastAsia="Arial" w:hAnsi="Arial"/>
                <w:sz w:val="16"/>
                <w:szCs w:val="16"/>
                <w:b w:val="1"/>
                <w:bCs w:val="1"/>
                <w:color w:val="auto"/>
                <w:w w:val="99"/>
              </w:rPr>
              <w:t>Nine Months</w:t>
            </w:r>
          </w:p>
        </w:tc>
        <w:tc>
          <w:tcPr>
            <w:tcW w:w="2240" w:type="dxa"/>
            <w:vAlign w:val="bottom"/>
            <w:tcBorders>
              <w:top w:val="single" w:sz="8" w:color="CFF0FC"/>
              <w:bottom w:val="single" w:sz="8" w:color="CFF0FC"/>
            </w:tcBorders>
            <w:gridSpan w:val="2"/>
            <w:shd w:val="clear" w:color="auto" w:fill="CFF0FC"/>
          </w:tcPr>
          <w:p>
            <w:pPr>
              <w:spacing w:after="0"/>
              <w:rPr>
                <w:sz w:val="15"/>
                <w:szCs w:val="15"/>
                <w:color w:val="auto"/>
              </w:rPr>
            </w:pPr>
          </w:p>
        </w:tc>
        <w:tc>
          <w:tcPr>
            <w:tcW w:w="140" w:type="dxa"/>
            <w:vAlign w:val="bottom"/>
            <w:tcBorders>
              <w:top w:val="single" w:sz="8" w:color="auto"/>
              <w:bottom w:val="single" w:sz="8" w:color="CFF0FC"/>
            </w:tcBorders>
            <w:shd w:val="clear" w:color="auto" w:fill="CFF0FC"/>
          </w:tcPr>
          <w:p>
            <w:pPr>
              <w:spacing w:after="0"/>
              <w:rPr>
                <w:sz w:val="15"/>
                <w:szCs w:val="15"/>
                <w:color w:val="auto"/>
              </w:rPr>
            </w:pPr>
          </w:p>
        </w:tc>
        <w:tc>
          <w:tcPr>
            <w:tcW w:w="1120" w:type="dxa"/>
            <w:vAlign w:val="bottom"/>
            <w:tcBorders>
              <w:top w:val="single" w:sz="8" w:color="auto"/>
              <w:bottom w:val="single" w:sz="8" w:color="CFF0FC"/>
            </w:tcBorders>
            <w:shd w:val="clear" w:color="auto" w:fill="CFF0FC"/>
          </w:tcPr>
          <w:p>
            <w:pPr>
              <w:spacing w:after="0"/>
              <w:rPr>
                <w:sz w:val="15"/>
                <w:szCs w:val="15"/>
                <w:color w:val="auto"/>
              </w:rPr>
            </w:pP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1100" w:type="dxa"/>
            <w:vAlign w:val="bottom"/>
            <w:tcBorders>
              <w:top w:val="single" w:sz="8" w:color="auto"/>
              <w:bottom w:val="single" w:sz="8" w:color="CFF0FC"/>
            </w:tcBorders>
            <w:shd w:val="clear" w:color="auto" w:fill="CFF0FC"/>
          </w:tcPr>
          <w:p>
            <w:pPr>
              <w:spacing w:after="0"/>
              <w:rPr>
                <w:sz w:val="15"/>
                <w:szCs w:val="15"/>
                <w:color w:val="auto"/>
              </w:rPr>
            </w:pP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CFF0FC"/>
            </w:tcBorders>
            <w:shd w:val="clear" w:color="auto" w:fill="CFF0FC"/>
          </w:tcPr>
          <w:p>
            <w:pPr>
              <w:spacing w:after="0"/>
              <w:rPr>
                <w:sz w:val="15"/>
                <w:szCs w:val="15"/>
                <w:color w:val="auto"/>
              </w:rPr>
            </w:pPr>
          </w:p>
        </w:tc>
        <w:tc>
          <w:tcPr>
            <w:tcW w:w="900" w:type="dxa"/>
            <w:vAlign w:val="bottom"/>
            <w:tcBorders>
              <w:top w:val="single" w:sz="8" w:color="auto"/>
              <w:bottom w:val="single" w:sz="8" w:color="CFF0FC"/>
            </w:tcBorders>
            <w:shd w:val="clear" w:color="auto" w:fill="CFF0FC"/>
          </w:tcPr>
          <w:p>
            <w:pPr>
              <w:spacing w:after="0"/>
              <w:rPr>
                <w:sz w:val="15"/>
                <w:szCs w:val="15"/>
                <w:color w:val="auto"/>
              </w:rPr>
            </w:pP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CFF0FC"/>
            </w:tcBorders>
            <w:shd w:val="clear" w:color="auto" w:fill="CFF0FC"/>
          </w:tcPr>
          <w:p>
            <w:pPr>
              <w:spacing w:after="0"/>
              <w:rPr>
                <w:sz w:val="15"/>
                <w:szCs w:val="15"/>
                <w:color w:val="auto"/>
              </w:rPr>
            </w:pPr>
          </w:p>
        </w:tc>
        <w:tc>
          <w:tcPr>
            <w:tcW w:w="1020" w:type="dxa"/>
            <w:vAlign w:val="bottom"/>
            <w:tcBorders>
              <w:top w:val="single" w:sz="8" w:color="auto"/>
              <w:bottom w:val="single" w:sz="8" w:color="CFF0FC"/>
            </w:tcBorders>
            <w:shd w:val="clear" w:color="auto" w:fill="CFF0FC"/>
          </w:tcPr>
          <w:p>
            <w:pPr>
              <w:spacing w:after="0"/>
              <w:rPr>
                <w:sz w:val="15"/>
                <w:szCs w:val="15"/>
                <w:color w:val="auto"/>
              </w:rPr>
            </w:pP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CFF0FC"/>
            </w:tcBorders>
            <w:shd w:val="clear" w:color="auto" w:fill="CFF0FC"/>
          </w:tcPr>
          <w:p>
            <w:pPr>
              <w:spacing w:after="0"/>
              <w:rPr>
                <w:sz w:val="15"/>
                <w:szCs w:val="15"/>
                <w:color w:val="auto"/>
              </w:rPr>
            </w:pPr>
          </w:p>
        </w:tc>
        <w:tc>
          <w:tcPr>
            <w:tcW w:w="1020" w:type="dxa"/>
            <w:vAlign w:val="bottom"/>
            <w:tcBorders>
              <w:top w:val="single" w:sz="8" w:color="auto"/>
              <w:bottom w:val="single" w:sz="8" w:color="CFF0FC"/>
            </w:tcBorders>
            <w:shd w:val="clear" w:color="auto" w:fill="CFF0FC"/>
          </w:tcPr>
          <w:p>
            <w:pPr>
              <w:spacing w:after="0"/>
              <w:rPr>
                <w:sz w:val="15"/>
                <w:szCs w:val="15"/>
                <w:color w:val="auto"/>
              </w:rPr>
            </w:pP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CFF0FC"/>
            </w:tcBorders>
            <w:shd w:val="clear" w:color="auto" w:fill="CFF0FC"/>
          </w:tcPr>
          <w:p>
            <w:pPr>
              <w:spacing w:after="0"/>
              <w:rPr>
                <w:sz w:val="15"/>
                <w:szCs w:val="15"/>
                <w:color w:val="auto"/>
              </w:rPr>
            </w:pPr>
          </w:p>
        </w:tc>
        <w:tc>
          <w:tcPr>
            <w:tcW w:w="1040" w:type="dxa"/>
            <w:vAlign w:val="bottom"/>
            <w:tcBorders>
              <w:top w:val="single" w:sz="8" w:color="auto"/>
              <w:bottom w:val="single" w:sz="8" w:color="CFF0FC"/>
            </w:tcBorders>
            <w:shd w:val="clear" w:color="auto" w:fill="CFF0FC"/>
          </w:tcPr>
          <w:p>
            <w:pPr>
              <w:spacing w:after="0"/>
              <w:rPr>
                <w:sz w:val="15"/>
                <w:szCs w:val="15"/>
                <w:color w:val="auto"/>
              </w:rPr>
            </w:pP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r>
      <w:tr>
        <w:trPr>
          <w:trHeight w:val="243"/>
        </w:trPr>
        <w:tc>
          <w:tcPr>
            <w:tcW w:w="3220" w:type="dxa"/>
            <w:vAlign w:val="bottom"/>
            <w:tcBorders>
              <w:bottom w:val="single" w:sz="8" w:color="CFF0FC"/>
            </w:tcBorders>
            <w:gridSpan w:val="3"/>
          </w:tcPr>
          <w:p>
            <w:pPr>
              <w:spacing w:after="0"/>
              <w:rPr>
                <w:sz w:val="20"/>
                <w:szCs w:val="20"/>
                <w:color w:val="auto"/>
              </w:rPr>
            </w:pPr>
            <w:r>
              <w:rPr>
                <w:rFonts w:ascii="Arial" w:cs="Arial" w:eastAsia="Arial" w:hAnsi="Arial"/>
                <w:sz w:val="16"/>
                <w:szCs w:val="16"/>
                <w:color w:val="auto"/>
              </w:rPr>
              <w:t>Basic</w:t>
            </w:r>
          </w:p>
        </w:tc>
        <w:tc>
          <w:tcPr>
            <w:tcW w:w="140" w:type="dxa"/>
            <w:vAlign w:val="bottom"/>
            <w:tcBorders>
              <w:bottom w:val="single" w:sz="8" w:color="CFF0FC"/>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16"/>
                <w:szCs w:val="16"/>
                <w:b w:val="1"/>
                <w:bCs w:val="1"/>
                <w:color w:val="auto"/>
              </w:rPr>
              <w:t>2,377</w:t>
            </w:r>
          </w:p>
        </w:tc>
        <w:tc>
          <w:tcPr>
            <w:tcW w:w="240" w:type="dxa"/>
            <w:vAlign w:val="bottom"/>
            <w:tcBorders>
              <w:bottom w:val="single" w:sz="8" w:color="CFF0FC"/>
            </w:tcBorders>
          </w:tcPr>
          <w:p>
            <w:pPr>
              <w:spacing w:after="0"/>
              <w:rPr>
                <w:sz w:val="21"/>
                <w:szCs w:val="21"/>
                <w:color w:val="auto"/>
              </w:rPr>
            </w:pPr>
          </w:p>
        </w:tc>
        <w:tc>
          <w:tcPr>
            <w:tcW w:w="1100" w:type="dxa"/>
            <w:vAlign w:val="bottom"/>
            <w:tcBorders>
              <w:bottom w:val="single" w:sz="8" w:color="CFF0FC"/>
            </w:tcBorders>
          </w:tcPr>
          <w:p>
            <w:pPr>
              <w:jc w:val="right"/>
              <w:spacing w:after="0"/>
              <w:rPr>
                <w:sz w:val="20"/>
                <w:szCs w:val="20"/>
                <w:color w:val="auto"/>
              </w:rPr>
            </w:pPr>
            <w:r>
              <w:rPr>
                <w:rFonts w:ascii="Arial" w:cs="Arial" w:eastAsia="Arial" w:hAnsi="Arial"/>
                <w:sz w:val="16"/>
                <w:szCs w:val="16"/>
                <w:b w:val="1"/>
                <w:bCs w:val="1"/>
                <w:color w:val="auto"/>
              </w:rPr>
              <w:t>1,414</w:t>
            </w:r>
          </w:p>
        </w:tc>
        <w:tc>
          <w:tcPr>
            <w:tcW w:w="24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jc w:val="right"/>
              <w:ind w:right="42"/>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1.68</w:t>
            </w:r>
          </w:p>
        </w:tc>
        <w:tc>
          <w:tcPr>
            <w:tcW w:w="34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1,280</w:t>
            </w:r>
          </w:p>
        </w:tc>
        <w:tc>
          <w:tcPr>
            <w:tcW w:w="32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1,399</w:t>
            </w:r>
          </w:p>
        </w:tc>
        <w:tc>
          <w:tcPr>
            <w:tcW w:w="240" w:type="dxa"/>
            <w:vAlign w:val="bottom"/>
            <w:tcBorders>
              <w:bottom w:val="single" w:sz="8" w:color="CFF0FC"/>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0.92</w:t>
            </w:r>
          </w:p>
        </w:tc>
        <w:tc>
          <w:tcPr>
            <w:tcW w:w="120" w:type="dxa"/>
            <w:vAlign w:val="bottom"/>
            <w:tcBorders>
              <w:bottom w:val="single" w:sz="8" w:color="CFF0FC"/>
            </w:tcBorders>
          </w:tcPr>
          <w:p>
            <w:pPr>
              <w:spacing w:after="0"/>
              <w:rPr>
                <w:sz w:val="21"/>
                <w:szCs w:val="21"/>
                <w:color w:val="auto"/>
              </w:rPr>
            </w:pPr>
          </w:p>
        </w:tc>
      </w:tr>
      <w:tr>
        <w:trPr>
          <w:trHeight w:val="183"/>
        </w:trPr>
        <w:tc>
          <w:tcPr>
            <w:tcW w:w="322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Unvested restricted stock</w:t>
            </w:r>
          </w:p>
        </w:tc>
        <w:tc>
          <w:tcPr>
            <w:tcW w:w="14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22</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96"/>
        </w:trPr>
        <w:tc>
          <w:tcPr>
            <w:tcW w:w="3220" w:type="dxa"/>
            <w:vAlign w:val="bottom"/>
            <w:gridSpan w:val="3"/>
          </w:tcPr>
          <w:p>
            <w:pPr>
              <w:spacing w:after="0"/>
              <w:rPr>
                <w:sz w:val="20"/>
                <w:szCs w:val="20"/>
                <w:color w:val="auto"/>
              </w:rPr>
            </w:pPr>
            <w:r>
              <w:rPr>
                <w:rFonts w:ascii="Arial" w:cs="Arial" w:eastAsia="Arial" w:hAnsi="Arial"/>
                <w:sz w:val="16"/>
                <w:szCs w:val="16"/>
                <w:color w:val="auto"/>
              </w:rPr>
              <w:t>Diluted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2,377</w:t>
            </w:r>
          </w:p>
        </w:tc>
        <w:tc>
          <w:tcPr>
            <w:tcW w:w="24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1,436</w:t>
            </w:r>
          </w:p>
        </w:tc>
        <w:tc>
          <w:tcPr>
            <w:tcW w:w="240" w:type="dxa"/>
            <w:vAlign w:val="bottom"/>
          </w:tcPr>
          <w:p>
            <w:pPr>
              <w:spacing w:after="0"/>
              <w:rPr>
                <w:sz w:val="17"/>
                <w:szCs w:val="17"/>
                <w:color w:val="auto"/>
              </w:rPr>
            </w:pPr>
          </w:p>
        </w:tc>
        <w:tc>
          <w:tcPr>
            <w:tcW w:w="200" w:type="dxa"/>
            <w:vAlign w:val="bottom"/>
            <w:tcBorders>
              <w:bottom w:val="single" w:sz="8" w:color="auto"/>
            </w:tcBorders>
          </w:tcPr>
          <w:p>
            <w:pPr>
              <w:jc w:val="right"/>
              <w:ind w:right="42"/>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1.65</w:t>
            </w:r>
          </w:p>
        </w:tc>
        <w:tc>
          <w:tcPr>
            <w:tcW w:w="2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1,280</w:t>
            </w:r>
          </w:p>
        </w:tc>
        <w:tc>
          <w:tcPr>
            <w:tcW w:w="2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1,422</w:t>
            </w:r>
          </w:p>
        </w:tc>
        <w:tc>
          <w:tcPr>
            <w:tcW w:w="24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0.90</w:t>
            </w:r>
          </w:p>
        </w:tc>
        <w:tc>
          <w:tcPr>
            <w:tcW w:w="1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The number of outstanding options to purchase shares of Schlumberger common stock that were not included in the computation of diluted income per share, because to do so would have had an antidilutive effect, was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386"/>
        </w:trPr>
        <w:tc>
          <w:tcPr>
            <w:tcW w:w="5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00" w:type="dxa"/>
            <w:vAlign w:val="bottom"/>
            <w:gridSpan w:val="3"/>
          </w:tcPr>
          <w:p>
            <w:pPr>
              <w:jc w:val="right"/>
              <w:ind w:right="460"/>
              <w:spacing w:after="0"/>
              <w:rPr>
                <w:sz w:val="20"/>
                <w:szCs w:val="20"/>
                <w:color w:val="auto"/>
              </w:rPr>
            </w:pPr>
            <w:r>
              <w:rPr>
                <w:rFonts w:ascii="Arial" w:cs="Arial" w:eastAsia="Arial" w:hAnsi="Arial"/>
                <w:sz w:val="16"/>
                <w:szCs w:val="16"/>
                <w:b w:val="1"/>
                <w:bCs w:val="1"/>
                <w:color w:val="auto"/>
                <w:w w:val="99"/>
              </w:rPr>
              <w:t>Third Quarter</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gridSpan w:val="4"/>
          </w:tcPr>
          <w:p>
            <w:pPr>
              <w:ind w:left="800"/>
              <w:spacing w:after="0"/>
              <w:rPr>
                <w:sz w:val="20"/>
                <w:szCs w:val="20"/>
                <w:color w:val="auto"/>
              </w:rPr>
            </w:pPr>
            <w:r>
              <w:rPr>
                <w:rFonts w:ascii="Arial" w:cs="Arial" w:eastAsia="Arial" w:hAnsi="Arial"/>
                <w:sz w:val="16"/>
                <w:szCs w:val="16"/>
                <w:b w:val="1"/>
                <w:bCs w:val="1"/>
                <w:color w:val="auto"/>
              </w:rPr>
              <w:t>Nine Months</w:t>
            </w:r>
          </w:p>
        </w:tc>
      </w:tr>
      <w:tr>
        <w:trPr>
          <w:trHeight w:val="196"/>
        </w:trPr>
        <w:tc>
          <w:tcPr>
            <w:tcW w:w="578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50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2021</w:t>
            </w:r>
          </w:p>
        </w:tc>
        <w:tc>
          <w:tcPr>
            <w:tcW w:w="3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300" w:type="dxa"/>
            <w:vAlign w:val="bottom"/>
            <w:tcBorders>
              <w:top w:val="single" w:sz="8" w:color="auto"/>
            </w:tcBorders>
            <w:gridSpan w:val="2"/>
          </w:tcPr>
          <w:p>
            <w:pPr>
              <w:jc w:val="right"/>
              <w:ind w:right="339"/>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17"/>
                <w:szCs w:val="17"/>
                <w:color w:val="auto"/>
              </w:rPr>
            </w:pPr>
          </w:p>
        </w:tc>
      </w:tr>
      <w:tr>
        <w:trPr>
          <w:trHeight w:val="196"/>
        </w:trPr>
        <w:tc>
          <w:tcPr>
            <w:tcW w:w="5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Employee stock options</w:t>
            </w:r>
          </w:p>
        </w:tc>
        <w:tc>
          <w:tcPr>
            <w:tcW w:w="74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37</w:t>
            </w:r>
          </w:p>
        </w:tc>
        <w:tc>
          <w:tcPr>
            <w:tcW w:w="240" w:type="dxa"/>
            <w:vAlign w:val="bottom"/>
            <w:tcBorders>
              <w:top w:val="single" w:sz="8" w:color="CFF0FC"/>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240" w:type="dxa"/>
            <w:vAlign w:val="bottom"/>
            <w:tcBorders>
              <w:top w:val="single" w:sz="8" w:color="CFF0FC"/>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31</w:t>
            </w:r>
          </w:p>
        </w:tc>
        <w:tc>
          <w:tcPr>
            <w:tcW w:w="140" w:type="dxa"/>
            <w:vAlign w:val="bottom"/>
            <w:tcBorders>
              <w:top w:val="single" w:sz="8" w:color="CFF0FC"/>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top w:val="single" w:sz="8" w:color="CFF0FC"/>
            </w:tcBorders>
            <w:shd w:val="clear" w:color="auto" w:fill="CFF0FC"/>
          </w:tcPr>
          <w:p>
            <w:pPr>
              <w:spacing w:after="0"/>
              <w:rPr>
                <w:sz w:val="17"/>
                <w:szCs w:val="17"/>
                <w:color w:val="auto"/>
              </w:rPr>
            </w:pPr>
          </w:p>
        </w:tc>
      </w:tr>
    </w:tbl>
    <w:p>
      <w:pPr>
        <w:spacing w:after="0" w:line="310" w:lineRule="exact"/>
        <w:rPr>
          <w:sz w:val="20"/>
          <w:szCs w:val="20"/>
          <w:color w:val="auto"/>
        </w:rPr>
      </w:pPr>
    </w:p>
    <w:p>
      <w:pPr>
        <w:ind w:left="280" w:hanging="272"/>
        <w:spacing w:after="0"/>
        <w:tabs>
          <w:tab w:leader="none" w:pos="28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Inventories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 summary of inventories, which are stated at the lower of average cost or net realizable value, is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ind w:left="16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85"/>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jc w:val="center"/>
              <w:ind w:right="199"/>
              <w:spacing w:after="0"/>
              <w:rPr>
                <w:sz w:val="20"/>
                <w:szCs w:val="20"/>
                <w:color w:val="auto"/>
              </w:rPr>
            </w:pPr>
            <w:r>
              <w:rPr>
                <w:rFonts w:ascii="Arial" w:cs="Arial" w:eastAsia="Arial" w:hAnsi="Arial"/>
                <w:sz w:val="16"/>
                <w:szCs w:val="16"/>
                <w:b w:val="1"/>
                <w:bCs w:val="1"/>
                <w:color w:val="auto"/>
              </w:rPr>
              <w:t>Sept. 30,</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6"/>
                <w:szCs w:val="16"/>
                <w:color w:val="auto"/>
              </w:rPr>
              <w:t>Dec. 31,</w:t>
            </w:r>
          </w:p>
        </w:tc>
        <w:tc>
          <w:tcPr>
            <w:tcW w:w="0" w:type="dxa"/>
            <w:vAlign w:val="bottom"/>
          </w:tcPr>
          <w:p>
            <w:pPr>
              <w:spacing w:after="0"/>
              <w:rPr>
                <w:sz w:val="1"/>
                <w:szCs w:val="1"/>
                <w:color w:val="auto"/>
              </w:rPr>
            </w:pPr>
          </w:p>
        </w:tc>
      </w:tr>
      <w:tr>
        <w:trPr>
          <w:trHeight w:val="203"/>
        </w:trPr>
        <w:tc>
          <w:tcPr>
            <w:tcW w:w="280" w:type="dxa"/>
            <w:vAlign w:val="bottom"/>
            <w:tcBorders>
              <w:bottom w:val="single" w:sz="8" w:color="CFF0FC"/>
            </w:tcBorders>
          </w:tcPr>
          <w:p>
            <w:pPr>
              <w:spacing w:after="0"/>
              <w:rPr>
                <w:sz w:val="17"/>
                <w:szCs w:val="17"/>
                <w:color w:val="auto"/>
              </w:rPr>
            </w:pPr>
          </w:p>
        </w:tc>
        <w:tc>
          <w:tcPr>
            <w:tcW w:w="1000" w:type="dxa"/>
            <w:vAlign w:val="bottom"/>
            <w:tcBorders>
              <w:bottom w:val="single" w:sz="8" w:color="CFF0FC"/>
            </w:tcBorders>
          </w:tcPr>
          <w:p>
            <w:pPr>
              <w:spacing w:after="0"/>
              <w:rPr>
                <w:sz w:val="17"/>
                <w:szCs w:val="17"/>
                <w:color w:val="auto"/>
              </w:rPr>
            </w:pPr>
          </w:p>
        </w:tc>
        <w:tc>
          <w:tcPr>
            <w:tcW w:w="3820" w:type="dxa"/>
            <w:vAlign w:val="bottom"/>
            <w:tcBorders>
              <w:bottom w:val="single" w:sz="8" w:color="CFF0FC"/>
            </w:tcBorders>
          </w:tcPr>
          <w:p>
            <w:pPr>
              <w:spacing w:after="0"/>
              <w:rPr>
                <w:sz w:val="17"/>
                <w:szCs w:val="17"/>
                <w:color w:val="auto"/>
              </w:rPr>
            </w:pPr>
          </w:p>
        </w:tc>
        <w:tc>
          <w:tcPr>
            <w:tcW w:w="258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2022</w:t>
            </w:r>
          </w:p>
        </w:tc>
        <w:tc>
          <w:tcPr>
            <w:tcW w:w="3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60"/>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0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Raw materials &amp; field materials</w:t>
            </w:r>
          </w:p>
        </w:tc>
        <w:tc>
          <w:tcPr>
            <w:tcW w:w="258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2,123</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00" w:type="dxa"/>
            <w:vAlign w:val="bottom"/>
            <w:gridSpan w:val="3"/>
          </w:tcPr>
          <w:p>
            <w:pPr>
              <w:spacing w:after="0"/>
              <w:rPr>
                <w:sz w:val="20"/>
                <w:szCs w:val="20"/>
                <w:color w:val="auto"/>
              </w:rPr>
            </w:pPr>
            <w:r>
              <w:rPr>
                <w:rFonts w:ascii="Arial" w:cs="Arial" w:eastAsia="Arial" w:hAnsi="Arial"/>
                <w:sz w:val="16"/>
                <w:szCs w:val="16"/>
                <w:color w:val="auto"/>
              </w:rPr>
              <w:t>Work in progress</w:t>
            </w:r>
          </w:p>
        </w:tc>
        <w:tc>
          <w:tcPr>
            <w:tcW w:w="2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604</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0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Finished goods</w:t>
            </w:r>
          </w:p>
        </w:tc>
        <w:tc>
          <w:tcPr>
            <w:tcW w:w="2580" w:type="dxa"/>
            <w:vAlign w:val="bottom"/>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1,416</w:t>
            </w:r>
          </w:p>
        </w:tc>
        <w:tc>
          <w:tcPr>
            <w:tcW w:w="30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1,253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4,143</w:t>
            </w:r>
          </w:p>
        </w:tc>
        <w:tc>
          <w:tcPr>
            <w:tcW w:w="300" w:type="dxa"/>
            <w:vAlign w:val="bottom"/>
          </w:tcPr>
          <w:p>
            <w:pPr>
              <w:spacing w:after="0"/>
              <w:rPr>
                <w:sz w:val="17"/>
                <w:szCs w:val="17"/>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0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5.  Fixed Assets</w:t>
            </w:r>
          </w:p>
        </w:tc>
        <w:tc>
          <w:tcPr>
            <w:tcW w:w="2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100" w:type="dxa"/>
            <w:vAlign w:val="bottom"/>
            <w:gridSpan w:val="3"/>
            <w:vMerge w:val="continue"/>
          </w:tcPr>
          <w:p>
            <w:pPr>
              <w:spacing w:after="0"/>
              <w:rPr>
                <w:sz w:val="24"/>
                <w:szCs w:val="24"/>
                <w:color w:val="auto"/>
              </w:rPr>
            </w:pPr>
          </w:p>
        </w:tc>
        <w:tc>
          <w:tcPr>
            <w:tcW w:w="2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5100" w:type="dxa"/>
            <w:vAlign w:val="bottom"/>
            <w:gridSpan w:val="3"/>
          </w:tcPr>
          <w:p>
            <w:pPr>
              <w:spacing w:after="0"/>
              <w:rPr>
                <w:sz w:val="20"/>
                <w:szCs w:val="20"/>
                <w:color w:val="auto"/>
              </w:rPr>
            </w:pPr>
            <w:r>
              <w:rPr>
                <w:rFonts w:ascii="Arial" w:cs="Arial" w:eastAsia="Arial" w:hAnsi="Arial"/>
                <w:sz w:val="16"/>
                <w:szCs w:val="16"/>
                <w:color w:val="auto"/>
              </w:rPr>
              <w:t>A summary of fixed assets follows:</w:t>
            </w:r>
          </w:p>
        </w:tc>
        <w:tc>
          <w:tcPr>
            <w:tcW w:w="2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ind w:left="16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85"/>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jc w:val="center"/>
              <w:ind w:right="199"/>
              <w:spacing w:after="0"/>
              <w:rPr>
                <w:sz w:val="20"/>
                <w:szCs w:val="20"/>
                <w:color w:val="auto"/>
              </w:rPr>
            </w:pPr>
            <w:r>
              <w:rPr>
                <w:rFonts w:ascii="Arial" w:cs="Arial" w:eastAsia="Arial" w:hAnsi="Arial"/>
                <w:sz w:val="16"/>
                <w:szCs w:val="16"/>
                <w:b w:val="1"/>
                <w:bCs w:val="1"/>
                <w:color w:val="auto"/>
              </w:rPr>
              <w:t>Sept. 30,</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6"/>
                <w:szCs w:val="16"/>
                <w:color w:val="auto"/>
              </w:rPr>
              <w:t>Dec. 31,</w:t>
            </w:r>
          </w:p>
        </w:tc>
        <w:tc>
          <w:tcPr>
            <w:tcW w:w="0" w:type="dxa"/>
            <w:vAlign w:val="bottom"/>
          </w:tcPr>
          <w:p>
            <w:pPr>
              <w:spacing w:after="0"/>
              <w:rPr>
                <w:sz w:val="1"/>
                <w:szCs w:val="1"/>
                <w:color w:val="auto"/>
              </w:rPr>
            </w:pPr>
          </w:p>
        </w:tc>
      </w:tr>
      <w:tr>
        <w:trPr>
          <w:trHeight w:val="203"/>
        </w:trPr>
        <w:tc>
          <w:tcPr>
            <w:tcW w:w="280" w:type="dxa"/>
            <w:vAlign w:val="bottom"/>
            <w:tcBorders>
              <w:bottom w:val="single" w:sz="8" w:color="CFF0FC"/>
            </w:tcBorders>
          </w:tcPr>
          <w:p>
            <w:pPr>
              <w:spacing w:after="0"/>
              <w:rPr>
                <w:sz w:val="17"/>
                <w:szCs w:val="17"/>
                <w:color w:val="auto"/>
              </w:rPr>
            </w:pPr>
          </w:p>
        </w:tc>
        <w:tc>
          <w:tcPr>
            <w:tcW w:w="1000" w:type="dxa"/>
            <w:vAlign w:val="bottom"/>
            <w:tcBorders>
              <w:bottom w:val="single" w:sz="8" w:color="CFF0FC"/>
            </w:tcBorders>
          </w:tcPr>
          <w:p>
            <w:pPr>
              <w:spacing w:after="0"/>
              <w:rPr>
                <w:sz w:val="17"/>
                <w:szCs w:val="17"/>
                <w:color w:val="auto"/>
              </w:rPr>
            </w:pPr>
          </w:p>
        </w:tc>
        <w:tc>
          <w:tcPr>
            <w:tcW w:w="3820" w:type="dxa"/>
            <w:vAlign w:val="bottom"/>
            <w:tcBorders>
              <w:bottom w:val="single" w:sz="8" w:color="CFF0FC"/>
            </w:tcBorders>
          </w:tcPr>
          <w:p>
            <w:pPr>
              <w:spacing w:after="0"/>
              <w:rPr>
                <w:sz w:val="17"/>
                <w:szCs w:val="17"/>
                <w:color w:val="auto"/>
              </w:rPr>
            </w:pPr>
          </w:p>
        </w:tc>
        <w:tc>
          <w:tcPr>
            <w:tcW w:w="258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2022</w:t>
            </w:r>
          </w:p>
        </w:tc>
        <w:tc>
          <w:tcPr>
            <w:tcW w:w="3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60"/>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0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Property, plant &amp; equipment</w:t>
            </w:r>
          </w:p>
        </w:tc>
        <w:tc>
          <w:tcPr>
            <w:tcW w:w="258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28,260</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29,077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00" w:type="dxa"/>
            <w:vAlign w:val="bottom"/>
            <w:tcBorders>
              <w:bottom w:val="single" w:sz="8" w:color="CFF0FC"/>
            </w:tcBorders>
            <w:gridSpan w:val="3"/>
          </w:tcPr>
          <w:p>
            <w:pPr>
              <w:spacing w:after="0"/>
              <w:rPr>
                <w:sz w:val="20"/>
                <w:szCs w:val="20"/>
                <w:color w:val="auto"/>
              </w:rPr>
            </w:pPr>
            <w:r>
              <w:rPr>
                <w:rFonts w:ascii="Arial" w:cs="Arial" w:eastAsia="Arial" w:hAnsi="Arial"/>
                <w:sz w:val="16"/>
                <w:szCs w:val="16"/>
                <w:color w:val="auto"/>
              </w:rPr>
              <w:t>Less: Accumulated depreciation</w:t>
            </w:r>
          </w:p>
        </w:tc>
        <w:tc>
          <w:tcPr>
            <w:tcW w:w="258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21,853</w:t>
            </w:r>
          </w:p>
        </w:tc>
        <w:tc>
          <w:tcPr>
            <w:tcW w:w="3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22,648</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spacing w:after="0"/>
              <w:rPr>
                <w:sz w:val="17"/>
                <w:szCs w:val="17"/>
                <w:color w:val="auto"/>
              </w:rPr>
            </w:pPr>
          </w:p>
        </w:tc>
        <w:tc>
          <w:tcPr>
            <w:tcW w:w="3820" w:type="dxa"/>
            <w:vAlign w:val="bottom"/>
            <w:tcBorders>
              <w:bottom w:val="single" w:sz="8" w:color="CFF0FC"/>
            </w:tcBorders>
            <w:shd w:val="clear" w:color="auto" w:fill="CFF0FC"/>
          </w:tcPr>
          <w:p>
            <w:pPr>
              <w:spacing w:after="0"/>
              <w:rPr>
                <w:sz w:val="17"/>
                <w:szCs w:val="17"/>
                <w:color w:val="auto"/>
              </w:rPr>
            </w:pPr>
          </w:p>
        </w:tc>
        <w:tc>
          <w:tcPr>
            <w:tcW w:w="25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6,407</w:t>
            </w:r>
          </w:p>
        </w:tc>
        <w:tc>
          <w:tcPr>
            <w:tcW w:w="3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6,429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relating to fixed assets was as follows:</w:t>
      </w:r>
    </w:p>
    <w:p>
      <w:pPr>
        <w:spacing w:after="0" w:line="200" w:lineRule="exact"/>
        <w:rPr>
          <w:sz w:val="20"/>
          <w:szCs w:val="20"/>
          <w:color w:val="auto"/>
        </w:rPr>
      </w:pPr>
    </w:p>
    <w:p>
      <w:pPr>
        <w:spacing w:after="0" w:line="27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449"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8"/>
        </w:trPr>
        <w:tc>
          <w:tcPr>
            <w:tcW w:w="43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ind w:left="160"/>
              <w:spacing w:after="0"/>
              <w:rPr>
                <w:sz w:val="20"/>
                <w:szCs w:val="20"/>
                <w:color w:val="auto"/>
              </w:rPr>
            </w:pPr>
            <w:r>
              <w:rPr>
                <w:rFonts w:ascii="Arial" w:cs="Arial" w:eastAsia="Arial" w:hAnsi="Arial"/>
                <w:sz w:val="14"/>
                <w:szCs w:val="14"/>
                <w:i w:val="1"/>
                <w:iCs w:val="1"/>
                <w:color w:val="auto"/>
              </w:rPr>
              <w:t>(Stated in millions)</w:t>
            </w:r>
          </w:p>
        </w:tc>
      </w:tr>
      <w:tr>
        <w:trPr>
          <w:trHeight w:val="386"/>
        </w:trPr>
        <w:tc>
          <w:tcPr>
            <w:tcW w:w="4340" w:type="dxa"/>
            <w:vAlign w:val="bottom"/>
            <w:tcBorders>
              <w:bottom w:val="single" w:sz="8" w:color="CFF0FC"/>
            </w:tcBorders>
          </w:tcPr>
          <w:p>
            <w:pPr>
              <w:spacing w:after="0"/>
              <w:rPr>
                <w:sz w:val="24"/>
                <w:szCs w:val="24"/>
                <w:color w:val="auto"/>
              </w:rPr>
            </w:pPr>
          </w:p>
        </w:tc>
        <w:tc>
          <w:tcPr>
            <w:tcW w:w="3340" w:type="dxa"/>
            <w:vAlign w:val="bottom"/>
            <w:tcBorders>
              <w:bottom w:val="single" w:sz="8" w:color="CFF0FC"/>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30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541"/>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CFF0FC"/>
            </w:tcBorders>
          </w:tcPr>
          <w:p>
            <w:pPr>
              <w:spacing w:after="0"/>
              <w:rPr>
                <w:sz w:val="24"/>
                <w:szCs w:val="24"/>
                <w:color w:val="auto"/>
              </w:rPr>
            </w:pPr>
          </w:p>
        </w:tc>
      </w:tr>
      <w:tr>
        <w:trPr>
          <w:trHeight w:val="196"/>
        </w:trPr>
        <w:tc>
          <w:tcPr>
            <w:tcW w:w="4340" w:type="dxa"/>
            <w:vAlign w:val="bottom"/>
            <w:shd w:val="clear" w:color="auto" w:fill="CFF0FC"/>
          </w:tcPr>
          <w:p>
            <w:pPr>
              <w:spacing w:after="0"/>
              <w:rPr>
                <w:sz w:val="20"/>
                <w:szCs w:val="20"/>
                <w:color w:val="auto"/>
              </w:rPr>
            </w:pPr>
            <w:r>
              <w:rPr>
                <w:rFonts w:ascii="Arial" w:cs="Arial" w:eastAsia="Arial" w:hAnsi="Arial"/>
                <w:sz w:val="16"/>
                <w:szCs w:val="16"/>
                <w:color w:val="auto"/>
              </w:rPr>
              <w:t>Third Quarter</w:t>
            </w:r>
          </w:p>
        </w:tc>
        <w:tc>
          <w:tcPr>
            <w:tcW w:w="334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343</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w:t>
            </w:r>
          </w:p>
        </w:tc>
        <w:tc>
          <w:tcPr>
            <w:tcW w:w="100" w:type="dxa"/>
            <w:vAlign w:val="bottom"/>
            <w:shd w:val="clear" w:color="auto" w:fill="CFF0FC"/>
          </w:tcPr>
          <w:p>
            <w:pPr>
              <w:spacing w:after="0"/>
              <w:rPr>
                <w:sz w:val="17"/>
                <w:szCs w:val="17"/>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6"/>
                <w:szCs w:val="16"/>
                <w:color w:val="auto"/>
              </w:rPr>
              <w:t>Nine Months</w:t>
            </w:r>
          </w:p>
        </w:tc>
        <w:tc>
          <w:tcPr>
            <w:tcW w:w="370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1,021</w:t>
            </w:r>
          </w:p>
        </w:tc>
        <w:tc>
          <w:tcPr>
            <w:tcW w:w="52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1,057</w:t>
            </w:r>
          </w:p>
        </w:tc>
        <w:tc>
          <w:tcPr>
            <w:tcW w:w="100" w:type="dxa"/>
            <w:vAlign w:val="bottom"/>
          </w:tcPr>
          <w:p>
            <w:pPr>
              <w:spacing w:after="0"/>
              <w:rPr>
                <w:sz w:val="19"/>
                <w:szCs w:val="19"/>
                <w:color w:val="auto"/>
              </w:rPr>
            </w:pPr>
          </w:p>
        </w:tc>
      </w:tr>
    </w:tbl>
    <w:p>
      <w:pPr>
        <w:spacing w:after="0" w:line="168" w:lineRule="exact"/>
        <w:rPr>
          <w:sz w:val="20"/>
          <w:szCs w:val="20"/>
          <w:color w:val="auto"/>
        </w:rPr>
      </w:pPr>
    </w:p>
    <w:p>
      <w:pPr>
        <w:ind w:left="280" w:hanging="272"/>
        <w:spacing w:after="0"/>
        <w:tabs>
          <w:tab w:leader="none" w:pos="28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Intangible Assets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gross book value, accumulated amortization and net book value of intangible assets were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80" w:type="dxa"/>
            <w:vAlign w:val="bottom"/>
            <w:gridSpan w:val="4"/>
          </w:tcPr>
          <w:p>
            <w:pPr>
              <w:ind w:left="180"/>
              <w:spacing w:after="0"/>
              <w:rPr>
                <w:sz w:val="20"/>
                <w:szCs w:val="20"/>
                <w:color w:val="auto"/>
              </w:rPr>
            </w:pPr>
            <w:r>
              <w:rPr>
                <w:rFonts w:ascii="Arial" w:cs="Arial" w:eastAsia="Arial" w:hAnsi="Arial"/>
                <w:sz w:val="14"/>
                <w:szCs w:val="14"/>
                <w:i w:val="1"/>
                <w:iCs w:val="1"/>
                <w:color w:val="auto"/>
              </w:rPr>
              <w:t>(Stated in millions)</w:t>
            </w:r>
          </w:p>
        </w:tc>
      </w:tr>
      <w:tr>
        <w:trPr>
          <w:trHeight w:val="413"/>
        </w:trPr>
        <w:tc>
          <w:tcPr>
            <w:tcW w:w="2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Sept. 30, 2022</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rPr>
              <w:t>Dec. 31, 2021</w:t>
            </w: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259"/>
              <w:spacing w:after="0"/>
              <w:rPr>
                <w:sz w:val="20"/>
                <w:szCs w:val="20"/>
                <w:color w:val="auto"/>
              </w:rPr>
            </w:pPr>
            <w:r>
              <w:rPr>
                <w:rFonts w:ascii="Arial" w:cs="Arial" w:eastAsia="Arial" w:hAnsi="Arial"/>
                <w:sz w:val="16"/>
                <w:szCs w:val="16"/>
                <w:b w:val="1"/>
                <w:bCs w:val="1"/>
                <w:color w:val="auto"/>
              </w:rPr>
              <w:t>Gross</w:t>
            </w:r>
          </w:p>
        </w:tc>
        <w:tc>
          <w:tcPr>
            <w:tcW w:w="2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auto"/>
              </w:rPr>
              <w:t>Accumulated</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Net Book</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259"/>
              <w:spacing w:after="0"/>
              <w:rPr>
                <w:sz w:val="20"/>
                <w:szCs w:val="20"/>
                <w:color w:val="auto"/>
              </w:rPr>
            </w:pPr>
            <w:r>
              <w:rPr>
                <w:rFonts w:ascii="Arial" w:cs="Arial" w:eastAsia="Arial" w:hAnsi="Arial"/>
                <w:sz w:val="16"/>
                <w:szCs w:val="16"/>
                <w:color w:val="auto"/>
              </w:rPr>
              <w:t>Gross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19"/>
              <w:spacing w:after="0"/>
              <w:rPr>
                <w:sz w:val="20"/>
                <w:szCs w:val="20"/>
                <w:color w:val="auto"/>
              </w:rPr>
            </w:pPr>
            <w:r>
              <w:rPr>
                <w:rFonts w:ascii="Arial" w:cs="Arial" w:eastAsia="Arial" w:hAnsi="Arial"/>
                <w:sz w:val="16"/>
                <w:szCs w:val="16"/>
                <w:color w:val="auto"/>
              </w:rPr>
              <w:t>Accumulated</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99"/>
              <w:spacing w:after="0"/>
              <w:rPr>
                <w:sz w:val="20"/>
                <w:szCs w:val="20"/>
                <w:color w:val="auto"/>
              </w:rPr>
            </w:pPr>
            <w:r>
              <w:rPr>
                <w:rFonts w:ascii="Arial" w:cs="Arial" w:eastAsia="Arial" w:hAnsi="Arial"/>
                <w:sz w:val="16"/>
                <w:szCs w:val="16"/>
                <w:color w:val="auto"/>
              </w:rPr>
              <w:t>Net Book</w:t>
            </w:r>
          </w:p>
        </w:tc>
        <w:tc>
          <w:tcPr>
            <w:tcW w:w="100" w:type="dxa"/>
            <w:vAlign w:val="bottom"/>
          </w:tcPr>
          <w:p>
            <w:pPr>
              <w:spacing w:after="0"/>
              <w:rPr>
                <w:sz w:val="18"/>
                <w:szCs w:val="18"/>
                <w:color w:val="auto"/>
              </w:rPr>
            </w:pPr>
          </w:p>
        </w:tc>
      </w:tr>
      <w:tr>
        <w:trPr>
          <w:trHeight w:val="209"/>
        </w:trPr>
        <w:tc>
          <w:tcPr>
            <w:tcW w:w="2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b w:val="1"/>
                <w:bCs w:val="1"/>
                <w:color w:val="auto"/>
                <w:w w:val="98"/>
              </w:rPr>
              <w:t>Book Value</w:t>
            </w:r>
          </w:p>
        </w:tc>
        <w:tc>
          <w:tcPr>
            <w:tcW w:w="2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auto"/>
              </w:rPr>
              <w:t>Amortization</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279"/>
              <w:spacing w:after="0"/>
              <w:rPr>
                <w:sz w:val="20"/>
                <w:szCs w:val="20"/>
                <w:color w:val="auto"/>
              </w:rPr>
            </w:pPr>
            <w:r>
              <w:rPr>
                <w:rFonts w:ascii="Arial" w:cs="Arial" w:eastAsia="Arial" w:hAnsi="Arial"/>
                <w:sz w:val="16"/>
                <w:szCs w:val="16"/>
                <w:b w:val="1"/>
                <w:bCs w:val="1"/>
                <w:color w:val="auto"/>
              </w:rPr>
              <w:t>Value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Book Value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19"/>
              <w:spacing w:after="0"/>
              <w:rPr>
                <w:sz w:val="20"/>
                <w:szCs w:val="20"/>
                <w:color w:val="auto"/>
              </w:rPr>
            </w:pPr>
            <w:r>
              <w:rPr>
                <w:rFonts w:ascii="Arial" w:cs="Arial" w:eastAsia="Arial" w:hAnsi="Arial"/>
                <w:sz w:val="16"/>
                <w:szCs w:val="16"/>
                <w:color w:val="auto"/>
              </w:rPr>
              <w:t>Amortization</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color w:val="auto"/>
                <w:w w:val="97"/>
              </w:rPr>
              <w:t>Value</w:t>
            </w:r>
          </w:p>
        </w:tc>
      </w:tr>
      <w:tr>
        <w:trPr>
          <w:trHeight w:val="196"/>
        </w:trPr>
        <w:tc>
          <w:tcPr>
            <w:tcW w:w="2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Customer relationships</w:t>
            </w:r>
          </w:p>
        </w:tc>
        <w:tc>
          <w:tcPr>
            <w:tcW w:w="4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1,694</w:t>
            </w:r>
          </w:p>
        </w:tc>
        <w:tc>
          <w:tcPr>
            <w:tcW w:w="220" w:type="dxa"/>
            <w:vAlign w:val="bottom"/>
            <w:tcBorders>
              <w:top w:val="single" w:sz="8" w:color="CFF0FC"/>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617</w:t>
            </w:r>
          </w:p>
        </w:tc>
        <w:tc>
          <w:tcPr>
            <w:tcW w:w="2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1,077</w:t>
            </w: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1,681</w:t>
            </w:r>
          </w:p>
        </w:tc>
        <w:tc>
          <w:tcPr>
            <w:tcW w:w="2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551</w:t>
            </w:r>
          </w:p>
        </w:tc>
        <w:tc>
          <w:tcPr>
            <w:tcW w:w="2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1,130</w:t>
            </w:r>
          </w:p>
        </w:tc>
        <w:tc>
          <w:tcPr>
            <w:tcW w:w="100" w:type="dxa"/>
            <w:vAlign w:val="bottom"/>
            <w:tcBorders>
              <w:top w:val="single" w:sz="8" w:color="CFF0FC"/>
            </w:tcBorders>
            <w:shd w:val="clear" w:color="auto" w:fill="CFF0FC"/>
          </w:tcPr>
          <w:p>
            <w:pPr>
              <w:spacing w:after="0"/>
              <w:rPr>
                <w:sz w:val="17"/>
                <w:szCs w:val="17"/>
                <w:color w:val="auto"/>
              </w:rPr>
            </w:pPr>
          </w:p>
        </w:tc>
      </w:tr>
      <w:tr>
        <w:trPr>
          <w:trHeight w:val="203"/>
        </w:trPr>
        <w:tc>
          <w:tcPr>
            <w:tcW w:w="2760" w:type="dxa"/>
            <w:vAlign w:val="bottom"/>
          </w:tcPr>
          <w:p>
            <w:pPr>
              <w:spacing w:after="0"/>
              <w:rPr>
                <w:sz w:val="20"/>
                <w:szCs w:val="20"/>
                <w:color w:val="auto"/>
              </w:rPr>
            </w:pPr>
            <w:r>
              <w:rPr>
                <w:rFonts w:ascii="Arial" w:cs="Arial" w:eastAsia="Arial" w:hAnsi="Arial"/>
                <w:sz w:val="16"/>
                <w:szCs w:val="16"/>
                <w:color w:val="auto"/>
              </w:rPr>
              <w:t>Technology/technical know-how</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1,285</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658</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627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1,264</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562</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702</w:t>
            </w:r>
          </w:p>
        </w:tc>
        <w:tc>
          <w:tcPr>
            <w:tcW w:w="100" w:type="dxa"/>
            <w:vAlign w:val="bottom"/>
          </w:tcPr>
          <w:p>
            <w:pPr>
              <w:spacing w:after="0"/>
              <w:rPr>
                <w:sz w:val="17"/>
                <w:szCs w:val="17"/>
                <w:color w:val="auto"/>
              </w:rPr>
            </w:pPr>
          </w:p>
        </w:tc>
      </w:tr>
      <w:tr>
        <w:trPr>
          <w:trHeight w:val="203"/>
        </w:trPr>
        <w:tc>
          <w:tcPr>
            <w:tcW w:w="2760" w:type="dxa"/>
            <w:vAlign w:val="bottom"/>
            <w:shd w:val="clear" w:color="auto" w:fill="CFF0FC"/>
          </w:tcPr>
          <w:p>
            <w:pPr>
              <w:spacing w:after="0"/>
              <w:rPr>
                <w:sz w:val="20"/>
                <w:szCs w:val="20"/>
                <w:color w:val="auto"/>
              </w:rPr>
            </w:pPr>
            <w:r>
              <w:rPr>
                <w:rFonts w:ascii="Arial" w:cs="Arial" w:eastAsia="Arial" w:hAnsi="Arial"/>
                <w:sz w:val="16"/>
                <w:szCs w:val="16"/>
                <w:color w:val="auto"/>
              </w:rPr>
              <w:t>Tradenames</w:t>
            </w:r>
          </w:p>
        </w:tc>
        <w:tc>
          <w:tcPr>
            <w:tcW w:w="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759</w:t>
            </w: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215</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544</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766</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575</w:t>
            </w:r>
          </w:p>
        </w:tc>
        <w:tc>
          <w:tcPr>
            <w:tcW w:w="100" w:type="dxa"/>
            <w:vAlign w:val="bottom"/>
            <w:shd w:val="clear" w:color="auto" w:fill="CFF0FC"/>
          </w:tcPr>
          <w:p>
            <w:pPr>
              <w:spacing w:after="0"/>
              <w:rPr>
                <w:sz w:val="17"/>
                <w:szCs w:val="17"/>
                <w:color w:val="auto"/>
              </w:rPr>
            </w:pPr>
          </w:p>
        </w:tc>
      </w:tr>
      <w:tr>
        <w:trPr>
          <w:trHeight w:val="203"/>
        </w:trPr>
        <w:tc>
          <w:tcPr>
            <w:tcW w:w="27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w:t>
            </w:r>
          </w:p>
        </w:tc>
        <w:tc>
          <w:tcPr>
            <w:tcW w:w="48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1,635</w:t>
            </w:r>
          </w:p>
        </w:tc>
        <w:tc>
          <w:tcPr>
            <w:tcW w:w="220" w:type="dxa"/>
            <w:vAlign w:val="bottom"/>
            <w:tcBorders>
              <w:bottom w:val="single" w:sz="8" w:color="CFF0FC"/>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840</w:t>
            </w:r>
          </w:p>
        </w:tc>
        <w:tc>
          <w:tcPr>
            <w:tcW w:w="24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795</w:t>
            </w:r>
          </w:p>
        </w:tc>
        <w:tc>
          <w:tcPr>
            <w:tcW w:w="22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1,578</w:t>
            </w:r>
          </w:p>
        </w:tc>
        <w:tc>
          <w:tcPr>
            <w:tcW w:w="24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774</w:t>
            </w:r>
          </w:p>
        </w:tc>
        <w:tc>
          <w:tcPr>
            <w:tcW w:w="24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804</w:t>
            </w:r>
          </w:p>
        </w:tc>
        <w:tc>
          <w:tcPr>
            <w:tcW w:w="100" w:type="dxa"/>
            <w:vAlign w:val="bottom"/>
            <w:tcBorders>
              <w:bottom w:val="single" w:sz="8" w:color="CFF0FC"/>
            </w:tcBorders>
          </w:tcPr>
          <w:p>
            <w:pPr>
              <w:spacing w:after="0"/>
              <w:rPr>
                <w:sz w:val="17"/>
                <w:szCs w:val="17"/>
                <w:color w:val="auto"/>
              </w:rPr>
            </w:pPr>
          </w:p>
        </w:tc>
      </w:tr>
      <w:tr>
        <w:trPr>
          <w:trHeight w:val="196"/>
        </w:trPr>
        <w:tc>
          <w:tcPr>
            <w:tcW w:w="276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5,373</w:t>
            </w:r>
          </w:p>
        </w:tc>
        <w:tc>
          <w:tcPr>
            <w:tcW w:w="22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2,330</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3,043</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5,289</w:t>
            </w:r>
          </w:p>
        </w:tc>
        <w:tc>
          <w:tcPr>
            <w:tcW w:w="2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2,078</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3,211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
        </w:trPr>
        <w:tc>
          <w:tcPr>
            <w:tcW w:w="2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Amortization expense charged to income was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3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ind w:left="160"/>
              <w:spacing w:after="0"/>
              <w:rPr>
                <w:sz w:val="20"/>
                <w:szCs w:val="20"/>
                <w:color w:val="auto"/>
              </w:rPr>
            </w:pPr>
            <w:r>
              <w:rPr>
                <w:rFonts w:ascii="Arial" w:cs="Arial" w:eastAsia="Arial" w:hAnsi="Arial"/>
                <w:sz w:val="14"/>
                <w:szCs w:val="14"/>
                <w:i w:val="1"/>
                <w:iCs w:val="1"/>
                <w:color w:val="auto"/>
              </w:rPr>
              <w:t>(Stated in millions)</w:t>
            </w:r>
          </w:p>
        </w:tc>
      </w:tr>
      <w:tr>
        <w:trPr>
          <w:trHeight w:val="386"/>
        </w:trPr>
        <w:tc>
          <w:tcPr>
            <w:tcW w:w="4340" w:type="dxa"/>
            <w:vAlign w:val="bottom"/>
            <w:tcBorders>
              <w:bottom w:val="single" w:sz="8" w:color="CFF0FC"/>
            </w:tcBorders>
          </w:tcPr>
          <w:p>
            <w:pPr>
              <w:spacing w:after="0"/>
              <w:rPr>
                <w:sz w:val="24"/>
                <w:szCs w:val="24"/>
                <w:color w:val="auto"/>
              </w:rPr>
            </w:pPr>
          </w:p>
        </w:tc>
        <w:tc>
          <w:tcPr>
            <w:tcW w:w="3340" w:type="dxa"/>
            <w:vAlign w:val="bottom"/>
            <w:tcBorders>
              <w:bottom w:val="single" w:sz="8" w:color="CFF0FC"/>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30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541"/>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CFF0FC"/>
            </w:tcBorders>
          </w:tcPr>
          <w:p>
            <w:pPr>
              <w:spacing w:after="0"/>
              <w:rPr>
                <w:sz w:val="24"/>
                <w:szCs w:val="24"/>
                <w:color w:val="auto"/>
              </w:rPr>
            </w:pPr>
          </w:p>
        </w:tc>
      </w:tr>
      <w:tr>
        <w:trPr>
          <w:trHeight w:val="196"/>
        </w:trPr>
        <w:tc>
          <w:tcPr>
            <w:tcW w:w="4340" w:type="dxa"/>
            <w:vAlign w:val="bottom"/>
            <w:shd w:val="clear" w:color="auto" w:fill="CFF0FC"/>
          </w:tcPr>
          <w:p>
            <w:pPr>
              <w:spacing w:after="0"/>
              <w:rPr>
                <w:sz w:val="20"/>
                <w:szCs w:val="20"/>
                <w:color w:val="auto"/>
              </w:rPr>
            </w:pPr>
            <w:r>
              <w:rPr>
                <w:rFonts w:ascii="Arial" w:cs="Arial" w:eastAsia="Arial" w:hAnsi="Arial"/>
                <w:sz w:val="16"/>
                <w:szCs w:val="16"/>
                <w:color w:val="auto"/>
              </w:rPr>
              <w:t>Third Quarter</w:t>
            </w:r>
          </w:p>
        </w:tc>
        <w:tc>
          <w:tcPr>
            <w:tcW w:w="334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76</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FF0FC"/>
          </w:tcPr>
          <w:p>
            <w:pPr>
              <w:spacing w:after="0"/>
              <w:rPr>
                <w:sz w:val="17"/>
                <w:szCs w:val="17"/>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6"/>
                <w:szCs w:val="16"/>
                <w:color w:val="auto"/>
              </w:rPr>
              <w:t>Nine Months</w:t>
            </w:r>
          </w:p>
        </w:tc>
        <w:tc>
          <w:tcPr>
            <w:tcW w:w="370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226</w:t>
            </w:r>
          </w:p>
        </w:tc>
        <w:tc>
          <w:tcPr>
            <w:tcW w:w="52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19"/>
                <w:szCs w:val="19"/>
                <w:color w:val="auto"/>
              </w:rPr>
            </w:pPr>
          </w:p>
        </w:tc>
      </w:tr>
    </w:tbl>
    <w:p>
      <w:pPr>
        <w:spacing w:after="0" w:line="22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Based on the net book value of intangible assets at September 30, 2022, amortization expense for the subsequent five years is estimated to be: fourth quarter of 2022—$72 million; 2023—$288 million; 2024—$278 million; 2025—$263 million; 2026—$254 million; and 2027—$252 million.</w:t>
      </w:r>
    </w:p>
    <w:p>
      <w:pPr>
        <w:spacing w:after="0" w:line="115" w:lineRule="exact"/>
        <w:rPr>
          <w:sz w:val="20"/>
          <w:szCs w:val="20"/>
          <w:color w:val="auto"/>
        </w:rPr>
      </w:pPr>
    </w:p>
    <w:p>
      <w:pPr>
        <w:ind w:left="280" w:hanging="272"/>
        <w:spacing w:after="0"/>
        <w:tabs>
          <w:tab w:leader="none" w:pos="28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Long-term Debt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 summary of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i w:val="1"/>
                <w:iCs w:val="1"/>
                <w:color w:val="auto"/>
              </w:rPr>
              <w:t>(Stated in millions)</w:t>
            </w:r>
          </w:p>
        </w:tc>
      </w:tr>
      <w:tr>
        <w:trPr>
          <w:trHeight w:val="385"/>
        </w:trPr>
        <w:tc>
          <w:tcPr>
            <w:tcW w:w="4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gridSpan w:val="2"/>
          </w:tcPr>
          <w:p>
            <w:pPr>
              <w:ind w:left="180"/>
              <w:spacing w:after="0"/>
              <w:rPr>
                <w:sz w:val="20"/>
                <w:szCs w:val="20"/>
                <w:color w:val="auto"/>
              </w:rPr>
            </w:pPr>
            <w:r>
              <w:rPr>
                <w:rFonts w:ascii="Arial" w:cs="Arial" w:eastAsia="Arial" w:hAnsi="Arial"/>
                <w:sz w:val="16"/>
                <w:szCs w:val="16"/>
                <w:b w:val="1"/>
                <w:bCs w:val="1"/>
                <w:color w:val="auto"/>
              </w:rPr>
              <w:t>Sept. 30,</w:t>
            </w:r>
          </w:p>
        </w:tc>
        <w:tc>
          <w:tcPr>
            <w:tcW w:w="240" w:type="dxa"/>
            <w:vAlign w:val="bottom"/>
          </w:tcPr>
          <w:p>
            <w:pPr>
              <w:spacing w:after="0"/>
              <w:rPr>
                <w:sz w:val="24"/>
                <w:szCs w:val="24"/>
                <w:color w:val="auto"/>
              </w:rPr>
            </w:pPr>
          </w:p>
        </w:tc>
        <w:tc>
          <w:tcPr>
            <w:tcW w:w="1460" w:type="dxa"/>
            <w:vAlign w:val="bottom"/>
            <w:gridSpan w:val="2"/>
          </w:tcPr>
          <w:p>
            <w:pPr>
              <w:ind w:left="240"/>
              <w:spacing w:after="0"/>
              <w:rPr>
                <w:sz w:val="20"/>
                <w:szCs w:val="20"/>
                <w:color w:val="auto"/>
              </w:rPr>
            </w:pPr>
            <w:r>
              <w:rPr>
                <w:rFonts w:ascii="Arial" w:cs="Arial" w:eastAsia="Arial" w:hAnsi="Arial"/>
                <w:sz w:val="16"/>
                <w:szCs w:val="16"/>
                <w:color w:val="auto"/>
              </w:rPr>
              <w:t>Dec. 31,</w:t>
            </w:r>
          </w:p>
        </w:tc>
      </w:tr>
      <w:tr>
        <w:trPr>
          <w:trHeight w:val="203"/>
        </w:trPr>
        <w:tc>
          <w:tcPr>
            <w:tcW w:w="480" w:type="dxa"/>
            <w:vAlign w:val="bottom"/>
            <w:tcBorders>
              <w:bottom w:val="single" w:sz="8" w:color="CFF0FC"/>
            </w:tcBorders>
          </w:tcPr>
          <w:p>
            <w:pPr>
              <w:spacing w:after="0"/>
              <w:rPr>
                <w:sz w:val="17"/>
                <w:szCs w:val="17"/>
                <w:color w:val="auto"/>
              </w:rPr>
            </w:pPr>
          </w:p>
        </w:tc>
        <w:tc>
          <w:tcPr>
            <w:tcW w:w="4680" w:type="dxa"/>
            <w:vAlign w:val="bottom"/>
            <w:tcBorders>
              <w:bottom w:val="single" w:sz="8" w:color="CFF0FC"/>
            </w:tcBorders>
          </w:tcPr>
          <w:p>
            <w:pPr>
              <w:spacing w:after="0"/>
              <w:rPr>
                <w:sz w:val="17"/>
                <w:szCs w:val="17"/>
                <w:color w:val="auto"/>
              </w:rPr>
            </w:pPr>
          </w:p>
        </w:tc>
        <w:tc>
          <w:tcPr>
            <w:tcW w:w="252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28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2021</w:t>
            </w:r>
          </w:p>
        </w:tc>
        <w:tc>
          <w:tcPr>
            <w:tcW w:w="120" w:type="dxa"/>
            <w:vAlign w:val="bottom"/>
            <w:tcBorders>
              <w:bottom w:val="single" w:sz="8" w:color="CFF0FC"/>
            </w:tcBorders>
          </w:tcPr>
          <w:p>
            <w:pPr>
              <w:spacing w:after="0"/>
              <w:rPr>
                <w:sz w:val="17"/>
                <w:szCs w:val="17"/>
                <w:color w:val="auto"/>
              </w:rPr>
            </w:pPr>
          </w:p>
        </w:tc>
      </w:tr>
      <w:tr>
        <w:trPr>
          <w:trHeight w:val="196"/>
        </w:trPr>
        <w:tc>
          <w:tcPr>
            <w:tcW w:w="480" w:type="dxa"/>
            <w:vAlign w:val="bottom"/>
            <w:shd w:val="clear" w:color="auto" w:fill="CFF0FC"/>
          </w:tcPr>
          <w:p>
            <w:pPr>
              <w:spacing w:after="0"/>
              <w:rPr>
                <w:sz w:val="20"/>
                <w:szCs w:val="20"/>
                <w:color w:val="auto"/>
              </w:rPr>
            </w:pPr>
            <w:r>
              <w:rPr>
                <w:rFonts w:ascii="Arial" w:cs="Arial" w:eastAsia="Arial" w:hAnsi="Arial"/>
                <w:sz w:val="16"/>
                <w:szCs w:val="16"/>
                <w:color w:val="auto"/>
              </w:rPr>
              <w:t>3.65%</w:t>
            </w:r>
          </w:p>
        </w:tc>
        <w:tc>
          <w:tcPr>
            <w:tcW w:w="4680" w:type="dxa"/>
            <w:vAlign w:val="bottom"/>
            <w:shd w:val="clear" w:color="auto" w:fill="CFF0FC"/>
          </w:tcPr>
          <w:p>
            <w:pPr>
              <w:ind w:left="40"/>
              <w:spacing w:after="0"/>
              <w:rPr>
                <w:sz w:val="20"/>
                <w:szCs w:val="20"/>
                <w:color w:val="auto"/>
              </w:rPr>
            </w:pPr>
            <w:r>
              <w:rPr>
                <w:rFonts w:ascii="Arial" w:cs="Arial" w:eastAsia="Arial" w:hAnsi="Arial"/>
                <w:sz w:val="16"/>
                <w:szCs w:val="16"/>
                <w:color w:val="auto"/>
              </w:rPr>
              <w:t>Senior Notes due 2023</w:t>
            </w:r>
          </w:p>
        </w:tc>
        <w:tc>
          <w:tcPr>
            <w:tcW w:w="252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1,498</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1,497</w:t>
            </w:r>
          </w:p>
        </w:tc>
        <w:tc>
          <w:tcPr>
            <w:tcW w:w="120" w:type="dxa"/>
            <w:vAlign w:val="bottom"/>
            <w:shd w:val="clear" w:color="auto" w:fill="CFF0FC"/>
          </w:tcPr>
          <w:p>
            <w:pPr>
              <w:spacing w:after="0"/>
              <w:rPr>
                <w:sz w:val="17"/>
                <w:szCs w:val="17"/>
                <w:color w:val="auto"/>
              </w:rPr>
            </w:pPr>
          </w:p>
        </w:tc>
      </w:tr>
      <w:tr>
        <w:trPr>
          <w:trHeight w:val="203"/>
        </w:trPr>
        <w:tc>
          <w:tcPr>
            <w:tcW w:w="480" w:type="dxa"/>
            <w:vAlign w:val="bottom"/>
          </w:tcPr>
          <w:p>
            <w:pPr>
              <w:spacing w:after="0"/>
              <w:rPr>
                <w:sz w:val="20"/>
                <w:szCs w:val="20"/>
                <w:color w:val="auto"/>
              </w:rPr>
            </w:pPr>
            <w:r>
              <w:rPr>
                <w:rFonts w:ascii="Arial" w:cs="Arial" w:eastAsia="Arial" w:hAnsi="Arial"/>
                <w:sz w:val="16"/>
                <w:szCs w:val="16"/>
                <w:color w:val="auto"/>
              </w:rPr>
              <w:t>3.90%</w:t>
            </w:r>
          </w:p>
        </w:tc>
        <w:tc>
          <w:tcPr>
            <w:tcW w:w="4680" w:type="dxa"/>
            <w:vAlign w:val="bottom"/>
          </w:tcPr>
          <w:p>
            <w:pPr>
              <w:ind w:left="40"/>
              <w:spacing w:after="0"/>
              <w:rPr>
                <w:sz w:val="20"/>
                <w:szCs w:val="20"/>
                <w:color w:val="auto"/>
              </w:rPr>
            </w:pPr>
            <w:r>
              <w:rPr>
                <w:rFonts w:ascii="Arial" w:cs="Arial" w:eastAsia="Arial" w:hAnsi="Arial"/>
                <w:sz w:val="16"/>
                <w:szCs w:val="16"/>
                <w:color w:val="auto"/>
              </w:rPr>
              <w:t>Senior Notes due 2028</w:t>
            </w:r>
          </w:p>
        </w:tc>
        <w:tc>
          <w:tcPr>
            <w:tcW w:w="2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1,462</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1,457</w:t>
            </w:r>
          </w:p>
        </w:tc>
        <w:tc>
          <w:tcPr>
            <w:tcW w:w="120" w:type="dxa"/>
            <w:vAlign w:val="bottom"/>
          </w:tcPr>
          <w:p>
            <w:pPr>
              <w:spacing w:after="0"/>
              <w:rPr>
                <w:sz w:val="17"/>
                <w:szCs w:val="17"/>
                <w:color w:val="auto"/>
              </w:rPr>
            </w:pPr>
          </w:p>
        </w:tc>
      </w:tr>
      <w:tr>
        <w:trPr>
          <w:trHeight w:val="203"/>
        </w:trPr>
        <w:tc>
          <w:tcPr>
            <w:tcW w:w="480" w:type="dxa"/>
            <w:vAlign w:val="bottom"/>
            <w:shd w:val="clear" w:color="auto" w:fill="CFF0FC"/>
          </w:tcPr>
          <w:p>
            <w:pPr>
              <w:spacing w:after="0"/>
              <w:rPr>
                <w:sz w:val="20"/>
                <w:szCs w:val="20"/>
                <w:color w:val="auto"/>
              </w:rPr>
            </w:pPr>
            <w:r>
              <w:rPr>
                <w:rFonts w:ascii="Arial" w:cs="Arial" w:eastAsia="Arial" w:hAnsi="Arial"/>
                <w:sz w:val="16"/>
                <w:szCs w:val="16"/>
                <w:color w:val="auto"/>
              </w:rPr>
              <w:t>2.65%</w:t>
            </w:r>
          </w:p>
        </w:tc>
        <w:tc>
          <w:tcPr>
            <w:tcW w:w="4680" w:type="dxa"/>
            <w:vAlign w:val="bottom"/>
            <w:shd w:val="clear" w:color="auto" w:fill="CFF0FC"/>
          </w:tcPr>
          <w:p>
            <w:pPr>
              <w:ind w:left="40"/>
              <w:spacing w:after="0"/>
              <w:rPr>
                <w:sz w:val="20"/>
                <w:szCs w:val="20"/>
                <w:color w:val="auto"/>
              </w:rPr>
            </w:pPr>
            <w:r>
              <w:rPr>
                <w:rFonts w:ascii="Arial" w:cs="Arial" w:eastAsia="Arial" w:hAnsi="Arial"/>
                <w:sz w:val="16"/>
                <w:szCs w:val="16"/>
                <w:color w:val="auto"/>
              </w:rPr>
              <w:t>Senior Notes due 2030</w:t>
            </w:r>
          </w:p>
        </w:tc>
        <w:tc>
          <w:tcPr>
            <w:tcW w:w="25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1,250</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1,250</w:t>
            </w:r>
          </w:p>
        </w:tc>
        <w:tc>
          <w:tcPr>
            <w:tcW w:w="120" w:type="dxa"/>
            <w:vAlign w:val="bottom"/>
            <w:shd w:val="clear" w:color="auto" w:fill="CFF0FC"/>
          </w:tcPr>
          <w:p>
            <w:pPr>
              <w:spacing w:after="0"/>
              <w:rPr>
                <w:sz w:val="17"/>
                <w:szCs w:val="17"/>
                <w:color w:val="auto"/>
              </w:rPr>
            </w:pPr>
          </w:p>
        </w:tc>
      </w:tr>
      <w:tr>
        <w:trPr>
          <w:trHeight w:val="203"/>
        </w:trPr>
        <w:tc>
          <w:tcPr>
            <w:tcW w:w="5160" w:type="dxa"/>
            <w:vAlign w:val="bottom"/>
            <w:gridSpan w:val="2"/>
          </w:tcPr>
          <w:p>
            <w:pPr>
              <w:spacing w:after="0"/>
              <w:rPr>
                <w:sz w:val="20"/>
                <w:szCs w:val="20"/>
                <w:color w:val="auto"/>
              </w:rPr>
            </w:pPr>
            <w:r>
              <w:rPr>
                <w:rFonts w:ascii="Arial" w:cs="Arial" w:eastAsia="Arial" w:hAnsi="Arial"/>
                <w:sz w:val="16"/>
                <w:szCs w:val="16"/>
                <w:color w:val="auto"/>
              </w:rPr>
              <w:t>1.375% Guaranteed Notes due 2026</w:t>
            </w:r>
          </w:p>
        </w:tc>
        <w:tc>
          <w:tcPr>
            <w:tcW w:w="2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955</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1,125</w:t>
            </w:r>
          </w:p>
        </w:tc>
        <w:tc>
          <w:tcPr>
            <w:tcW w:w="120" w:type="dxa"/>
            <w:vAlign w:val="bottom"/>
          </w:tcPr>
          <w:p>
            <w:pPr>
              <w:spacing w:after="0"/>
              <w:rPr>
                <w:sz w:val="17"/>
                <w:szCs w:val="17"/>
                <w:color w:val="auto"/>
              </w:rPr>
            </w:pPr>
          </w:p>
        </w:tc>
      </w:tr>
      <w:tr>
        <w:trPr>
          <w:trHeight w:val="203"/>
        </w:trPr>
        <w:tc>
          <w:tcPr>
            <w:tcW w:w="480" w:type="dxa"/>
            <w:vAlign w:val="bottom"/>
            <w:shd w:val="clear" w:color="auto" w:fill="CFF0FC"/>
          </w:tcPr>
          <w:p>
            <w:pPr>
              <w:spacing w:after="0"/>
              <w:rPr>
                <w:sz w:val="20"/>
                <w:szCs w:val="20"/>
                <w:color w:val="auto"/>
              </w:rPr>
            </w:pPr>
            <w:r>
              <w:rPr>
                <w:rFonts w:ascii="Arial" w:cs="Arial" w:eastAsia="Arial" w:hAnsi="Arial"/>
                <w:sz w:val="16"/>
                <w:szCs w:val="16"/>
                <w:color w:val="auto"/>
              </w:rPr>
              <w:t>2.00%</w:t>
            </w:r>
          </w:p>
        </w:tc>
        <w:tc>
          <w:tcPr>
            <w:tcW w:w="4680" w:type="dxa"/>
            <w:vAlign w:val="bottom"/>
            <w:shd w:val="clear" w:color="auto" w:fill="CFF0FC"/>
          </w:tcPr>
          <w:p>
            <w:pPr>
              <w:ind w:left="40"/>
              <w:spacing w:after="0"/>
              <w:rPr>
                <w:sz w:val="20"/>
                <w:szCs w:val="20"/>
                <w:color w:val="auto"/>
              </w:rPr>
            </w:pPr>
            <w:r>
              <w:rPr>
                <w:rFonts w:ascii="Arial" w:cs="Arial" w:eastAsia="Arial" w:hAnsi="Arial"/>
                <w:sz w:val="16"/>
                <w:szCs w:val="16"/>
                <w:color w:val="auto"/>
              </w:rPr>
              <w:t>Guaranteed Notes due 2032</w:t>
            </w:r>
          </w:p>
        </w:tc>
        <w:tc>
          <w:tcPr>
            <w:tcW w:w="25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948</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1,118</w:t>
            </w:r>
          </w:p>
        </w:tc>
        <w:tc>
          <w:tcPr>
            <w:tcW w:w="120" w:type="dxa"/>
            <w:vAlign w:val="bottom"/>
            <w:shd w:val="clear" w:color="auto" w:fill="CFF0FC"/>
          </w:tcPr>
          <w:p>
            <w:pPr>
              <w:spacing w:after="0"/>
              <w:rPr>
                <w:sz w:val="17"/>
                <w:szCs w:val="17"/>
                <w:color w:val="auto"/>
              </w:rPr>
            </w:pPr>
          </w:p>
        </w:tc>
      </w:tr>
      <w:tr>
        <w:trPr>
          <w:trHeight w:val="203"/>
        </w:trPr>
        <w:tc>
          <w:tcPr>
            <w:tcW w:w="480" w:type="dxa"/>
            <w:vAlign w:val="bottom"/>
          </w:tcPr>
          <w:p>
            <w:pPr>
              <w:spacing w:after="0"/>
              <w:rPr>
                <w:sz w:val="20"/>
                <w:szCs w:val="20"/>
                <w:color w:val="auto"/>
              </w:rPr>
            </w:pPr>
            <w:r>
              <w:rPr>
                <w:rFonts w:ascii="Arial" w:cs="Arial" w:eastAsia="Arial" w:hAnsi="Arial"/>
                <w:sz w:val="16"/>
                <w:szCs w:val="16"/>
                <w:color w:val="auto"/>
              </w:rPr>
              <w:t>4.00%</w:t>
            </w:r>
          </w:p>
        </w:tc>
        <w:tc>
          <w:tcPr>
            <w:tcW w:w="4680" w:type="dxa"/>
            <w:vAlign w:val="bottom"/>
          </w:tcPr>
          <w:p>
            <w:pPr>
              <w:ind w:left="40"/>
              <w:spacing w:after="0"/>
              <w:rPr>
                <w:sz w:val="20"/>
                <w:szCs w:val="20"/>
                <w:color w:val="auto"/>
              </w:rPr>
            </w:pPr>
            <w:r>
              <w:rPr>
                <w:rFonts w:ascii="Arial" w:cs="Arial" w:eastAsia="Arial" w:hAnsi="Arial"/>
                <w:sz w:val="16"/>
                <w:szCs w:val="16"/>
                <w:color w:val="auto"/>
              </w:rPr>
              <w:t>Senior Notes due 2025</w:t>
            </w:r>
          </w:p>
        </w:tc>
        <w:tc>
          <w:tcPr>
            <w:tcW w:w="2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931</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930</w:t>
            </w:r>
          </w:p>
        </w:tc>
        <w:tc>
          <w:tcPr>
            <w:tcW w:w="120" w:type="dxa"/>
            <w:vAlign w:val="bottom"/>
          </w:tcPr>
          <w:p>
            <w:pPr>
              <w:spacing w:after="0"/>
              <w:rPr>
                <w:sz w:val="17"/>
                <w:szCs w:val="17"/>
                <w:color w:val="auto"/>
              </w:rPr>
            </w:pPr>
          </w:p>
        </w:tc>
      </w:tr>
      <w:tr>
        <w:trPr>
          <w:trHeight w:val="203"/>
        </w:trPr>
        <w:tc>
          <w:tcPr>
            <w:tcW w:w="480" w:type="dxa"/>
            <w:vAlign w:val="bottom"/>
            <w:shd w:val="clear" w:color="auto" w:fill="CFF0FC"/>
          </w:tcPr>
          <w:p>
            <w:pPr>
              <w:spacing w:after="0"/>
              <w:rPr>
                <w:sz w:val="20"/>
                <w:szCs w:val="20"/>
                <w:color w:val="auto"/>
              </w:rPr>
            </w:pPr>
            <w:r>
              <w:rPr>
                <w:rFonts w:ascii="Arial" w:cs="Arial" w:eastAsia="Arial" w:hAnsi="Arial"/>
                <w:sz w:val="16"/>
                <w:szCs w:val="16"/>
                <w:color w:val="auto"/>
              </w:rPr>
              <w:t>0.25%</w:t>
            </w:r>
          </w:p>
        </w:tc>
        <w:tc>
          <w:tcPr>
            <w:tcW w:w="4680" w:type="dxa"/>
            <w:vAlign w:val="bottom"/>
            <w:shd w:val="clear" w:color="auto" w:fill="CFF0FC"/>
          </w:tcPr>
          <w:p>
            <w:pPr>
              <w:ind w:left="40"/>
              <w:spacing w:after="0"/>
              <w:rPr>
                <w:sz w:val="20"/>
                <w:szCs w:val="20"/>
                <w:color w:val="auto"/>
              </w:rPr>
            </w:pPr>
            <w:r>
              <w:rPr>
                <w:rFonts w:ascii="Arial" w:cs="Arial" w:eastAsia="Arial" w:hAnsi="Arial"/>
                <w:sz w:val="16"/>
                <w:szCs w:val="16"/>
                <w:color w:val="auto"/>
              </w:rPr>
              <w:t>Notes due 2027</w:t>
            </w:r>
          </w:p>
        </w:tc>
        <w:tc>
          <w:tcPr>
            <w:tcW w:w="25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860</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1,013</w:t>
            </w:r>
          </w:p>
        </w:tc>
        <w:tc>
          <w:tcPr>
            <w:tcW w:w="120" w:type="dxa"/>
            <w:vAlign w:val="bottom"/>
            <w:shd w:val="clear" w:color="auto" w:fill="CFF0FC"/>
          </w:tcPr>
          <w:p>
            <w:pPr>
              <w:spacing w:after="0"/>
              <w:rPr>
                <w:sz w:val="17"/>
                <w:szCs w:val="17"/>
                <w:color w:val="auto"/>
              </w:rPr>
            </w:pPr>
          </w:p>
        </w:tc>
      </w:tr>
      <w:tr>
        <w:trPr>
          <w:trHeight w:val="203"/>
        </w:trPr>
        <w:tc>
          <w:tcPr>
            <w:tcW w:w="480" w:type="dxa"/>
            <w:vAlign w:val="bottom"/>
          </w:tcPr>
          <w:p>
            <w:pPr>
              <w:spacing w:after="0"/>
              <w:rPr>
                <w:sz w:val="20"/>
                <w:szCs w:val="20"/>
                <w:color w:val="auto"/>
              </w:rPr>
            </w:pPr>
            <w:r>
              <w:rPr>
                <w:rFonts w:ascii="Arial" w:cs="Arial" w:eastAsia="Arial" w:hAnsi="Arial"/>
                <w:sz w:val="16"/>
                <w:szCs w:val="16"/>
                <w:color w:val="auto"/>
              </w:rPr>
              <w:t>0.50%</w:t>
            </w:r>
          </w:p>
        </w:tc>
        <w:tc>
          <w:tcPr>
            <w:tcW w:w="4680" w:type="dxa"/>
            <w:vAlign w:val="bottom"/>
          </w:tcPr>
          <w:p>
            <w:pPr>
              <w:ind w:left="40"/>
              <w:spacing w:after="0"/>
              <w:rPr>
                <w:sz w:val="20"/>
                <w:szCs w:val="20"/>
                <w:color w:val="auto"/>
              </w:rPr>
            </w:pPr>
            <w:r>
              <w:rPr>
                <w:rFonts w:ascii="Arial" w:cs="Arial" w:eastAsia="Arial" w:hAnsi="Arial"/>
                <w:sz w:val="16"/>
                <w:szCs w:val="16"/>
                <w:color w:val="auto"/>
              </w:rPr>
              <w:t>Notes due 2031</w:t>
            </w:r>
          </w:p>
        </w:tc>
        <w:tc>
          <w:tcPr>
            <w:tcW w:w="2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858</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1,012</w:t>
            </w:r>
          </w:p>
        </w:tc>
        <w:tc>
          <w:tcPr>
            <w:tcW w:w="120" w:type="dxa"/>
            <w:vAlign w:val="bottom"/>
          </w:tcPr>
          <w:p>
            <w:pPr>
              <w:spacing w:after="0"/>
              <w:rPr>
                <w:sz w:val="17"/>
                <w:szCs w:val="17"/>
                <w:color w:val="auto"/>
              </w:rPr>
            </w:pPr>
          </w:p>
        </w:tc>
      </w:tr>
      <w:tr>
        <w:trPr>
          <w:trHeight w:val="203"/>
        </w:trPr>
        <w:tc>
          <w:tcPr>
            <w:tcW w:w="480" w:type="dxa"/>
            <w:vAlign w:val="bottom"/>
            <w:shd w:val="clear" w:color="auto" w:fill="CFF0FC"/>
          </w:tcPr>
          <w:p>
            <w:pPr>
              <w:spacing w:after="0"/>
              <w:rPr>
                <w:sz w:val="20"/>
                <w:szCs w:val="20"/>
                <w:color w:val="auto"/>
              </w:rPr>
            </w:pPr>
            <w:r>
              <w:rPr>
                <w:rFonts w:ascii="Arial" w:cs="Arial" w:eastAsia="Arial" w:hAnsi="Arial"/>
                <w:sz w:val="16"/>
                <w:szCs w:val="16"/>
                <w:color w:val="auto"/>
              </w:rPr>
              <w:t>4.30%</w:t>
            </w:r>
          </w:p>
        </w:tc>
        <w:tc>
          <w:tcPr>
            <w:tcW w:w="4680" w:type="dxa"/>
            <w:vAlign w:val="bottom"/>
            <w:shd w:val="clear" w:color="auto" w:fill="CFF0FC"/>
          </w:tcPr>
          <w:p>
            <w:pPr>
              <w:ind w:left="40"/>
              <w:spacing w:after="0"/>
              <w:rPr>
                <w:sz w:val="20"/>
                <w:szCs w:val="20"/>
                <w:color w:val="auto"/>
              </w:rPr>
            </w:pPr>
            <w:r>
              <w:rPr>
                <w:rFonts w:ascii="Arial" w:cs="Arial" w:eastAsia="Arial" w:hAnsi="Arial"/>
                <w:sz w:val="16"/>
                <w:szCs w:val="16"/>
                <w:color w:val="auto"/>
              </w:rPr>
              <w:t>Senior Notes due 2029</w:t>
            </w:r>
          </w:p>
        </w:tc>
        <w:tc>
          <w:tcPr>
            <w:tcW w:w="25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846</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846</w:t>
            </w:r>
          </w:p>
        </w:tc>
        <w:tc>
          <w:tcPr>
            <w:tcW w:w="120" w:type="dxa"/>
            <w:vAlign w:val="bottom"/>
            <w:shd w:val="clear" w:color="auto" w:fill="CFF0FC"/>
          </w:tcPr>
          <w:p>
            <w:pPr>
              <w:spacing w:after="0"/>
              <w:rPr>
                <w:sz w:val="17"/>
                <w:szCs w:val="17"/>
                <w:color w:val="auto"/>
              </w:rPr>
            </w:pPr>
          </w:p>
        </w:tc>
      </w:tr>
      <w:tr>
        <w:trPr>
          <w:trHeight w:val="203"/>
        </w:trPr>
        <w:tc>
          <w:tcPr>
            <w:tcW w:w="480" w:type="dxa"/>
            <w:vAlign w:val="bottom"/>
          </w:tcPr>
          <w:p>
            <w:pPr>
              <w:spacing w:after="0"/>
              <w:rPr>
                <w:sz w:val="20"/>
                <w:szCs w:val="20"/>
                <w:color w:val="auto"/>
              </w:rPr>
            </w:pPr>
            <w:r>
              <w:rPr>
                <w:rFonts w:ascii="Arial" w:cs="Arial" w:eastAsia="Arial" w:hAnsi="Arial"/>
                <w:sz w:val="16"/>
                <w:szCs w:val="16"/>
                <w:color w:val="auto"/>
              </w:rPr>
              <w:t>3.75%</w:t>
            </w:r>
          </w:p>
        </w:tc>
        <w:tc>
          <w:tcPr>
            <w:tcW w:w="4680" w:type="dxa"/>
            <w:vAlign w:val="bottom"/>
          </w:tcPr>
          <w:p>
            <w:pPr>
              <w:ind w:left="40"/>
              <w:spacing w:after="0"/>
              <w:rPr>
                <w:sz w:val="20"/>
                <w:szCs w:val="20"/>
                <w:color w:val="auto"/>
              </w:rPr>
            </w:pPr>
            <w:r>
              <w:rPr>
                <w:rFonts w:ascii="Arial" w:cs="Arial" w:eastAsia="Arial" w:hAnsi="Arial"/>
                <w:sz w:val="16"/>
                <w:szCs w:val="16"/>
                <w:color w:val="auto"/>
              </w:rPr>
              <w:t>Senior Notes due 2024</w:t>
            </w:r>
          </w:p>
        </w:tc>
        <w:tc>
          <w:tcPr>
            <w:tcW w:w="2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749</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748</w:t>
            </w:r>
          </w:p>
        </w:tc>
        <w:tc>
          <w:tcPr>
            <w:tcW w:w="120" w:type="dxa"/>
            <w:vAlign w:val="bottom"/>
          </w:tcPr>
          <w:p>
            <w:pPr>
              <w:spacing w:after="0"/>
              <w:rPr>
                <w:sz w:val="17"/>
                <w:szCs w:val="17"/>
                <w:color w:val="auto"/>
              </w:rPr>
            </w:pPr>
          </w:p>
        </w:tc>
      </w:tr>
      <w:tr>
        <w:trPr>
          <w:trHeight w:val="203"/>
        </w:trPr>
        <w:tc>
          <w:tcPr>
            <w:tcW w:w="480" w:type="dxa"/>
            <w:vAlign w:val="bottom"/>
            <w:shd w:val="clear" w:color="auto" w:fill="CFF0FC"/>
          </w:tcPr>
          <w:p>
            <w:pPr>
              <w:spacing w:after="0"/>
              <w:rPr>
                <w:sz w:val="20"/>
                <w:szCs w:val="20"/>
                <w:color w:val="auto"/>
              </w:rPr>
            </w:pPr>
            <w:r>
              <w:rPr>
                <w:rFonts w:ascii="Arial" w:cs="Arial" w:eastAsia="Arial" w:hAnsi="Arial"/>
                <w:sz w:val="16"/>
                <w:szCs w:val="16"/>
                <w:color w:val="auto"/>
              </w:rPr>
              <w:t>1.00%</w:t>
            </w:r>
          </w:p>
        </w:tc>
        <w:tc>
          <w:tcPr>
            <w:tcW w:w="4680" w:type="dxa"/>
            <w:vAlign w:val="bottom"/>
            <w:shd w:val="clear" w:color="auto" w:fill="CFF0FC"/>
          </w:tcPr>
          <w:p>
            <w:pPr>
              <w:ind w:left="40"/>
              <w:spacing w:after="0"/>
              <w:rPr>
                <w:sz w:val="20"/>
                <w:szCs w:val="20"/>
                <w:color w:val="auto"/>
              </w:rPr>
            </w:pPr>
            <w:r>
              <w:rPr>
                <w:rFonts w:ascii="Arial" w:cs="Arial" w:eastAsia="Arial" w:hAnsi="Arial"/>
                <w:sz w:val="16"/>
                <w:szCs w:val="16"/>
                <w:color w:val="auto"/>
              </w:rPr>
              <w:t>Guaranteed Notes due 2026</w:t>
            </w:r>
          </w:p>
        </w:tc>
        <w:tc>
          <w:tcPr>
            <w:tcW w:w="25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572</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679</w:t>
            </w:r>
          </w:p>
        </w:tc>
        <w:tc>
          <w:tcPr>
            <w:tcW w:w="120" w:type="dxa"/>
            <w:vAlign w:val="bottom"/>
            <w:shd w:val="clear" w:color="auto" w:fill="CFF0FC"/>
          </w:tcPr>
          <w:p>
            <w:pPr>
              <w:spacing w:after="0"/>
              <w:rPr>
                <w:sz w:val="17"/>
                <w:szCs w:val="17"/>
                <w:color w:val="auto"/>
              </w:rPr>
            </w:pPr>
          </w:p>
        </w:tc>
      </w:tr>
      <w:tr>
        <w:trPr>
          <w:trHeight w:val="203"/>
        </w:trPr>
        <w:tc>
          <w:tcPr>
            <w:tcW w:w="480" w:type="dxa"/>
            <w:vAlign w:val="bottom"/>
          </w:tcPr>
          <w:p>
            <w:pPr>
              <w:spacing w:after="0"/>
              <w:rPr>
                <w:sz w:val="20"/>
                <w:szCs w:val="20"/>
                <w:color w:val="auto"/>
              </w:rPr>
            </w:pPr>
            <w:r>
              <w:rPr>
                <w:rFonts w:ascii="Arial" w:cs="Arial" w:eastAsia="Arial" w:hAnsi="Arial"/>
                <w:sz w:val="16"/>
                <w:szCs w:val="16"/>
                <w:color w:val="auto"/>
              </w:rPr>
              <w:t>1.40%</w:t>
            </w:r>
          </w:p>
        </w:tc>
        <w:tc>
          <w:tcPr>
            <w:tcW w:w="4680" w:type="dxa"/>
            <w:vAlign w:val="bottom"/>
          </w:tcPr>
          <w:p>
            <w:pPr>
              <w:ind w:left="40"/>
              <w:spacing w:after="0"/>
              <w:rPr>
                <w:sz w:val="20"/>
                <w:szCs w:val="20"/>
                <w:color w:val="auto"/>
              </w:rPr>
            </w:pPr>
            <w:r>
              <w:rPr>
                <w:rFonts w:ascii="Arial" w:cs="Arial" w:eastAsia="Arial" w:hAnsi="Arial"/>
                <w:sz w:val="16"/>
                <w:szCs w:val="16"/>
                <w:color w:val="auto"/>
              </w:rPr>
              <w:t>Senior Notes due 2025</w:t>
            </w:r>
          </w:p>
        </w:tc>
        <w:tc>
          <w:tcPr>
            <w:tcW w:w="2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499</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498</w:t>
            </w:r>
          </w:p>
        </w:tc>
        <w:tc>
          <w:tcPr>
            <w:tcW w:w="120" w:type="dxa"/>
            <w:vAlign w:val="bottom"/>
          </w:tcPr>
          <w:p>
            <w:pPr>
              <w:spacing w:after="0"/>
              <w:rPr>
                <w:sz w:val="17"/>
                <w:szCs w:val="17"/>
                <w:color w:val="auto"/>
              </w:rPr>
            </w:pPr>
          </w:p>
        </w:tc>
      </w:tr>
      <w:tr>
        <w:trPr>
          <w:trHeight w:val="203"/>
        </w:trPr>
        <w:tc>
          <w:tcPr>
            <w:tcW w:w="480" w:type="dxa"/>
            <w:vAlign w:val="bottom"/>
            <w:shd w:val="clear" w:color="auto" w:fill="CFF0FC"/>
          </w:tcPr>
          <w:p>
            <w:pPr>
              <w:spacing w:after="0"/>
              <w:rPr>
                <w:sz w:val="20"/>
                <w:szCs w:val="20"/>
                <w:color w:val="auto"/>
              </w:rPr>
            </w:pPr>
            <w:r>
              <w:rPr>
                <w:rFonts w:ascii="Arial" w:cs="Arial" w:eastAsia="Arial" w:hAnsi="Arial"/>
                <w:sz w:val="16"/>
                <w:szCs w:val="16"/>
                <w:color w:val="auto"/>
              </w:rPr>
              <w:t>0.00%</w:t>
            </w:r>
          </w:p>
        </w:tc>
        <w:tc>
          <w:tcPr>
            <w:tcW w:w="4680" w:type="dxa"/>
            <w:vAlign w:val="bottom"/>
            <w:shd w:val="clear" w:color="auto" w:fill="CFF0FC"/>
          </w:tcPr>
          <w:p>
            <w:pPr>
              <w:ind w:left="40"/>
              <w:spacing w:after="0"/>
              <w:rPr>
                <w:sz w:val="20"/>
                <w:szCs w:val="20"/>
                <w:color w:val="auto"/>
              </w:rPr>
            </w:pPr>
            <w:r>
              <w:rPr>
                <w:rFonts w:ascii="Arial" w:cs="Arial" w:eastAsia="Arial" w:hAnsi="Arial"/>
                <w:sz w:val="16"/>
                <w:szCs w:val="16"/>
                <w:color w:val="auto"/>
              </w:rPr>
              <w:t>Notes due 2024</w:t>
            </w:r>
          </w:p>
        </w:tc>
        <w:tc>
          <w:tcPr>
            <w:tcW w:w="25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478</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563</w:t>
            </w:r>
          </w:p>
        </w:tc>
        <w:tc>
          <w:tcPr>
            <w:tcW w:w="120" w:type="dxa"/>
            <w:vAlign w:val="bottom"/>
            <w:shd w:val="clear" w:color="auto" w:fill="CFF0FC"/>
          </w:tcPr>
          <w:p>
            <w:pPr>
              <w:spacing w:after="0"/>
              <w:rPr>
                <w:sz w:val="17"/>
                <w:szCs w:val="17"/>
                <w:color w:val="auto"/>
              </w:rPr>
            </w:pPr>
          </w:p>
        </w:tc>
      </w:tr>
      <w:tr>
        <w:trPr>
          <w:trHeight w:val="203"/>
        </w:trPr>
        <w:tc>
          <w:tcPr>
            <w:tcW w:w="480" w:type="dxa"/>
            <w:vAlign w:val="bottom"/>
          </w:tcPr>
          <w:p>
            <w:pPr>
              <w:spacing w:after="0"/>
              <w:rPr>
                <w:sz w:val="20"/>
                <w:szCs w:val="20"/>
                <w:color w:val="auto"/>
              </w:rPr>
            </w:pPr>
            <w:r>
              <w:rPr>
                <w:rFonts w:ascii="Arial" w:cs="Arial" w:eastAsia="Arial" w:hAnsi="Arial"/>
                <w:sz w:val="16"/>
                <w:szCs w:val="16"/>
                <w:color w:val="auto"/>
              </w:rPr>
              <w:t>7.00%</w:t>
            </w:r>
          </w:p>
        </w:tc>
        <w:tc>
          <w:tcPr>
            <w:tcW w:w="4680" w:type="dxa"/>
            <w:vAlign w:val="bottom"/>
          </w:tcPr>
          <w:p>
            <w:pPr>
              <w:ind w:left="40"/>
              <w:spacing w:after="0"/>
              <w:rPr>
                <w:sz w:val="20"/>
                <w:szCs w:val="20"/>
                <w:color w:val="auto"/>
              </w:rPr>
            </w:pPr>
            <w:r>
              <w:rPr>
                <w:rFonts w:ascii="Arial" w:cs="Arial" w:eastAsia="Arial" w:hAnsi="Arial"/>
                <w:sz w:val="16"/>
                <w:szCs w:val="16"/>
                <w:color w:val="auto"/>
              </w:rPr>
              <w:t>Notes due 2038</w:t>
            </w:r>
          </w:p>
        </w:tc>
        <w:tc>
          <w:tcPr>
            <w:tcW w:w="2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202</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17"/>
                <w:szCs w:val="17"/>
                <w:color w:val="auto"/>
              </w:rPr>
            </w:pPr>
          </w:p>
        </w:tc>
      </w:tr>
      <w:tr>
        <w:trPr>
          <w:trHeight w:val="203"/>
        </w:trPr>
        <w:tc>
          <w:tcPr>
            <w:tcW w:w="480" w:type="dxa"/>
            <w:vAlign w:val="bottom"/>
            <w:shd w:val="clear" w:color="auto" w:fill="CFF0FC"/>
          </w:tcPr>
          <w:p>
            <w:pPr>
              <w:spacing w:after="0"/>
              <w:rPr>
                <w:sz w:val="20"/>
                <w:szCs w:val="20"/>
                <w:color w:val="auto"/>
              </w:rPr>
            </w:pPr>
            <w:r>
              <w:rPr>
                <w:rFonts w:ascii="Arial" w:cs="Arial" w:eastAsia="Arial" w:hAnsi="Arial"/>
                <w:sz w:val="16"/>
                <w:szCs w:val="16"/>
                <w:color w:val="auto"/>
              </w:rPr>
              <w:t>5.95%</w:t>
            </w:r>
          </w:p>
        </w:tc>
        <w:tc>
          <w:tcPr>
            <w:tcW w:w="4680" w:type="dxa"/>
            <w:vAlign w:val="bottom"/>
            <w:shd w:val="clear" w:color="auto" w:fill="CFF0FC"/>
          </w:tcPr>
          <w:p>
            <w:pPr>
              <w:ind w:left="40"/>
              <w:spacing w:after="0"/>
              <w:rPr>
                <w:sz w:val="20"/>
                <w:szCs w:val="20"/>
                <w:color w:val="auto"/>
              </w:rPr>
            </w:pPr>
            <w:r>
              <w:rPr>
                <w:rFonts w:ascii="Arial" w:cs="Arial" w:eastAsia="Arial" w:hAnsi="Arial"/>
                <w:sz w:val="16"/>
                <w:szCs w:val="16"/>
                <w:color w:val="auto"/>
              </w:rPr>
              <w:t>Notes due 2041</w:t>
            </w:r>
          </w:p>
        </w:tc>
        <w:tc>
          <w:tcPr>
            <w:tcW w:w="25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113</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w:t>
            </w:r>
          </w:p>
        </w:tc>
        <w:tc>
          <w:tcPr>
            <w:tcW w:w="120" w:type="dxa"/>
            <w:vAlign w:val="bottom"/>
            <w:shd w:val="clear" w:color="auto" w:fill="CFF0FC"/>
          </w:tcPr>
          <w:p>
            <w:pPr>
              <w:spacing w:after="0"/>
              <w:rPr>
                <w:sz w:val="17"/>
                <w:szCs w:val="17"/>
                <w:color w:val="auto"/>
              </w:rPr>
            </w:pPr>
          </w:p>
        </w:tc>
      </w:tr>
      <w:tr>
        <w:trPr>
          <w:trHeight w:val="203"/>
        </w:trPr>
        <w:tc>
          <w:tcPr>
            <w:tcW w:w="480" w:type="dxa"/>
            <w:vAlign w:val="bottom"/>
          </w:tcPr>
          <w:p>
            <w:pPr>
              <w:spacing w:after="0"/>
              <w:rPr>
                <w:sz w:val="20"/>
                <w:szCs w:val="20"/>
                <w:color w:val="auto"/>
              </w:rPr>
            </w:pPr>
            <w:r>
              <w:rPr>
                <w:rFonts w:ascii="Arial" w:cs="Arial" w:eastAsia="Arial" w:hAnsi="Arial"/>
                <w:sz w:val="16"/>
                <w:szCs w:val="16"/>
                <w:color w:val="auto"/>
              </w:rPr>
              <w:t>5.13%</w:t>
            </w:r>
          </w:p>
        </w:tc>
        <w:tc>
          <w:tcPr>
            <w:tcW w:w="4680" w:type="dxa"/>
            <w:vAlign w:val="bottom"/>
          </w:tcPr>
          <w:p>
            <w:pPr>
              <w:ind w:left="40"/>
              <w:spacing w:after="0"/>
              <w:rPr>
                <w:sz w:val="20"/>
                <w:szCs w:val="20"/>
                <w:color w:val="auto"/>
              </w:rPr>
            </w:pPr>
            <w:r>
              <w:rPr>
                <w:rFonts w:ascii="Arial" w:cs="Arial" w:eastAsia="Arial" w:hAnsi="Arial"/>
                <w:sz w:val="16"/>
                <w:szCs w:val="16"/>
                <w:color w:val="auto"/>
              </w:rPr>
              <w:t>Notes due 2043</w:t>
            </w:r>
          </w:p>
        </w:tc>
        <w:tc>
          <w:tcPr>
            <w:tcW w:w="2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98</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7"/>
                <w:szCs w:val="17"/>
                <w:color w:val="auto"/>
              </w:rPr>
            </w:pPr>
          </w:p>
        </w:tc>
      </w:tr>
      <w:tr>
        <w:trPr>
          <w:trHeight w:val="202"/>
        </w:trPr>
        <w:tc>
          <w:tcPr>
            <w:tcW w:w="480" w:type="dxa"/>
            <w:vAlign w:val="bottom"/>
            <w:shd w:val="clear" w:color="auto" w:fill="CFF0FC"/>
          </w:tcPr>
          <w:p>
            <w:pPr>
              <w:spacing w:after="0"/>
              <w:rPr>
                <w:sz w:val="20"/>
                <w:szCs w:val="20"/>
                <w:color w:val="auto"/>
              </w:rPr>
            </w:pPr>
            <w:r>
              <w:rPr>
                <w:rFonts w:ascii="Arial" w:cs="Arial" w:eastAsia="Arial" w:hAnsi="Arial"/>
                <w:sz w:val="16"/>
                <w:szCs w:val="16"/>
                <w:color w:val="auto"/>
              </w:rPr>
              <w:t>4.00%</w:t>
            </w:r>
          </w:p>
        </w:tc>
        <w:tc>
          <w:tcPr>
            <w:tcW w:w="4680" w:type="dxa"/>
            <w:vAlign w:val="bottom"/>
            <w:shd w:val="clear" w:color="auto" w:fill="CFF0FC"/>
          </w:tcPr>
          <w:p>
            <w:pPr>
              <w:ind w:left="40"/>
              <w:spacing w:after="0"/>
              <w:rPr>
                <w:sz w:val="20"/>
                <w:szCs w:val="20"/>
                <w:color w:val="auto"/>
              </w:rPr>
            </w:pPr>
            <w:r>
              <w:rPr>
                <w:rFonts w:ascii="Arial" w:cs="Arial" w:eastAsia="Arial" w:hAnsi="Arial"/>
                <w:sz w:val="16"/>
                <w:szCs w:val="16"/>
                <w:color w:val="auto"/>
              </w:rPr>
              <w:t>Notes due 2023</w:t>
            </w:r>
          </w:p>
        </w:tc>
        <w:tc>
          <w:tcPr>
            <w:tcW w:w="25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79</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FF0FC"/>
          </w:tcPr>
          <w:p>
            <w:pPr>
              <w:spacing w:after="0"/>
              <w:rPr>
                <w:sz w:val="17"/>
                <w:szCs w:val="17"/>
                <w:color w:val="auto"/>
              </w:rPr>
            </w:pPr>
          </w:p>
        </w:tc>
      </w:tr>
      <w:tr>
        <w:trPr>
          <w:trHeight w:val="203"/>
        </w:trPr>
        <w:tc>
          <w:tcPr>
            <w:tcW w:w="4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3.70%</w:t>
            </w:r>
          </w:p>
        </w:tc>
        <w:tc>
          <w:tcPr>
            <w:tcW w:w="4680" w:type="dxa"/>
            <w:vAlign w:val="bottom"/>
            <w:tcBorders>
              <w:bottom w:val="single" w:sz="8" w:color="CFF0FC"/>
            </w:tcBorders>
          </w:tcPr>
          <w:p>
            <w:pPr>
              <w:ind w:left="40"/>
              <w:spacing w:after="0"/>
              <w:rPr>
                <w:sz w:val="20"/>
                <w:szCs w:val="20"/>
                <w:color w:val="auto"/>
              </w:rPr>
            </w:pPr>
            <w:r>
              <w:rPr>
                <w:rFonts w:ascii="Arial" w:cs="Arial" w:eastAsia="Arial" w:hAnsi="Arial"/>
                <w:sz w:val="16"/>
                <w:szCs w:val="16"/>
                <w:color w:val="auto"/>
              </w:rPr>
              <w:t>Notes due 2024</w:t>
            </w:r>
          </w:p>
        </w:tc>
        <w:tc>
          <w:tcPr>
            <w:tcW w:w="252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w:t>
            </w:r>
          </w:p>
        </w:tc>
        <w:tc>
          <w:tcPr>
            <w:tcW w:w="28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FF0FC"/>
            </w:tcBorders>
          </w:tcPr>
          <w:p>
            <w:pPr>
              <w:spacing w:after="0"/>
              <w:rPr>
                <w:sz w:val="17"/>
                <w:szCs w:val="17"/>
                <w:color w:val="auto"/>
              </w:rPr>
            </w:pPr>
          </w:p>
        </w:tc>
      </w:tr>
      <w:tr>
        <w:trPr>
          <w:trHeight w:val="196"/>
        </w:trPr>
        <w:tc>
          <w:tcPr>
            <w:tcW w:w="480" w:type="dxa"/>
            <w:vAlign w:val="bottom"/>
            <w:tcBorders>
              <w:bottom w:val="single" w:sz="8" w:color="CFF0FC"/>
            </w:tcBorders>
            <w:shd w:val="clear" w:color="auto" w:fill="CFF0FC"/>
          </w:tcPr>
          <w:p>
            <w:pPr>
              <w:spacing w:after="0"/>
              <w:rPr>
                <w:sz w:val="17"/>
                <w:szCs w:val="17"/>
                <w:color w:val="auto"/>
              </w:rPr>
            </w:pPr>
          </w:p>
        </w:tc>
        <w:tc>
          <w:tcPr>
            <w:tcW w:w="4680" w:type="dxa"/>
            <w:vAlign w:val="bottom"/>
            <w:tcBorders>
              <w:bottom w:val="single" w:sz="8" w:color="CFF0FC"/>
            </w:tcBorders>
            <w:shd w:val="clear" w:color="auto" w:fill="CFF0FC"/>
          </w:tcPr>
          <w:p>
            <w:pPr>
              <w:spacing w:after="0"/>
              <w:rPr>
                <w:sz w:val="17"/>
                <w:szCs w:val="17"/>
                <w:color w:val="auto"/>
              </w:rPr>
            </w:pPr>
          </w:p>
        </w:tc>
        <w:tc>
          <w:tcPr>
            <w:tcW w:w="25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12,452</w:t>
            </w:r>
          </w:p>
        </w:tc>
        <w:tc>
          <w:tcPr>
            <w:tcW w:w="2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13,286</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The estimated fair value of Schlumberger’s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based on quoted market prices at September 30, 2022 and December 31, 2021, was $11.2 billion and $13.9 billion, respectively.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11" w:name="page12"/>
    <w:bookmarkEnd w:id="11"/>
    <w:p>
      <w:pPr>
        <w:jc w:val="both"/>
        <w:spacing w:after="0" w:line="286" w:lineRule="auto"/>
        <w:rPr>
          <w:sz w:val="20"/>
          <w:szCs w:val="20"/>
          <w:color w:val="auto"/>
        </w:rPr>
      </w:pPr>
      <w:r>
        <w:rPr>
          <w:rFonts w:ascii="Arial" w:cs="Arial" w:eastAsia="Arial" w:hAnsi="Arial"/>
          <w:sz w:val="16"/>
          <w:szCs w:val="16"/>
          <w:color w:val="auto"/>
        </w:rPr>
        <w:t>Schlumberger has a €750 million three-year committed revolving credit facility maturing in June 2024. At September 30, 2022 no amounts had been drawn under this facility.</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addition to the revolving credit facility described above, at September 30, 2022, Schlumberger had committed credit facility agreements aggregating $5.75 billion with commercial banks, all of which was available and unused. These committed facilities support commercial paper programs in the United States and Europe, of which $0.75 billion matures in February 2024, $2.0 billion matures in February 2025, $1.0 billion matures in July 2026 and $2.0 billion matures in February 2027. Interest rates and other terms of borrowing under these lines of credit vary by facility.</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There were no borrowings under the commercial paper programs at September 30, 2022 and December 31, 2021.</w:t>
      </w:r>
    </w:p>
    <w:p>
      <w:pPr>
        <w:spacing w:after="0" w:line="2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Schlumberger Limited fully and unconditionally guarantees the securities issued by certain of its subsidiaries, including securities issued by Schlumberger Investment SA and Schlumberger Finance Canada Ltd., both wholly-owned subsidiaries of Schlumberger.</w:t>
      </w:r>
    </w:p>
    <w:p>
      <w:pPr>
        <w:spacing w:after="0" w:line="156" w:lineRule="exact"/>
        <w:rPr>
          <w:sz w:val="20"/>
          <w:szCs w:val="20"/>
          <w:color w:val="auto"/>
        </w:rPr>
      </w:pPr>
    </w:p>
    <w:p>
      <w:pPr>
        <w:ind w:left="280" w:hanging="272"/>
        <w:spacing w:after="0"/>
        <w:tabs>
          <w:tab w:leader="none" w:pos="28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Derivative Instruments and Hedging Activities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As a multinational company, Schlumberger conducts its business in over 120 countries. Schlumberger’s functional currency is primarily the US dollar.</w:t>
      </w:r>
    </w:p>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 xml:space="preserve">Schlumberger is exposed to risks on future cash flows to the extent that the local currency is not the functional currency and expenses denominated in local currency are not equal to revenues denominated in local currency. Schlumberger uses foreign currency forward contracts to provide a hedge against a portion of these cash flow risks. These contracts are accounted for as cash flow hedges, with the changes in the fair value of the hedge recorded on the </w:t>
      </w:r>
      <w:r>
        <w:rPr>
          <w:rFonts w:ascii="Arial" w:cs="Arial" w:eastAsia="Arial" w:hAnsi="Arial"/>
          <w:sz w:val="16"/>
          <w:szCs w:val="16"/>
          <w:i w:val="1"/>
          <w:iCs w:val="1"/>
          <w:color w:val="auto"/>
        </w:rPr>
        <w:t xml:space="preserve">Consolidated Balance Sheet </w:t>
      </w:r>
      <w:r>
        <w:rPr>
          <w:rFonts w:ascii="Arial" w:cs="Arial" w:eastAsia="Arial" w:hAnsi="Arial"/>
          <w:sz w:val="16"/>
          <w:szCs w:val="16"/>
          <w:color w:val="auto"/>
        </w:rPr>
        <w:t>and in</w:t>
      </w:r>
      <w:r>
        <w:rPr>
          <w:rFonts w:ascii="Arial" w:cs="Arial" w:eastAsia="Arial" w:hAnsi="Arial"/>
          <w:sz w:val="16"/>
          <w:szCs w:val="16"/>
          <w:i w:val="1"/>
          <w:iCs w:val="1"/>
          <w:color w:val="auto"/>
        </w:rPr>
        <w:t xml:space="preserve"> Accumulated other comprehensive loss. </w:t>
      </w:r>
      <w:r>
        <w:rPr>
          <w:rFonts w:ascii="Arial" w:cs="Arial" w:eastAsia="Arial" w:hAnsi="Arial"/>
          <w:sz w:val="16"/>
          <w:szCs w:val="16"/>
          <w:color w:val="auto"/>
        </w:rPr>
        <w:t>Amounts recorded in</w:t>
      </w:r>
      <w:r>
        <w:rPr>
          <w:rFonts w:ascii="Arial" w:cs="Arial" w:eastAsia="Arial" w:hAnsi="Arial"/>
          <w:sz w:val="16"/>
          <w:szCs w:val="16"/>
          <w:i w:val="1"/>
          <w:iCs w:val="1"/>
          <w:color w:val="auto"/>
        </w:rPr>
        <w:t xml:space="preserve"> Accumulated other comprehensive loss </w:t>
      </w:r>
      <w:r>
        <w:rPr>
          <w:rFonts w:ascii="Arial" w:cs="Arial" w:eastAsia="Arial" w:hAnsi="Arial"/>
          <w:sz w:val="16"/>
          <w:szCs w:val="16"/>
          <w:color w:val="auto"/>
        </w:rPr>
        <w:t>are reclassified</w:t>
      </w:r>
      <w:r>
        <w:rPr>
          <w:rFonts w:ascii="Arial" w:cs="Arial" w:eastAsia="Arial" w:hAnsi="Arial"/>
          <w:sz w:val="16"/>
          <w:szCs w:val="16"/>
          <w:i w:val="1"/>
          <w:iCs w:val="1"/>
          <w:color w:val="auto"/>
        </w:rPr>
        <w:t xml:space="preserve"> </w:t>
      </w:r>
      <w:r>
        <w:rPr>
          <w:rFonts w:ascii="Arial" w:cs="Arial" w:eastAsia="Arial" w:hAnsi="Arial"/>
          <w:sz w:val="16"/>
          <w:szCs w:val="16"/>
          <w:color w:val="auto"/>
        </w:rPr>
        <w:t>into earnings in the same period or periods that the hedged item is recognized in earnings.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Schlumberger is exposed to risks on future cash flows relating to certain of its fixed rate debt denominated in currencies other than the functional currency. Schlumberger uses cross-currency swaps to provide a hedge against these cash flow risks. A summary of the fair value of the outstanding cross-currency swap derivatives, which was determined using a model with inputs that are observable in the market or can be derived or corroborated by observable data, included in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ind w:left="200"/>
              <w:spacing w:after="0"/>
              <w:rPr>
                <w:sz w:val="20"/>
                <w:szCs w:val="20"/>
                <w:color w:val="auto"/>
              </w:rPr>
            </w:pPr>
            <w:r>
              <w:rPr>
                <w:rFonts w:ascii="Arial" w:cs="Arial" w:eastAsia="Arial" w:hAnsi="Arial"/>
                <w:sz w:val="14"/>
                <w:szCs w:val="14"/>
                <w:i w:val="1"/>
                <w:iCs w:val="1"/>
                <w:color w:val="auto"/>
              </w:rPr>
              <w:t>(Stated in millions)</w:t>
            </w:r>
          </w:p>
        </w:tc>
      </w:tr>
      <w:tr>
        <w:trPr>
          <w:trHeight w:val="386"/>
        </w:trPr>
        <w:tc>
          <w:tcPr>
            <w:tcW w:w="45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right"/>
              <w:ind w:right="179"/>
              <w:spacing w:after="0"/>
              <w:rPr>
                <w:sz w:val="20"/>
                <w:szCs w:val="20"/>
                <w:color w:val="auto"/>
              </w:rPr>
            </w:pPr>
            <w:r>
              <w:rPr>
                <w:rFonts w:ascii="Arial" w:cs="Arial" w:eastAsia="Arial" w:hAnsi="Arial"/>
                <w:sz w:val="16"/>
                <w:szCs w:val="16"/>
                <w:b w:val="1"/>
                <w:bCs w:val="1"/>
                <w:color w:val="auto"/>
              </w:rPr>
              <w:t>Sept. 30, 2022</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ind w:left="100"/>
              <w:spacing w:after="0"/>
              <w:rPr>
                <w:sz w:val="20"/>
                <w:szCs w:val="20"/>
                <w:color w:val="auto"/>
              </w:rPr>
            </w:pPr>
            <w:r>
              <w:rPr>
                <w:rFonts w:ascii="Arial" w:cs="Arial" w:eastAsia="Arial" w:hAnsi="Arial"/>
                <w:sz w:val="16"/>
                <w:szCs w:val="16"/>
                <w:color w:val="auto"/>
              </w:rPr>
              <w:t>Dec. 31, 2021</w:t>
            </w:r>
          </w:p>
        </w:tc>
      </w:tr>
      <w:tr>
        <w:trPr>
          <w:trHeight w:val="196"/>
        </w:trPr>
        <w:tc>
          <w:tcPr>
            <w:tcW w:w="4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current assets</w:t>
            </w:r>
          </w:p>
        </w:tc>
        <w:tc>
          <w:tcPr>
            <w:tcW w:w="31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3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FF0FC"/>
            </w:tcBorders>
            <w:shd w:val="clear" w:color="auto" w:fill="CFF0FC"/>
          </w:tcPr>
          <w:p>
            <w:pPr>
              <w:spacing w:after="0"/>
              <w:rPr>
                <w:sz w:val="17"/>
                <w:szCs w:val="17"/>
                <w:color w:val="auto"/>
              </w:rPr>
            </w:pPr>
          </w:p>
        </w:tc>
      </w:tr>
      <w:tr>
        <w:trPr>
          <w:trHeight w:val="203"/>
        </w:trPr>
        <w:tc>
          <w:tcPr>
            <w:tcW w:w="4580" w:type="dxa"/>
            <w:vAlign w:val="bottom"/>
          </w:tcPr>
          <w:p>
            <w:pPr>
              <w:spacing w:after="0"/>
              <w:rPr>
                <w:sz w:val="20"/>
                <w:szCs w:val="20"/>
                <w:color w:val="auto"/>
              </w:rPr>
            </w:pPr>
            <w:r>
              <w:rPr>
                <w:rFonts w:ascii="Arial" w:cs="Arial" w:eastAsia="Arial" w:hAnsi="Arial"/>
                <w:sz w:val="16"/>
                <w:szCs w:val="16"/>
                <w:color w:val="auto"/>
              </w:rPr>
              <w:t>Other assets</w:t>
            </w:r>
          </w:p>
        </w:tc>
        <w:tc>
          <w:tcPr>
            <w:tcW w:w="3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10</w:t>
            </w:r>
          </w:p>
        </w:tc>
        <w:tc>
          <w:tcPr>
            <w:tcW w:w="48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7"/>
                <w:szCs w:val="17"/>
                <w:color w:val="auto"/>
              </w:rPr>
            </w:pPr>
          </w:p>
        </w:tc>
      </w:tr>
      <w:tr>
        <w:trPr>
          <w:trHeight w:val="203"/>
        </w:trPr>
        <w:tc>
          <w:tcPr>
            <w:tcW w:w="4580" w:type="dxa"/>
            <w:vAlign w:val="bottom"/>
            <w:shd w:val="clear" w:color="auto" w:fill="CFF0FC"/>
          </w:tcPr>
          <w:p>
            <w:pPr>
              <w:spacing w:after="0"/>
              <w:rPr>
                <w:sz w:val="20"/>
                <w:szCs w:val="20"/>
                <w:color w:val="auto"/>
              </w:rPr>
            </w:pPr>
            <w:r>
              <w:rPr>
                <w:rFonts w:ascii="Arial" w:cs="Arial" w:eastAsia="Arial" w:hAnsi="Arial"/>
                <w:sz w:val="16"/>
                <w:szCs w:val="16"/>
                <w:color w:val="auto"/>
              </w:rPr>
              <w:t>Other Liabilities</w:t>
            </w:r>
          </w:p>
        </w:tc>
        <w:tc>
          <w:tcPr>
            <w:tcW w:w="3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666</w:t>
            </w:r>
          </w:p>
        </w:tc>
        <w:tc>
          <w:tcPr>
            <w:tcW w:w="480" w:type="dxa"/>
            <w:vAlign w:val="bottom"/>
            <w:gridSpan w:val="2"/>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FF0FC"/>
          </w:tcPr>
          <w:p>
            <w:pPr>
              <w:spacing w:after="0"/>
              <w:rPr>
                <w:sz w:val="17"/>
                <w:szCs w:val="17"/>
                <w:color w:val="auto"/>
              </w:rPr>
            </w:pPr>
          </w:p>
        </w:tc>
      </w:tr>
    </w:tbl>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During 2019, a US-dollar functional currency subsidiary of Schlumberger issued €1.5 billion of Euro-denominated debt. Schlumberger entered into cross-currency swaps for an aggregate notional amount of €1.5 billion in order to hedge changes in the fair value of its €0.5 billion 0.00% Notes due 2024, €0.5 billion 0.25% Notes due 2027 and €0.5 billion 0.50% Notes due 2031. These cross-currency swaps effectively convert the Euro-denominated notes to US-dollar denominated debt with fixed annual interest rates of 2.29%, 2.51% and 2.76%, respectively.</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During 2020, a US-dollar functional currency subsidiary of Schlumberger issued €0.8 billion of Euro-denominated debt. Schlumberger entered into cross-currency swaps for an aggregate notional amount of €0.8 billion in order to hedge changes in the fair value of its €0.4 billion of 0.25% Notes due 2027 and €0.4 billion of 0.50% Notes due 2031. These cross-currency swaps effectively convert the Euro-denominated notes to US-dollar denominated debt with fixed annual interest rates of 1.87% and 2.20%, respectively.</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During 2020, a US-dollar functional currency subsidiary of Schlumberger issued €2.0 billion of Euro-denominated debt. Schlumberger entered into cross-currency swaps for an aggregate notional amount of €2.0 billion in order to hedge changes in the fair value of its €1.0 billion of 1.375% Guaranteed Notes due 2026 and €1.0 billion of 2.00% Guaranteed Notes due 2032. These cross-currency swaps effectively convert the Euro-denominated notes to US-dollar denominated debt with fixed annual interest rates of 2.77% and 3.49%, respectively.</w:t>
      </w:r>
    </w:p>
    <w:p>
      <w:pPr>
        <w:spacing w:after="0" w:line="16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During 2020, a Canadian dollar functional currency subsidiary of Schlumberger issued $0.5 billion of US dollar denominated debt. Schlumberger entered into cross-currency swaps for an aggregate notional amount of $0.5 billion in order to hedge changes in the fair value of its $0.5 billion 1.40% Senior Notes due 2025. These cross-currency swaps effectively convert the US dollar notes to Canadian dollar denominated debt with a fixed annual interest rate of 1.73%.</w:t>
      </w:r>
    </w:p>
    <w:p>
      <w:pPr>
        <w:spacing w:after="0" w:line="35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 xml:space="preserve">Schlumberger has entered into derivative contracts that hedge the price of oil related to approximately 75% of the projected oil production for all of 2022 and approximately 30% of the projected oil production for the first six months of 2023 for one of its Asset Performance Solutions ("APS") projects. These contracts are accounted for as cash flow hedges, with the changes in the fair value of the hedge recorded in </w:t>
      </w:r>
      <w:r>
        <w:rPr>
          <w:rFonts w:ascii="Arial" w:cs="Arial" w:eastAsia="Arial" w:hAnsi="Arial"/>
          <w:sz w:val="16"/>
          <w:szCs w:val="16"/>
          <w:i w:val="1"/>
          <w:iCs w:val="1"/>
          <w:color w:val="auto"/>
        </w:rPr>
        <w:t>Accumulated other comprehensive loss</w:t>
      </w:r>
      <w:r>
        <w:rPr>
          <w:rFonts w:ascii="Arial" w:cs="Arial" w:eastAsia="Arial" w:hAnsi="Arial"/>
          <w:sz w:val="16"/>
          <w:szCs w:val="16"/>
          <w:color w:val="auto"/>
        </w:rPr>
        <w:t xml:space="preserve">. Amounts recorded in </w:t>
      </w:r>
      <w:r>
        <w:rPr>
          <w:rFonts w:ascii="Arial" w:cs="Arial" w:eastAsia="Arial" w:hAnsi="Arial"/>
          <w:sz w:val="16"/>
          <w:szCs w:val="16"/>
          <w:i w:val="1"/>
          <w:iCs w:val="1"/>
          <w:color w:val="auto"/>
        </w:rPr>
        <w:t>Accumulated other comprehensive loss</w:t>
      </w:r>
      <w:r>
        <w:rPr>
          <w:rFonts w:ascii="Arial" w:cs="Arial" w:eastAsia="Arial" w:hAnsi="Arial"/>
          <w:sz w:val="16"/>
          <w:szCs w:val="16"/>
          <w:color w:val="auto"/>
        </w:rPr>
        <w:t xml:space="preserve"> are reclassified to earnings in the same period or periods that the hedged item is recognized in earnings. At September 30, 2022, included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jc w:val="both"/>
        <w:ind w:right="100"/>
        <w:spacing w:after="0" w:line="286" w:lineRule="auto"/>
        <w:rPr>
          <w:sz w:val="20"/>
          <w:szCs w:val="20"/>
          <w:color w:val="auto"/>
        </w:rPr>
      </w:pPr>
      <w:r>
        <w:rPr>
          <w:rFonts w:ascii="Arial" w:cs="Arial" w:eastAsia="Arial" w:hAnsi="Arial"/>
          <w:sz w:val="16"/>
          <w:szCs w:val="16"/>
          <w:color w:val="auto"/>
        </w:rPr>
        <w:t xml:space="preserve">in </w:t>
      </w:r>
      <w:r>
        <w:rPr>
          <w:rFonts w:ascii="Arial" w:cs="Arial" w:eastAsia="Arial" w:hAnsi="Arial"/>
          <w:sz w:val="16"/>
          <w:szCs w:val="16"/>
          <w:i w:val="1"/>
          <w:iCs w:val="1"/>
          <w:color w:val="auto"/>
        </w:rPr>
        <w:t>Other current assets</w:t>
      </w:r>
      <w:r>
        <w:rPr>
          <w:rFonts w:ascii="Arial" w:cs="Arial" w:eastAsia="Arial" w:hAnsi="Arial"/>
          <w:sz w:val="16"/>
          <w:szCs w:val="16"/>
          <w:color w:val="auto"/>
        </w:rPr>
        <w:t xml:space="preserve"> was $8 million and included in </w:t>
      </w:r>
      <w:r>
        <w:rPr>
          <w:rFonts w:ascii="Arial" w:cs="Arial" w:eastAsia="Arial" w:hAnsi="Arial"/>
          <w:sz w:val="16"/>
          <w:szCs w:val="16"/>
          <w:i w:val="1"/>
          <w:iCs w:val="1"/>
          <w:color w:val="auto"/>
        </w:rPr>
        <w:t>Accounts payable and accrued liabilities</w:t>
      </w:r>
      <w:r>
        <w:rPr>
          <w:rFonts w:ascii="Arial" w:cs="Arial" w:eastAsia="Arial" w:hAnsi="Arial"/>
          <w:sz w:val="16"/>
          <w:szCs w:val="16"/>
          <w:color w:val="auto"/>
        </w:rPr>
        <w:t xml:space="preserve"> was $6 million relating to the fair value of the outstanding commodity contracts.</w:t>
      </w:r>
    </w:p>
    <w:p>
      <w:pPr>
        <w:spacing w:after="0" w:line="156" w:lineRule="exact"/>
        <w:rPr>
          <w:sz w:val="20"/>
          <w:szCs w:val="20"/>
          <w:color w:val="auto"/>
        </w:rPr>
      </w:pPr>
    </w:p>
    <w:p>
      <w:pPr>
        <w:jc w:val="both"/>
        <w:ind w:right="100"/>
        <w:spacing w:after="0" w:line="259" w:lineRule="auto"/>
        <w:rPr>
          <w:sz w:val="20"/>
          <w:szCs w:val="20"/>
          <w:color w:val="auto"/>
        </w:rPr>
      </w:pPr>
      <w:r>
        <w:rPr>
          <w:rFonts w:ascii="Arial" w:cs="Arial" w:eastAsia="Arial" w:hAnsi="Arial"/>
          <w:sz w:val="16"/>
          <w:szCs w:val="16"/>
          <w:color w:val="auto"/>
        </w:rPr>
        <w:t xml:space="preserve">Schlumberger is exposed to changes in the fair value of assets and liabilities denominated in currencies other than the functional currency. While Schlumberger uses foreign currency forward contracts to economically hedge this exposure as it relates to certain currencies, these contracts are not designated as hedges for accounting purposes. Instead, the fair value of the contracts is recorded on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and changes in the fair value are recognized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as are changes in the fair value of the hedged item.</w:t>
      </w:r>
    </w:p>
    <w:p>
      <w:pPr>
        <w:spacing w:after="0" w:line="151" w:lineRule="exact"/>
        <w:rPr>
          <w:sz w:val="20"/>
          <w:szCs w:val="20"/>
          <w:color w:val="auto"/>
        </w:rPr>
      </w:pPr>
    </w:p>
    <w:p>
      <w:pPr>
        <w:jc w:val="both"/>
        <w:ind w:right="120"/>
        <w:spacing w:after="0" w:line="286" w:lineRule="auto"/>
        <w:rPr>
          <w:sz w:val="20"/>
          <w:szCs w:val="20"/>
          <w:color w:val="auto"/>
        </w:rPr>
      </w:pPr>
      <w:r>
        <w:rPr>
          <w:rFonts w:ascii="Arial" w:cs="Arial" w:eastAsia="Arial" w:hAnsi="Arial"/>
          <w:sz w:val="16"/>
          <w:szCs w:val="16"/>
          <w:color w:val="auto"/>
        </w:rPr>
        <w:t>At September 30, 2022, contracts were outstanding for the US dollar equivalent of $7.2 billion in various foreign currencies, of which $5.2 billion relates to hedges of debt denominated in currencies other than the functional currency.</w:t>
      </w:r>
    </w:p>
    <w:p>
      <w:pPr>
        <w:spacing w:after="0" w:line="142" w:lineRule="exact"/>
        <w:rPr>
          <w:sz w:val="20"/>
          <w:szCs w:val="20"/>
          <w:color w:val="auto"/>
        </w:rPr>
      </w:pPr>
    </w:p>
    <w:p>
      <w:pPr>
        <w:jc w:val="both"/>
        <w:ind w:right="100"/>
        <w:spacing w:after="0" w:line="286" w:lineRule="auto"/>
        <w:rPr>
          <w:sz w:val="20"/>
          <w:szCs w:val="20"/>
          <w:color w:val="auto"/>
        </w:rPr>
      </w:pPr>
      <w:r>
        <w:rPr>
          <w:rFonts w:ascii="Arial" w:cs="Arial" w:eastAsia="Arial" w:hAnsi="Arial"/>
          <w:sz w:val="16"/>
          <w:szCs w:val="16"/>
          <w:color w:val="auto"/>
        </w:rPr>
        <w:t>Other than the previously mentioned cross-currency swaps and commodity hedges, the fair value of the other outstanding derivatives was not material at September 30, 2022 and December 31, 2021.</w:t>
      </w:r>
    </w:p>
    <w:p>
      <w:pPr>
        <w:spacing w:after="0" w:line="156" w:lineRule="exact"/>
        <w:rPr>
          <w:sz w:val="20"/>
          <w:szCs w:val="20"/>
          <w:color w:val="auto"/>
        </w:rPr>
      </w:pPr>
    </w:p>
    <w:p>
      <w:pPr>
        <w:jc w:val="both"/>
        <w:ind w:right="100"/>
        <w:spacing w:after="0" w:line="286" w:lineRule="auto"/>
        <w:rPr>
          <w:sz w:val="20"/>
          <w:szCs w:val="20"/>
          <w:color w:val="auto"/>
        </w:rPr>
      </w:pPr>
      <w:r>
        <w:rPr>
          <w:rFonts w:ascii="Arial" w:cs="Arial" w:eastAsia="Arial" w:hAnsi="Arial"/>
          <w:sz w:val="16"/>
          <w:szCs w:val="16"/>
          <w:color w:val="auto"/>
        </w:rPr>
        <w:t xml:space="preserve">The effect of derivative instruments designated as cash flow hedges, and those not designated as hedges, on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was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40" w:type="dxa"/>
            <w:vAlign w:val="bottom"/>
            <w:gridSpan w:val="5"/>
          </w:tcPr>
          <w:p>
            <w:pPr>
              <w:jc w:val="right"/>
              <w:ind w:right="240"/>
              <w:spacing w:after="0"/>
              <w:rPr>
                <w:sz w:val="20"/>
                <w:szCs w:val="20"/>
                <w:color w:val="auto"/>
              </w:rPr>
            </w:pPr>
            <w:r>
              <w:rPr>
                <w:rFonts w:ascii="Arial" w:cs="Arial" w:eastAsia="Arial" w:hAnsi="Arial"/>
                <w:sz w:val="14"/>
                <w:szCs w:val="14"/>
                <w:i w:val="1"/>
                <w:iCs w:val="1"/>
                <w:color w:val="auto"/>
              </w:rPr>
              <w:t>(Stated in millions)</w:t>
            </w:r>
          </w:p>
        </w:tc>
        <w:tc>
          <w:tcPr>
            <w:tcW w:w="3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6"/>
        </w:trPr>
        <w:tc>
          <w:tcPr>
            <w:tcW w:w="3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10"/>
          </w:tcPr>
          <w:p>
            <w:pPr>
              <w:jc w:val="right"/>
              <w:ind w:right="44"/>
              <w:spacing w:after="0"/>
              <w:rPr>
                <w:sz w:val="20"/>
                <w:szCs w:val="20"/>
                <w:color w:val="auto"/>
              </w:rPr>
            </w:pPr>
            <w:r>
              <w:rPr>
                <w:rFonts w:ascii="Arial" w:cs="Arial" w:eastAsia="Arial" w:hAnsi="Arial"/>
                <w:sz w:val="16"/>
                <w:szCs w:val="16"/>
                <w:b w:val="1"/>
                <w:bCs w:val="1"/>
                <w:color w:val="auto"/>
              </w:rPr>
              <w:t>Gain (Loss) Recognized in Income</w:t>
            </w:r>
          </w:p>
        </w:tc>
        <w:tc>
          <w:tcPr>
            <w:tcW w:w="7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20" w:type="dxa"/>
            <w:vAlign w:val="bottom"/>
            <w:gridSpan w:val="6"/>
          </w:tcPr>
          <w:p>
            <w:pPr>
              <w:jc w:val="right"/>
              <w:ind w:right="740"/>
              <w:spacing w:after="0"/>
              <w:rPr>
                <w:sz w:val="20"/>
                <w:szCs w:val="20"/>
                <w:color w:val="auto"/>
              </w:rPr>
            </w:pPr>
            <w:r>
              <w:rPr>
                <w:rFonts w:ascii="Arial" w:cs="Arial" w:eastAsia="Arial" w:hAnsi="Arial"/>
                <w:sz w:val="16"/>
                <w:szCs w:val="16"/>
                <w:b w:val="1"/>
                <w:bCs w:val="1"/>
                <w:color w:val="auto"/>
              </w:rPr>
              <w:t>Third Quarter</w:t>
            </w:r>
          </w:p>
        </w:tc>
        <w:tc>
          <w:tcPr>
            <w:tcW w:w="180" w:type="dxa"/>
            <w:vAlign w:val="bottom"/>
          </w:tcPr>
          <w:p>
            <w:pPr>
              <w:spacing w:after="0"/>
              <w:rPr>
                <w:sz w:val="17"/>
                <w:szCs w:val="17"/>
                <w:color w:val="auto"/>
              </w:rPr>
            </w:pPr>
          </w:p>
        </w:tc>
        <w:tc>
          <w:tcPr>
            <w:tcW w:w="1920" w:type="dxa"/>
            <w:vAlign w:val="bottom"/>
            <w:gridSpan w:val="4"/>
          </w:tcPr>
          <w:p>
            <w:pPr>
              <w:jc w:val="right"/>
              <w:ind w:right="499"/>
              <w:spacing w:after="0"/>
              <w:rPr>
                <w:sz w:val="20"/>
                <w:szCs w:val="20"/>
                <w:color w:val="auto"/>
              </w:rPr>
            </w:pPr>
            <w:r>
              <w:rPr>
                <w:rFonts w:ascii="Arial" w:cs="Arial" w:eastAsia="Arial" w:hAnsi="Arial"/>
                <w:sz w:val="16"/>
                <w:szCs w:val="16"/>
                <w:b w:val="1"/>
                <w:bCs w:val="1"/>
                <w:color w:val="auto"/>
              </w:rPr>
              <w:t>Nine Months</w:t>
            </w:r>
          </w:p>
        </w:tc>
        <w:tc>
          <w:tcPr>
            <w:tcW w:w="220" w:type="dxa"/>
            <w:vAlign w:val="bottom"/>
          </w:tcPr>
          <w:p>
            <w:pPr>
              <w:spacing w:after="0"/>
              <w:rPr>
                <w:sz w:val="17"/>
                <w:szCs w:val="17"/>
                <w:color w:val="auto"/>
              </w:rPr>
            </w:pPr>
          </w:p>
        </w:tc>
        <w:tc>
          <w:tcPr>
            <w:tcW w:w="3480" w:type="dxa"/>
            <w:vAlign w:val="bottom"/>
            <w:vMerge w:val="restart"/>
          </w:tcPr>
          <w:p>
            <w:pPr>
              <w:spacing w:after="0"/>
              <w:rPr>
                <w:sz w:val="20"/>
                <w:szCs w:val="20"/>
                <w:color w:val="auto"/>
              </w:rPr>
            </w:pPr>
            <w:r>
              <w:rPr>
                <w:rFonts w:ascii="Arial" w:cs="Arial" w:eastAsia="Arial" w:hAnsi="Arial"/>
                <w:sz w:val="16"/>
                <w:szCs w:val="16"/>
                <w:color w:val="auto"/>
              </w:rPr>
              <w:t>Consolidated Statement of Income</w:t>
            </w:r>
          </w:p>
        </w:tc>
        <w:tc>
          <w:tcPr>
            <w:tcW w:w="0" w:type="dxa"/>
            <w:vAlign w:val="bottom"/>
          </w:tcPr>
          <w:p>
            <w:pPr>
              <w:spacing w:after="0"/>
              <w:rPr>
                <w:sz w:val="1"/>
                <w:szCs w:val="1"/>
                <w:color w:val="auto"/>
              </w:rPr>
            </w:pPr>
          </w:p>
        </w:tc>
      </w:tr>
      <w:tr>
        <w:trPr>
          <w:trHeight w:val="182"/>
        </w:trPr>
        <w:tc>
          <w:tcPr>
            <w:tcW w:w="31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4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2021</w:t>
            </w:r>
          </w:p>
        </w:tc>
        <w:tc>
          <w:tcPr>
            <w:tcW w:w="22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2021</w:t>
            </w:r>
          </w:p>
        </w:tc>
        <w:tc>
          <w:tcPr>
            <w:tcW w:w="220" w:type="dxa"/>
            <w:vAlign w:val="bottom"/>
            <w:tcBorders>
              <w:bottom w:val="single" w:sz="8" w:color="CFF0FC"/>
            </w:tcBorders>
          </w:tcPr>
          <w:p>
            <w:pPr>
              <w:spacing w:after="0"/>
              <w:rPr>
                <w:sz w:val="17"/>
                <w:szCs w:val="17"/>
                <w:color w:val="auto"/>
              </w:rPr>
            </w:pPr>
          </w:p>
        </w:tc>
        <w:tc>
          <w:tcPr>
            <w:tcW w:w="3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Classification</w:t>
            </w:r>
          </w:p>
        </w:tc>
        <w:tc>
          <w:tcPr>
            <w:tcW w:w="0" w:type="dxa"/>
            <w:vAlign w:val="bottom"/>
          </w:tcPr>
          <w:p>
            <w:pPr>
              <w:spacing w:after="0"/>
              <w:rPr>
                <w:sz w:val="1"/>
                <w:szCs w:val="1"/>
                <w:color w:val="auto"/>
              </w:rPr>
            </w:pPr>
          </w:p>
        </w:tc>
      </w:tr>
      <w:tr>
        <w:trPr>
          <w:trHeight w:val="182"/>
        </w:trPr>
        <w:tc>
          <w:tcPr>
            <w:tcW w:w="3140" w:type="dxa"/>
            <w:vAlign w:val="bottom"/>
            <w:shd w:val="clear" w:color="auto" w:fill="CFF0FC"/>
          </w:tcPr>
          <w:p>
            <w:pPr>
              <w:spacing w:after="0" w:line="182" w:lineRule="exact"/>
              <w:rPr>
                <w:sz w:val="20"/>
                <w:szCs w:val="20"/>
                <w:color w:val="auto"/>
              </w:rPr>
            </w:pPr>
            <w:r>
              <w:rPr>
                <w:rFonts w:ascii="Arial" w:cs="Arial" w:eastAsia="Arial" w:hAnsi="Arial"/>
                <w:sz w:val="16"/>
                <w:szCs w:val="16"/>
                <w:color w:val="auto"/>
              </w:rPr>
              <w:t>Derivatives designated as cash flow</w:t>
            </w: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4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40" w:type="dxa"/>
            <w:vAlign w:val="bottom"/>
            <w:shd w:val="clear" w:color="auto" w:fill="CFF0FC"/>
          </w:tcPr>
          <w:p>
            <w:pPr>
              <w:spacing w:after="0"/>
              <w:rPr>
                <w:sz w:val="20"/>
                <w:szCs w:val="20"/>
                <w:color w:val="auto"/>
              </w:rPr>
            </w:pPr>
            <w:r>
              <w:rPr>
                <w:rFonts w:ascii="Arial" w:cs="Arial" w:eastAsia="Arial" w:hAnsi="Arial"/>
                <w:sz w:val="16"/>
                <w:szCs w:val="16"/>
                <w:color w:val="auto"/>
              </w:rPr>
              <w:t>hedges:</w:t>
            </w: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4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40" w:type="dxa"/>
            <w:vAlign w:val="bottom"/>
          </w:tcPr>
          <w:p>
            <w:pPr>
              <w:ind w:left="260"/>
              <w:spacing w:after="0"/>
              <w:rPr>
                <w:sz w:val="20"/>
                <w:szCs w:val="20"/>
                <w:color w:val="auto"/>
              </w:rPr>
            </w:pPr>
            <w:r>
              <w:rPr>
                <w:rFonts w:ascii="Arial" w:cs="Arial" w:eastAsia="Arial" w:hAnsi="Arial"/>
                <w:sz w:val="16"/>
                <w:szCs w:val="16"/>
                <w:color w:val="auto"/>
              </w:rPr>
              <w:t>Cross currency swaps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(362)</w:t>
            </w:r>
          </w:p>
        </w:tc>
        <w:tc>
          <w:tcPr>
            <w:tcW w:w="28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(89)</w:t>
            </w:r>
          </w:p>
        </w:tc>
        <w:tc>
          <w:tcPr>
            <w:tcW w:w="180" w:type="dxa"/>
            <w:vAlign w:val="bottom"/>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(653)</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(267)</w:t>
            </w:r>
          </w:p>
        </w:tc>
        <w:tc>
          <w:tcPr>
            <w:tcW w:w="3480" w:type="dxa"/>
            <w:vAlign w:val="bottom"/>
          </w:tcPr>
          <w:p>
            <w:pPr>
              <w:spacing w:after="0"/>
              <w:rPr>
                <w:sz w:val="20"/>
                <w:szCs w:val="20"/>
                <w:color w:val="auto"/>
              </w:rPr>
            </w:pPr>
            <w:r>
              <w:rPr>
                <w:rFonts w:ascii="Arial" w:cs="Arial" w:eastAsia="Arial" w:hAnsi="Arial"/>
                <w:sz w:val="16"/>
                <w:szCs w:val="16"/>
                <w:i w:val="1"/>
                <w:iCs w:val="1"/>
                <w:color w:val="auto"/>
              </w:rPr>
              <w:t>Cost of services/sales</w:t>
            </w:r>
          </w:p>
        </w:tc>
        <w:tc>
          <w:tcPr>
            <w:tcW w:w="0" w:type="dxa"/>
            <w:vAlign w:val="bottom"/>
          </w:tcPr>
          <w:p>
            <w:pPr>
              <w:spacing w:after="0"/>
              <w:rPr>
                <w:sz w:val="1"/>
                <w:szCs w:val="1"/>
                <w:color w:val="auto"/>
              </w:rPr>
            </w:pPr>
          </w:p>
        </w:tc>
      </w:tr>
      <w:tr>
        <w:trPr>
          <w:trHeight w:val="203"/>
        </w:trPr>
        <w:tc>
          <w:tcPr>
            <w:tcW w:w="31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Commodity contracts</w:t>
            </w:r>
          </w:p>
        </w:tc>
        <w:tc>
          <w:tcPr>
            <w:tcW w:w="1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(20)</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(85)</w:t>
            </w: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Revenue</w:t>
            </w:r>
          </w:p>
        </w:tc>
        <w:tc>
          <w:tcPr>
            <w:tcW w:w="0" w:type="dxa"/>
            <w:vAlign w:val="bottom"/>
          </w:tcPr>
          <w:p>
            <w:pPr>
              <w:spacing w:after="0"/>
              <w:rPr>
                <w:sz w:val="1"/>
                <w:szCs w:val="1"/>
                <w:color w:val="auto"/>
              </w:rPr>
            </w:pPr>
          </w:p>
        </w:tc>
      </w:tr>
      <w:tr>
        <w:trPr>
          <w:trHeight w:val="203"/>
        </w:trPr>
        <w:tc>
          <w:tcPr>
            <w:tcW w:w="3140" w:type="dxa"/>
            <w:vAlign w:val="bottom"/>
          </w:tcPr>
          <w:p>
            <w:pPr>
              <w:ind w:left="260"/>
              <w:spacing w:after="0"/>
              <w:rPr>
                <w:sz w:val="20"/>
                <w:szCs w:val="20"/>
                <w:color w:val="auto"/>
              </w:rPr>
            </w:pPr>
            <w:r>
              <w:rPr>
                <w:rFonts w:ascii="Arial" w:cs="Arial" w:eastAsia="Arial" w:hAnsi="Arial"/>
                <w:sz w:val="16"/>
                <w:szCs w:val="16"/>
                <w:color w:val="auto"/>
              </w:rPr>
              <w:t>Foreign exchange contracts</w:t>
            </w:r>
          </w:p>
        </w:tc>
        <w:tc>
          <w:tcPr>
            <w:tcW w:w="18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(10)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(17)</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7"/>
                <w:szCs w:val="17"/>
                <w:color w:val="auto"/>
              </w:rPr>
            </w:pPr>
          </w:p>
        </w:tc>
        <w:tc>
          <w:tcPr>
            <w:tcW w:w="3480" w:type="dxa"/>
            <w:vAlign w:val="bottom"/>
          </w:tcPr>
          <w:p>
            <w:pPr>
              <w:spacing w:after="0"/>
              <w:rPr>
                <w:sz w:val="20"/>
                <w:szCs w:val="20"/>
                <w:color w:val="auto"/>
              </w:rPr>
            </w:pPr>
            <w:r>
              <w:rPr>
                <w:rFonts w:ascii="Arial" w:cs="Arial" w:eastAsia="Arial" w:hAnsi="Arial"/>
                <w:sz w:val="16"/>
                <w:szCs w:val="16"/>
                <w:i w:val="1"/>
                <w:iCs w:val="1"/>
                <w:color w:val="auto"/>
              </w:rPr>
              <w:t>Cost of services/sales</w:t>
            </w:r>
          </w:p>
        </w:tc>
        <w:tc>
          <w:tcPr>
            <w:tcW w:w="0" w:type="dxa"/>
            <w:vAlign w:val="bottom"/>
          </w:tcPr>
          <w:p>
            <w:pPr>
              <w:spacing w:after="0"/>
              <w:rPr>
                <w:sz w:val="1"/>
                <w:szCs w:val="1"/>
                <w:color w:val="auto"/>
              </w:rPr>
            </w:pPr>
          </w:p>
        </w:tc>
      </w:tr>
      <w:tr>
        <w:trPr>
          <w:trHeight w:val="196"/>
        </w:trPr>
        <w:tc>
          <w:tcPr>
            <w:tcW w:w="314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(392)</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(755)</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(260)</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348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40" w:type="dxa"/>
            <w:vAlign w:val="bottom"/>
            <w:vMerge w:val="restart"/>
          </w:tcPr>
          <w:p>
            <w:pPr>
              <w:spacing w:after="0"/>
              <w:rPr>
                <w:sz w:val="20"/>
                <w:szCs w:val="20"/>
                <w:color w:val="auto"/>
              </w:rPr>
            </w:pPr>
            <w:r>
              <w:rPr>
                <w:rFonts w:ascii="Arial" w:cs="Arial" w:eastAsia="Arial" w:hAnsi="Arial"/>
                <w:sz w:val="16"/>
                <w:szCs w:val="16"/>
                <w:color w:val="auto"/>
              </w:rPr>
              <w:t>Derivatives not designated as hedges:</w:t>
            </w: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Foreign exchange contracts</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w:t>
            </w:r>
          </w:p>
        </w:tc>
        <w:tc>
          <w:tcPr>
            <w:tcW w:w="12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(45)</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(30)</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(19)</w:t>
            </w:r>
          </w:p>
        </w:tc>
        <w:tc>
          <w:tcPr>
            <w:tcW w:w="348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Cost of services/sales</w:t>
            </w:r>
          </w:p>
        </w:tc>
        <w:tc>
          <w:tcPr>
            <w:tcW w:w="0" w:type="dxa"/>
            <w:vAlign w:val="bottom"/>
          </w:tcPr>
          <w:p>
            <w:pPr>
              <w:spacing w:after="0"/>
              <w:rPr>
                <w:sz w:val="1"/>
                <w:szCs w:val="1"/>
                <w:color w:val="auto"/>
              </w:rPr>
            </w:pPr>
          </w:p>
        </w:tc>
      </w:tr>
      <w:tr>
        <w:trPr>
          <w:trHeight w:val="20"/>
        </w:trPr>
        <w:tc>
          <w:tcPr>
            <w:tcW w:w="31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4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80" w:hanging="272"/>
        <w:spacing w:after="0"/>
        <w:tabs>
          <w:tab w:leader="none" w:pos="28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Contingencies</w:t>
      </w:r>
    </w:p>
    <w:p>
      <w:pPr>
        <w:spacing w:after="0" w:line="113" w:lineRule="exact"/>
        <w:rPr>
          <w:sz w:val="20"/>
          <w:szCs w:val="20"/>
          <w:color w:val="auto"/>
        </w:rPr>
      </w:pPr>
    </w:p>
    <w:p>
      <w:pPr>
        <w:jc w:val="both"/>
        <w:ind w:right="120"/>
        <w:spacing w:after="0" w:line="275" w:lineRule="auto"/>
        <w:rPr>
          <w:sz w:val="20"/>
          <w:szCs w:val="20"/>
          <w:color w:val="auto"/>
        </w:rPr>
      </w:pPr>
      <w:r>
        <w:rPr>
          <w:rFonts w:ascii="Arial" w:cs="Arial" w:eastAsia="Arial" w:hAnsi="Arial"/>
          <w:sz w:val="16"/>
          <w:szCs w:val="16"/>
          <w:color w:val="auto"/>
        </w:rPr>
        <w:t>Schlumberger is party to various legal proceedings from time to time. A liability is accrued when a loss is both probable and can be reasonably estimated. Management believes that the probability of a material loss with respect to any currently pending legal proceeding is remote. However, litigation is inherently uncertain and it is not possible to predict the ultimate disposition of any of these proceedings.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10.  </w:t>
      </w:r>
      <w:r>
        <w:rPr>
          <w:rFonts w:ascii="Arial" w:cs="Arial" w:eastAsia="Arial" w:hAnsi="Arial"/>
          <w:sz w:val="16"/>
          <w:szCs w:val="16"/>
          <w:b w:val="1"/>
          <w:bCs w:val="1"/>
          <w:u w:val="single" w:color="auto"/>
          <w:color w:val="auto"/>
        </w:rPr>
        <w:t>Segment Information</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4"/>
          </w:tcPr>
          <w:p>
            <w:pPr>
              <w:jc w:val="center"/>
              <w:ind w:right="60"/>
              <w:spacing w:after="0"/>
              <w:rPr>
                <w:sz w:val="20"/>
                <w:szCs w:val="20"/>
                <w:color w:val="auto"/>
              </w:rPr>
            </w:pPr>
            <w:r>
              <w:rPr>
                <w:rFonts w:ascii="Arial" w:cs="Arial" w:eastAsia="Arial" w:hAnsi="Arial"/>
                <w:sz w:val="14"/>
                <w:szCs w:val="14"/>
                <w:i w:val="1"/>
                <w:iCs w:val="1"/>
                <w:color w:val="auto"/>
              </w:rPr>
              <w:t>(Stated in millions)</w:t>
            </w:r>
          </w:p>
        </w:tc>
      </w:tr>
      <w:tr>
        <w:trPr>
          <w:trHeight w:val="386"/>
        </w:trPr>
        <w:tc>
          <w:tcPr>
            <w:tcW w:w="5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00" w:type="dxa"/>
            <w:vAlign w:val="bottom"/>
            <w:gridSpan w:val="6"/>
          </w:tcPr>
          <w:p>
            <w:pPr>
              <w:jc w:val="right"/>
              <w:ind w:right="800"/>
              <w:spacing w:after="0"/>
              <w:rPr>
                <w:sz w:val="20"/>
                <w:szCs w:val="20"/>
                <w:color w:val="auto"/>
              </w:rPr>
            </w:pPr>
            <w:r>
              <w:rPr>
                <w:rFonts w:ascii="Arial" w:cs="Arial" w:eastAsia="Arial" w:hAnsi="Arial"/>
                <w:sz w:val="16"/>
                <w:szCs w:val="16"/>
                <w:b w:val="1"/>
                <w:bCs w:val="1"/>
                <w:color w:val="auto"/>
              </w:rPr>
              <w:t>Third Quarter 2022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80" w:type="dxa"/>
            <w:vAlign w:val="bottom"/>
            <w:gridSpan w:val="6"/>
          </w:tcPr>
          <w:p>
            <w:pPr>
              <w:jc w:val="right"/>
              <w:ind w:right="700"/>
              <w:spacing w:after="0"/>
              <w:rPr>
                <w:sz w:val="20"/>
                <w:szCs w:val="20"/>
                <w:color w:val="auto"/>
              </w:rPr>
            </w:pPr>
            <w:r>
              <w:rPr>
                <w:rFonts w:ascii="Arial" w:cs="Arial" w:eastAsia="Arial" w:hAnsi="Arial"/>
                <w:sz w:val="16"/>
                <w:szCs w:val="16"/>
                <w:color w:val="auto"/>
              </w:rPr>
              <w:t>Third Quarter 2021</w:t>
            </w:r>
          </w:p>
        </w:tc>
      </w:tr>
      <w:tr>
        <w:trPr>
          <w:trHeight w:val="195"/>
        </w:trPr>
        <w:tc>
          <w:tcPr>
            <w:tcW w:w="57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Income</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center"/>
              <w:ind w:right="39"/>
              <w:spacing w:after="0"/>
              <w:rPr>
                <w:sz w:val="20"/>
                <w:szCs w:val="20"/>
                <w:color w:val="auto"/>
              </w:rPr>
            </w:pPr>
            <w:r>
              <w:rPr>
                <w:rFonts w:ascii="Arial" w:cs="Arial" w:eastAsia="Arial" w:hAnsi="Arial"/>
                <w:sz w:val="16"/>
                <w:szCs w:val="16"/>
                <w:color w:val="auto"/>
              </w:rPr>
              <w:t>Income</w:t>
            </w:r>
          </w:p>
        </w:tc>
        <w:tc>
          <w:tcPr>
            <w:tcW w:w="100" w:type="dxa"/>
            <w:vAlign w:val="bottom"/>
          </w:tcPr>
          <w:p>
            <w:pPr>
              <w:spacing w:after="0"/>
              <w:rPr>
                <w:sz w:val="16"/>
                <w:szCs w:val="16"/>
                <w:color w:val="auto"/>
              </w:rPr>
            </w:pPr>
          </w:p>
        </w:tc>
      </w:tr>
      <w:tr>
        <w:trPr>
          <w:trHeight w:val="203"/>
        </w:trPr>
        <w:tc>
          <w:tcPr>
            <w:tcW w:w="5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Revenue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Before Taxes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6"/>
                <w:szCs w:val="16"/>
                <w:color w:val="auto"/>
              </w:rPr>
              <w:t>Revenue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color w:val="auto"/>
                <w:w w:val="98"/>
              </w:rPr>
              <w:t>Before Taxes</w:t>
            </w:r>
          </w:p>
        </w:tc>
      </w:tr>
      <w:tr>
        <w:trPr>
          <w:trHeight w:val="196"/>
        </w:trPr>
        <w:tc>
          <w:tcPr>
            <w:tcW w:w="5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Digital &amp; Integration</w:t>
            </w:r>
          </w:p>
        </w:tc>
        <w:tc>
          <w:tcPr>
            <w:tcW w:w="16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900</w:t>
            </w: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305</w:t>
            </w: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812</w:t>
            </w: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Borders>
              <w:top w:val="single" w:sz="8" w:color="CFF0FC"/>
            </w:tcBorders>
            <w:shd w:val="clear" w:color="auto" w:fill="CFF0FC"/>
          </w:tcPr>
          <w:p>
            <w:pPr>
              <w:spacing w:after="0"/>
              <w:rPr>
                <w:sz w:val="17"/>
                <w:szCs w:val="17"/>
                <w:color w:val="auto"/>
              </w:rPr>
            </w:pPr>
          </w:p>
        </w:tc>
      </w:tr>
      <w:tr>
        <w:trPr>
          <w:trHeight w:val="203"/>
        </w:trPr>
        <w:tc>
          <w:tcPr>
            <w:tcW w:w="5740" w:type="dxa"/>
            <w:vAlign w:val="bottom"/>
          </w:tcPr>
          <w:p>
            <w:pPr>
              <w:spacing w:after="0"/>
              <w:rPr>
                <w:sz w:val="20"/>
                <w:szCs w:val="20"/>
                <w:color w:val="auto"/>
              </w:rPr>
            </w:pPr>
            <w:r>
              <w:rPr>
                <w:rFonts w:ascii="Arial" w:cs="Arial" w:eastAsia="Arial" w:hAnsi="Arial"/>
                <w:sz w:val="16"/>
                <w:szCs w:val="16"/>
                <w:color w:val="auto"/>
              </w:rPr>
              <w:t>Reservoir Performance</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1,456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244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1,192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17"/>
                <w:szCs w:val="17"/>
                <w:color w:val="auto"/>
              </w:rPr>
            </w:pPr>
          </w:p>
        </w:tc>
      </w:tr>
      <w:tr>
        <w:trPr>
          <w:trHeight w:val="203"/>
        </w:trPr>
        <w:tc>
          <w:tcPr>
            <w:tcW w:w="5740" w:type="dxa"/>
            <w:vAlign w:val="bottom"/>
            <w:shd w:val="clear" w:color="auto" w:fill="CFF0FC"/>
          </w:tcPr>
          <w:p>
            <w:pPr>
              <w:spacing w:after="0"/>
              <w:rPr>
                <w:sz w:val="20"/>
                <w:szCs w:val="20"/>
                <w:color w:val="auto"/>
              </w:rPr>
            </w:pPr>
            <w:r>
              <w:rPr>
                <w:rFonts w:ascii="Arial" w:cs="Arial" w:eastAsia="Arial" w:hAnsi="Arial"/>
                <w:sz w:val="16"/>
                <w:szCs w:val="16"/>
                <w:color w:val="auto"/>
              </w:rPr>
              <w:t>Well Construction</w:t>
            </w: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3,084</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664</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2,273</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345</w:t>
            </w:r>
          </w:p>
        </w:tc>
        <w:tc>
          <w:tcPr>
            <w:tcW w:w="100" w:type="dxa"/>
            <w:vAlign w:val="bottom"/>
            <w:shd w:val="clear" w:color="auto" w:fill="CFF0FC"/>
          </w:tcPr>
          <w:p>
            <w:pPr>
              <w:spacing w:after="0"/>
              <w:rPr>
                <w:sz w:val="17"/>
                <w:szCs w:val="17"/>
                <w:color w:val="auto"/>
              </w:rPr>
            </w:pPr>
          </w:p>
        </w:tc>
      </w:tr>
      <w:tr>
        <w:trPr>
          <w:trHeight w:val="203"/>
        </w:trPr>
        <w:tc>
          <w:tcPr>
            <w:tcW w:w="5740" w:type="dxa"/>
            <w:vAlign w:val="bottom"/>
          </w:tcPr>
          <w:p>
            <w:pPr>
              <w:spacing w:after="0"/>
              <w:rPr>
                <w:sz w:val="20"/>
                <w:szCs w:val="20"/>
                <w:color w:val="auto"/>
              </w:rPr>
            </w:pPr>
            <w:r>
              <w:rPr>
                <w:rFonts w:ascii="Arial" w:cs="Arial" w:eastAsia="Arial" w:hAnsi="Arial"/>
                <w:sz w:val="16"/>
                <w:szCs w:val="16"/>
                <w:color w:val="auto"/>
              </w:rPr>
              <w:t>Production Systems</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2,150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224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1,674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17"/>
                <w:szCs w:val="17"/>
                <w:color w:val="auto"/>
              </w:rPr>
            </w:pPr>
          </w:p>
        </w:tc>
      </w:tr>
      <w:tr>
        <w:trPr>
          <w:trHeight w:val="203"/>
        </w:trPr>
        <w:tc>
          <w:tcPr>
            <w:tcW w:w="5740" w:type="dxa"/>
            <w:vAlign w:val="bottom"/>
            <w:shd w:val="clear" w:color="auto" w:fill="CFF0FC"/>
          </w:tcPr>
          <w:p>
            <w:pPr>
              <w:spacing w:after="0"/>
              <w:rPr>
                <w:sz w:val="20"/>
                <w:szCs w:val="20"/>
                <w:color w:val="auto"/>
              </w:rPr>
            </w:pPr>
            <w:r>
              <w:rPr>
                <w:rFonts w:ascii="Arial" w:cs="Arial" w:eastAsia="Arial" w:hAnsi="Arial"/>
                <w:sz w:val="16"/>
                <w:szCs w:val="16"/>
                <w:color w:val="auto"/>
              </w:rPr>
              <w:t>Eliminations &amp; other</w:t>
            </w:r>
          </w:p>
        </w:tc>
        <w:tc>
          <w:tcPr>
            <w:tcW w:w="1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(113)</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(37)</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(77)</w:t>
            </w:r>
          </w:p>
        </w:tc>
      </w:tr>
      <w:tr>
        <w:trPr>
          <w:trHeight w:val="196"/>
        </w:trPr>
        <w:tc>
          <w:tcPr>
            <w:tcW w:w="5740" w:type="dxa"/>
            <w:vAlign w:val="bottom"/>
          </w:tcPr>
          <w:p>
            <w:pPr>
              <w:ind w:left="260"/>
              <w:spacing w:after="0"/>
              <w:rPr>
                <w:sz w:val="20"/>
                <w:szCs w:val="20"/>
                <w:color w:val="auto"/>
              </w:rPr>
            </w:pPr>
            <w:r>
              <w:rPr>
                <w:rFonts w:ascii="Arial" w:cs="Arial" w:eastAsia="Arial" w:hAnsi="Arial"/>
                <w:sz w:val="16"/>
                <w:szCs w:val="16"/>
                <w:color w:val="auto"/>
              </w:rPr>
              <w:t>Pretax segment operating income</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908</w:t>
            </w:r>
          </w:p>
        </w:tc>
        <w:tc>
          <w:tcPr>
            <w:tcW w:w="100" w:type="dxa"/>
            <w:vAlign w:val="bottom"/>
          </w:tcPr>
          <w:p>
            <w:pPr>
              <w:spacing w:after="0"/>
              <w:rPr>
                <w:sz w:val="17"/>
                <w:szCs w:val="17"/>
                <w:color w:val="auto"/>
              </w:rPr>
            </w:pPr>
          </w:p>
        </w:tc>
      </w:tr>
      <w:tr>
        <w:trPr>
          <w:trHeight w:val="203"/>
        </w:trPr>
        <w:tc>
          <w:tcPr>
            <w:tcW w:w="5740" w:type="dxa"/>
            <w:vAlign w:val="bottom"/>
            <w:shd w:val="clear" w:color="auto" w:fill="CFF0FC"/>
          </w:tcPr>
          <w:p>
            <w:pPr>
              <w:spacing w:after="0" w:line="202" w:lineRule="exact"/>
              <w:rPr>
                <w:sz w:val="20"/>
                <w:szCs w:val="20"/>
                <w:color w:val="auto"/>
              </w:rPr>
            </w:pPr>
            <w:r>
              <w:rPr>
                <w:rFonts w:ascii="Arial" w:cs="Arial" w:eastAsia="Arial" w:hAnsi="Arial"/>
                <w:sz w:val="14"/>
                <w:szCs w:val="14"/>
                <w:color w:val="auto"/>
              </w:rPr>
              <w:t xml:space="preserve">Corporate &amp; other </w:t>
            </w:r>
            <w:r>
              <w:rPr>
                <w:rFonts w:ascii="Arial" w:cs="Arial" w:eastAsia="Arial" w:hAnsi="Arial"/>
                <w:sz w:val="23"/>
                <w:szCs w:val="23"/>
                <w:color w:val="auto"/>
                <w:vertAlign w:val="superscript"/>
              </w:rPr>
              <w:t>(1)</w:t>
            </w: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(155)</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(145)</w:t>
            </w: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4"/>
                <w:szCs w:val="14"/>
                <w:color w:val="auto"/>
              </w:rPr>
              <w:t xml:space="preserve">Interest income </w:t>
            </w:r>
            <w:r>
              <w:rPr>
                <w:rFonts w:ascii="Arial" w:cs="Arial" w:eastAsia="Arial" w:hAnsi="Arial"/>
                <w:sz w:val="23"/>
                <w:szCs w:val="23"/>
                <w:color w:val="auto"/>
                <w:vertAlign w:val="superscript"/>
              </w:rPr>
              <w:t>(2)</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7"/>
                <w:szCs w:val="17"/>
                <w:color w:val="auto"/>
              </w:rPr>
            </w:pPr>
          </w:p>
        </w:tc>
      </w:tr>
      <w:tr>
        <w:trPr>
          <w:trHeight w:val="203"/>
        </w:trPr>
        <w:tc>
          <w:tcPr>
            <w:tcW w:w="5740" w:type="dxa"/>
            <w:vAlign w:val="bottom"/>
            <w:shd w:val="clear" w:color="auto" w:fill="CFF0FC"/>
          </w:tcPr>
          <w:p>
            <w:pPr>
              <w:spacing w:after="0" w:line="202" w:lineRule="exact"/>
              <w:rPr>
                <w:sz w:val="20"/>
                <w:szCs w:val="20"/>
                <w:color w:val="auto"/>
              </w:rPr>
            </w:pPr>
            <w:r>
              <w:rPr>
                <w:rFonts w:ascii="Arial" w:cs="Arial" w:eastAsia="Arial" w:hAnsi="Arial"/>
                <w:sz w:val="14"/>
                <w:szCs w:val="14"/>
                <w:color w:val="auto"/>
              </w:rPr>
              <w:t xml:space="preserve">Interest expense </w:t>
            </w:r>
            <w:r>
              <w:rPr>
                <w:rFonts w:ascii="Arial" w:cs="Arial" w:eastAsia="Arial" w:hAnsi="Arial"/>
                <w:sz w:val="23"/>
                <w:szCs w:val="23"/>
                <w:color w:val="auto"/>
                <w:vertAlign w:val="superscript"/>
              </w:rPr>
              <w:t>(3)</w:t>
            </w: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(119)</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(127)</w:t>
            </w:r>
          </w:p>
        </w:tc>
      </w:tr>
      <w:tr>
        <w:trPr>
          <w:trHeight w:val="203"/>
        </w:trPr>
        <w:tc>
          <w:tcPr>
            <w:tcW w:w="5740" w:type="dxa"/>
            <w:vAlign w:val="bottom"/>
            <w:tcBorders>
              <w:bottom w:val="single" w:sz="8" w:color="CFF0FC"/>
            </w:tcBorders>
          </w:tcPr>
          <w:p>
            <w:pPr>
              <w:spacing w:after="0" w:line="202" w:lineRule="exact"/>
              <w:rPr>
                <w:sz w:val="20"/>
                <w:szCs w:val="20"/>
                <w:color w:val="auto"/>
              </w:rPr>
            </w:pPr>
            <w:r>
              <w:rPr>
                <w:rFonts w:ascii="Arial" w:cs="Arial" w:eastAsia="Arial" w:hAnsi="Arial"/>
                <w:sz w:val="14"/>
                <w:szCs w:val="14"/>
                <w:color w:val="auto"/>
              </w:rPr>
              <w:t xml:space="preserve">Charges and credits </w:t>
            </w:r>
            <w:r>
              <w:rPr>
                <w:rFonts w:ascii="Arial" w:cs="Arial" w:eastAsia="Arial" w:hAnsi="Arial"/>
                <w:sz w:val="23"/>
                <w:szCs w:val="23"/>
                <w:color w:val="auto"/>
                <w:vertAlign w:val="superscript"/>
              </w:rPr>
              <w:t>(4)</w:t>
            </w: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FF0FC"/>
            </w:tcBorders>
          </w:tcPr>
          <w:p>
            <w:pPr>
              <w:spacing w:after="0"/>
              <w:rPr>
                <w:sz w:val="17"/>
                <w:szCs w:val="17"/>
                <w:color w:val="auto"/>
              </w:rPr>
            </w:pPr>
          </w:p>
        </w:tc>
      </w:tr>
      <w:tr>
        <w:trPr>
          <w:trHeight w:val="196"/>
        </w:trPr>
        <w:tc>
          <w:tcPr>
            <w:tcW w:w="57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7,477</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1,134</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5,847</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
        </w:trPr>
        <w:tc>
          <w:tcPr>
            <w:tcW w:w="5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0" w:lineRule="exact"/>
        <w:rPr>
          <w:sz w:val="20"/>
          <w:szCs w:val="20"/>
          <w:color w:val="auto"/>
        </w:rPr>
      </w:pPr>
    </w:p>
    <w:p>
      <w:pPr>
        <w:ind w:left="380" w:right="100" w:hanging="372"/>
        <w:spacing w:after="0" w:line="193" w:lineRule="auto"/>
        <w:tabs>
          <w:tab w:leader="none" w:pos="380" w:val="left"/>
        </w:tabs>
        <w:numPr>
          <w:ilvl w:val="0"/>
          <w:numId w:val="12"/>
        </w:numPr>
        <w:rPr>
          <w:rFonts w:ascii="Arial" w:cs="Arial" w:eastAsia="Arial" w:hAnsi="Arial"/>
          <w:sz w:val="24"/>
          <w:szCs w:val="24"/>
          <w:color w:val="auto"/>
          <w:vertAlign w:val="superscript"/>
        </w:rPr>
      </w:pPr>
      <w:r>
        <w:rPr>
          <w:rFonts w:ascii="Arial" w:cs="Arial" w:eastAsia="Arial" w:hAnsi="Arial"/>
          <w:sz w:val="14"/>
          <w:szCs w:val="14"/>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ind w:left="380" w:hanging="372"/>
        <w:spacing w:after="0" w:line="234" w:lineRule="auto"/>
        <w:tabs>
          <w:tab w:leader="none" w:pos="380" w:val="left"/>
        </w:tabs>
        <w:numPr>
          <w:ilvl w:val="0"/>
          <w:numId w:val="12"/>
        </w:numPr>
        <w:rPr>
          <w:rFonts w:ascii="Arial" w:cs="Arial" w:eastAsia="Arial" w:hAnsi="Arial"/>
          <w:sz w:val="24"/>
          <w:szCs w:val="24"/>
          <w:color w:val="auto"/>
          <w:vertAlign w:val="superscript"/>
        </w:rPr>
      </w:pPr>
      <w:r>
        <w:rPr>
          <w:rFonts w:ascii="Arial" w:cs="Arial" w:eastAsia="Arial" w:hAnsi="Arial"/>
          <w:sz w:val="14"/>
          <w:szCs w:val="14"/>
          <w:color w:val="auto"/>
        </w:rPr>
        <w:t>Interest income excludes amounts which are included in the segments’ income ($25 million in 2022; $- million in 2021).</w:t>
      </w:r>
    </w:p>
    <w:p>
      <w:pPr>
        <w:spacing w:after="0" w:line="17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25" w:right="239" w:bottom="1440" w:gutter="0" w:footer="0" w:header="0"/>
        </w:sectPr>
      </w:pPr>
    </w:p>
    <w:bookmarkStart w:id="13" w:name="page14"/>
    <w:bookmarkEnd w:id="13"/>
    <w:p>
      <w:pPr>
        <w:ind w:left="380" w:hanging="372"/>
        <w:spacing w:after="0"/>
        <w:tabs>
          <w:tab w:leader="none" w:pos="380" w:val="left"/>
        </w:tabs>
        <w:numPr>
          <w:ilvl w:val="0"/>
          <w:numId w:val="13"/>
        </w:numPr>
        <w:rPr>
          <w:rFonts w:ascii="Arial" w:cs="Arial" w:eastAsia="Arial" w:hAnsi="Arial"/>
          <w:sz w:val="24"/>
          <w:szCs w:val="24"/>
          <w:color w:val="auto"/>
          <w:vertAlign w:val="superscript"/>
        </w:rPr>
      </w:pPr>
      <w:r>
        <w:rPr>
          <w:rFonts w:ascii="Arial" w:cs="Arial" w:eastAsia="Arial" w:hAnsi="Arial"/>
          <w:sz w:val="14"/>
          <w:szCs w:val="14"/>
          <w:color w:val="auto"/>
        </w:rPr>
        <w:t>Interest expense excludes amounts which are included in the segments’ income ($3 million in 2022; $3 million in 2021).</w:t>
      </w:r>
    </w:p>
    <w:p>
      <w:pPr>
        <w:spacing w:after="0" w:line="93" w:lineRule="exact"/>
        <w:rPr>
          <w:rFonts w:ascii="Arial" w:cs="Arial" w:eastAsia="Arial" w:hAnsi="Arial"/>
          <w:sz w:val="24"/>
          <w:szCs w:val="24"/>
          <w:color w:val="auto"/>
          <w:vertAlign w:val="superscript"/>
        </w:rPr>
      </w:pPr>
    </w:p>
    <w:p>
      <w:pPr>
        <w:ind w:left="380" w:hanging="372"/>
        <w:spacing w:after="0" w:line="183" w:lineRule="auto"/>
        <w:tabs>
          <w:tab w:leader="none" w:pos="380" w:val="left"/>
        </w:tabs>
        <w:numPr>
          <w:ilvl w:val="0"/>
          <w:numId w:val="13"/>
        </w:numPr>
        <w:rPr>
          <w:rFonts w:ascii="Arial" w:cs="Arial" w:eastAsia="Arial" w:hAnsi="Arial"/>
          <w:sz w:val="20"/>
          <w:szCs w:val="20"/>
          <w:color w:val="auto"/>
          <w:vertAlign w:val="superscript"/>
        </w:rPr>
      </w:pPr>
      <w:r>
        <w:rPr>
          <w:rFonts w:ascii="Arial" w:cs="Arial" w:eastAsia="Arial" w:hAnsi="Arial"/>
          <w:sz w:val="12"/>
          <w:szCs w:val="12"/>
          <w:color w:val="auto"/>
        </w:rPr>
        <w:t xml:space="preserve">See Note 2 – </w:t>
      </w:r>
      <w:r>
        <w:rPr>
          <w:rFonts w:ascii="Arial" w:cs="Arial" w:eastAsia="Arial" w:hAnsi="Arial"/>
          <w:sz w:val="12"/>
          <w:szCs w:val="12"/>
          <w:i w:val="1"/>
          <w:iCs w:val="1"/>
          <w:color w:val="auto"/>
        </w:rPr>
        <w:t>Charges and Credits</w:t>
      </w:r>
      <w:r>
        <w:rPr>
          <w:rFonts w:ascii="Arial" w:cs="Arial" w:eastAsia="Arial" w:hAnsi="Arial"/>
          <w:sz w:val="12"/>
          <w:szCs w:val="12"/>
          <w:color w:val="auto"/>
        </w:rPr>
        <w:t>.</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4"/>
          </w:tcPr>
          <w:p>
            <w:pPr>
              <w:jc w:val="center"/>
              <w:ind w:right="40"/>
              <w:spacing w:after="0"/>
              <w:rPr>
                <w:sz w:val="20"/>
                <w:szCs w:val="20"/>
                <w:color w:val="auto"/>
              </w:rPr>
            </w:pPr>
            <w:r>
              <w:rPr>
                <w:rFonts w:ascii="Arial" w:cs="Arial" w:eastAsia="Arial" w:hAnsi="Arial"/>
                <w:sz w:val="14"/>
                <w:szCs w:val="14"/>
                <w:i w:val="1"/>
                <w:iCs w:val="1"/>
                <w:color w:val="auto"/>
              </w:rPr>
              <w:t>(Stated in millions)</w:t>
            </w:r>
          </w:p>
        </w:tc>
      </w:tr>
      <w:tr>
        <w:trPr>
          <w:trHeight w:val="386"/>
        </w:trPr>
        <w:tc>
          <w:tcPr>
            <w:tcW w:w="4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60" w:type="dxa"/>
            <w:vAlign w:val="bottom"/>
            <w:gridSpan w:val="6"/>
          </w:tcPr>
          <w:p>
            <w:pPr>
              <w:jc w:val="right"/>
              <w:ind w:right="900"/>
              <w:spacing w:after="0"/>
              <w:rPr>
                <w:sz w:val="20"/>
                <w:szCs w:val="20"/>
                <w:color w:val="auto"/>
              </w:rPr>
            </w:pPr>
            <w:r>
              <w:rPr>
                <w:rFonts w:ascii="Arial" w:cs="Arial" w:eastAsia="Arial" w:hAnsi="Arial"/>
                <w:sz w:val="16"/>
                <w:szCs w:val="16"/>
                <w:b w:val="1"/>
                <w:bCs w:val="1"/>
                <w:color w:val="auto"/>
              </w:rPr>
              <w:t>Nine Months 2022</w:t>
            </w:r>
          </w:p>
        </w:tc>
        <w:tc>
          <w:tcPr>
            <w:tcW w:w="160" w:type="dxa"/>
            <w:vAlign w:val="bottom"/>
          </w:tcPr>
          <w:p>
            <w:pPr>
              <w:spacing w:after="0"/>
              <w:rPr>
                <w:sz w:val="24"/>
                <w:szCs w:val="24"/>
                <w:color w:val="auto"/>
              </w:rPr>
            </w:pPr>
          </w:p>
        </w:tc>
        <w:tc>
          <w:tcPr>
            <w:tcW w:w="2500" w:type="dxa"/>
            <w:vAlign w:val="bottom"/>
            <w:gridSpan w:val="6"/>
          </w:tcPr>
          <w:p>
            <w:pPr>
              <w:jc w:val="right"/>
              <w:ind w:right="740"/>
              <w:spacing w:after="0"/>
              <w:rPr>
                <w:sz w:val="20"/>
                <w:szCs w:val="20"/>
                <w:color w:val="auto"/>
              </w:rPr>
            </w:pPr>
            <w:r>
              <w:rPr>
                <w:rFonts w:ascii="Arial" w:cs="Arial" w:eastAsia="Arial" w:hAnsi="Arial"/>
                <w:sz w:val="16"/>
                <w:szCs w:val="16"/>
                <w:color w:val="auto"/>
              </w:rPr>
              <w:t>Nine Months 2021</w:t>
            </w:r>
          </w:p>
        </w:tc>
      </w:tr>
      <w:tr>
        <w:trPr>
          <w:trHeight w:val="195"/>
        </w:trPr>
        <w:tc>
          <w:tcPr>
            <w:tcW w:w="4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Income</w:t>
            </w:r>
          </w:p>
        </w:tc>
        <w:tc>
          <w:tcPr>
            <w:tcW w:w="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center"/>
              <w:ind w:right="39"/>
              <w:spacing w:after="0"/>
              <w:rPr>
                <w:sz w:val="20"/>
                <w:szCs w:val="20"/>
                <w:color w:val="auto"/>
              </w:rPr>
            </w:pPr>
            <w:r>
              <w:rPr>
                <w:rFonts w:ascii="Arial" w:cs="Arial" w:eastAsia="Arial" w:hAnsi="Arial"/>
                <w:sz w:val="16"/>
                <w:szCs w:val="16"/>
                <w:color w:val="auto"/>
              </w:rPr>
              <w:t>Income</w:t>
            </w:r>
          </w:p>
        </w:tc>
        <w:tc>
          <w:tcPr>
            <w:tcW w:w="100" w:type="dxa"/>
            <w:vAlign w:val="bottom"/>
          </w:tcPr>
          <w:p>
            <w:pPr>
              <w:spacing w:after="0"/>
              <w:rPr>
                <w:sz w:val="16"/>
                <w:szCs w:val="16"/>
                <w:color w:val="auto"/>
              </w:rPr>
            </w:pPr>
          </w:p>
        </w:tc>
      </w:tr>
      <w:tr>
        <w:trPr>
          <w:trHeight w:val="203"/>
        </w:trPr>
        <w:tc>
          <w:tcPr>
            <w:tcW w:w="4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Revenue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9"/>
              </w:rPr>
              <w:t>Before Taxes</w:t>
            </w:r>
          </w:p>
        </w:tc>
        <w:tc>
          <w:tcPr>
            <w:tcW w:w="160" w:type="dxa"/>
            <w:vAlign w:val="bottom"/>
          </w:tcPr>
          <w:p>
            <w:pPr>
              <w:spacing w:after="0"/>
              <w:rPr>
                <w:sz w:val="17"/>
                <w:szCs w:val="17"/>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6"/>
                <w:szCs w:val="16"/>
                <w:color w:val="auto"/>
              </w:rPr>
              <w:t>Revenue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color w:val="auto"/>
                <w:w w:val="98"/>
              </w:rPr>
              <w:t>Before Taxes</w:t>
            </w:r>
          </w:p>
        </w:tc>
      </w:tr>
      <w:tr>
        <w:trPr>
          <w:trHeight w:val="196"/>
        </w:trPr>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Digital &amp; Integration</w:t>
            </w:r>
          </w:p>
        </w:tc>
        <w:tc>
          <w:tcPr>
            <w:tcW w:w="15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2,713</w:t>
            </w: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976</w:t>
            </w:r>
          </w:p>
        </w:tc>
        <w:tc>
          <w:tcPr>
            <w:tcW w:w="2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2,401</w:t>
            </w:r>
          </w:p>
        </w:tc>
        <w:tc>
          <w:tcPr>
            <w:tcW w:w="1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805</w:t>
            </w:r>
          </w:p>
        </w:tc>
        <w:tc>
          <w:tcPr>
            <w:tcW w:w="100" w:type="dxa"/>
            <w:vAlign w:val="bottom"/>
            <w:tcBorders>
              <w:top w:val="single" w:sz="8" w:color="CFF0FC"/>
            </w:tcBorders>
            <w:shd w:val="clear" w:color="auto" w:fill="CFF0FC"/>
          </w:tcPr>
          <w:p>
            <w:pPr>
              <w:spacing w:after="0"/>
              <w:rPr>
                <w:sz w:val="17"/>
                <w:szCs w:val="17"/>
                <w:color w:val="auto"/>
              </w:rPr>
            </w:pPr>
          </w:p>
        </w:tc>
      </w:tr>
      <w:tr>
        <w:trPr>
          <w:trHeight w:val="203"/>
        </w:trPr>
        <w:tc>
          <w:tcPr>
            <w:tcW w:w="4200" w:type="dxa"/>
            <w:vAlign w:val="bottom"/>
          </w:tcPr>
          <w:p>
            <w:pPr>
              <w:spacing w:after="0"/>
              <w:rPr>
                <w:sz w:val="20"/>
                <w:szCs w:val="20"/>
                <w:color w:val="auto"/>
              </w:rPr>
            </w:pPr>
            <w:r>
              <w:rPr>
                <w:rFonts w:ascii="Arial" w:cs="Arial" w:eastAsia="Arial" w:hAnsi="Arial"/>
                <w:sz w:val="16"/>
                <w:szCs w:val="16"/>
                <w:color w:val="auto"/>
              </w:rPr>
              <w:t>Reservoir Performance</w:t>
            </w: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3,999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598</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3,312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448</w:t>
            </w:r>
          </w:p>
        </w:tc>
        <w:tc>
          <w:tcPr>
            <w:tcW w:w="100" w:type="dxa"/>
            <w:vAlign w:val="bottom"/>
          </w:tcPr>
          <w:p>
            <w:pPr>
              <w:spacing w:after="0"/>
              <w:rPr>
                <w:sz w:val="17"/>
                <w:szCs w:val="17"/>
                <w:color w:val="auto"/>
              </w:rPr>
            </w:pPr>
          </w:p>
        </w:tc>
      </w:tr>
      <w:tr>
        <w:trPr>
          <w:trHeight w:val="203"/>
        </w:trPr>
        <w:tc>
          <w:tcPr>
            <w:tcW w:w="4200" w:type="dxa"/>
            <w:vAlign w:val="bottom"/>
            <w:shd w:val="clear" w:color="auto" w:fill="CFF0FC"/>
          </w:tcPr>
          <w:p>
            <w:pPr>
              <w:spacing w:after="0"/>
              <w:rPr>
                <w:sz w:val="20"/>
                <w:szCs w:val="20"/>
                <w:color w:val="auto"/>
              </w:rPr>
            </w:pPr>
            <w:r>
              <w:rPr>
                <w:rFonts w:ascii="Arial" w:cs="Arial" w:eastAsia="Arial" w:hAnsi="Arial"/>
                <w:sz w:val="16"/>
                <w:szCs w:val="16"/>
                <w:color w:val="auto"/>
              </w:rPr>
              <w:t>Well Construction</w:t>
            </w:r>
          </w:p>
        </w:tc>
        <w:tc>
          <w:tcPr>
            <w:tcW w:w="15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8,168</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1,522</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6,319</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827</w:t>
            </w:r>
          </w:p>
        </w:tc>
        <w:tc>
          <w:tcPr>
            <w:tcW w:w="100" w:type="dxa"/>
            <w:vAlign w:val="bottom"/>
            <w:shd w:val="clear" w:color="auto" w:fill="CFF0FC"/>
          </w:tcPr>
          <w:p>
            <w:pPr>
              <w:spacing w:after="0"/>
              <w:rPr>
                <w:sz w:val="17"/>
                <w:szCs w:val="17"/>
                <w:color w:val="auto"/>
              </w:rPr>
            </w:pPr>
          </w:p>
        </w:tc>
      </w:tr>
      <w:tr>
        <w:trPr>
          <w:trHeight w:val="203"/>
        </w:trPr>
        <w:tc>
          <w:tcPr>
            <w:tcW w:w="4200" w:type="dxa"/>
            <w:vAlign w:val="bottom"/>
          </w:tcPr>
          <w:p>
            <w:pPr>
              <w:spacing w:after="0"/>
              <w:rPr>
                <w:sz w:val="20"/>
                <w:szCs w:val="20"/>
                <w:color w:val="auto"/>
              </w:rPr>
            </w:pPr>
            <w:r>
              <w:rPr>
                <w:rFonts w:ascii="Arial" w:cs="Arial" w:eastAsia="Arial" w:hAnsi="Arial"/>
                <w:sz w:val="16"/>
                <w:szCs w:val="16"/>
                <w:color w:val="auto"/>
              </w:rPr>
              <w:t>Production Systems</w:t>
            </w: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5,647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509</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4,946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475</w:t>
            </w:r>
          </w:p>
        </w:tc>
        <w:tc>
          <w:tcPr>
            <w:tcW w:w="100" w:type="dxa"/>
            <w:vAlign w:val="bottom"/>
          </w:tcPr>
          <w:p>
            <w:pPr>
              <w:spacing w:after="0"/>
              <w:rPr>
                <w:sz w:val="17"/>
                <w:szCs w:val="17"/>
                <w:color w:val="auto"/>
              </w:rPr>
            </w:pPr>
          </w:p>
        </w:tc>
      </w:tr>
      <w:tr>
        <w:trPr>
          <w:trHeight w:val="203"/>
        </w:trPr>
        <w:tc>
          <w:tcPr>
            <w:tcW w:w="4200" w:type="dxa"/>
            <w:vAlign w:val="bottom"/>
            <w:shd w:val="clear" w:color="auto" w:fill="CFF0FC"/>
          </w:tcPr>
          <w:p>
            <w:pPr>
              <w:spacing w:after="0"/>
              <w:rPr>
                <w:sz w:val="20"/>
                <w:szCs w:val="20"/>
                <w:color w:val="auto"/>
              </w:rPr>
            </w:pPr>
            <w:r>
              <w:rPr>
                <w:rFonts w:ascii="Arial" w:cs="Arial" w:eastAsia="Arial" w:hAnsi="Arial"/>
                <w:sz w:val="16"/>
                <w:szCs w:val="16"/>
                <w:color w:val="auto"/>
              </w:rPr>
              <w:t>Eliminations &amp; other</w:t>
            </w:r>
          </w:p>
        </w:tc>
        <w:tc>
          <w:tcPr>
            <w:tcW w:w="15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(314)</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(151)</w:t>
            </w:r>
          </w:p>
        </w:tc>
        <w:tc>
          <w:tcPr>
            <w:tcW w:w="1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(274)</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(176)</w:t>
            </w:r>
          </w:p>
        </w:tc>
      </w:tr>
      <w:tr>
        <w:trPr>
          <w:trHeight w:val="196"/>
        </w:trPr>
        <w:tc>
          <w:tcPr>
            <w:tcW w:w="4200" w:type="dxa"/>
            <w:vAlign w:val="bottom"/>
          </w:tcPr>
          <w:p>
            <w:pPr>
              <w:ind w:left="260"/>
              <w:spacing w:after="0"/>
              <w:rPr>
                <w:sz w:val="20"/>
                <w:szCs w:val="20"/>
                <w:color w:val="auto"/>
              </w:rPr>
            </w:pPr>
            <w:r>
              <w:rPr>
                <w:rFonts w:ascii="Arial" w:cs="Arial" w:eastAsia="Arial" w:hAnsi="Arial"/>
                <w:sz w:val="16"/>
                <w:szCs w:val="16"/>
                <w:color w:val="auto"/>
              </w:rPr>
              <w:t>Pretax segment operating income</w:t>
            </w: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3,454</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2,379</w:t>
            </w:r>
          </w:p>
        </w:tc>
        <w:tc>
          <w:tcPr>
            <w:tcW w:w="100" w:type="dxa"/>
            <w:vAlign w:val="bottom"/>
          </w:tcPr>
          <w:p>
            <w:pPr>
              <w:spacing w:after="0"/>
              <w:rPr>
                <w:sz w:val="17"/>
                <w:szCs w:val="17"/>
                <w:color w:val="auto"/>
              </w:rPr>
            </w:pPr>
          </w:p>
        </w:tc>
      </w:tr>
      <w:tr>
        <w:trPr>
          <w:trHeight w:val="203"/>
        </w:trPr>
        <w:tc>
          <w:tcPr>
            <w:tcW w:w="4200" w:type="dxa"/>
            <w:vAlign w:val="bottom"/>
            <w:shd w:val="clear" w:color="auto" w:fill="CFF0FC"/>
          </w:tcPr>
          <w:p>
            <w:pPr>
              <w:spacing w:after="0" w:line="202" w:lineRule="exact"/>
              <w:rPr>
                <w:sz w:val="20"/>
                <w:szCs w:val="20"/>
                <w:color w:val="auto"/>
              </w:rPr>
            </w:pPr>
            <w:r>
              <w:rPr>
                <w:rFonts w:ascii="Arial" w:cs="Arial" w:eastAsia="Arial" w:hAnsi="Arial"/>
                <w:sz w:val="14"/>
                <w:szCs w:val="14"/>
                <w:color w:val="auto"/>
              </w:rPr>
              <w:t xml:space="preserve">Corporate &amp; other </w:t>
            </w:r>
            <w:r>
              <w:rPr>
                <w:rFonts w:ascii="Arial" w:cs="Arial" w:eastAsia="Arial" w:hAnsi="Arial"/>
                <w:sz w:val="23"/>
                <w:szCs w:val="23"/>
                <w:color w:val="auto"/>
                <w:vertAlign w:val="superscript"/>
              </w:rPr>
              <w:t>(1)</w:t>
            </w:r>
          </w:p>
        </w:tc>
        <w:tc>
          <w:tcPr>
            <w:tcW w:w="15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(468)</w:t>
            </w: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(434)</w:t>
            </w: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4"/>
                <w:szCs w:val="14"/>
                <w:color w:val="auto"/>
              </w:rPr>
              <w:t xml:space="preserve">Interest income </w:t>
            </w:r>
            <w:r>
              <w:rPr>
                <w:rFonts w:ascii="Arial" w:cs="Arial" w:eastAsia="Arial" w:hAnsi="Arial"/>
                <w:sz w:val="23"/>
                <w:szCs w:val="23"/>
                <w:color w:val="auto"/>
                <w:vertAlign w:val="superscript"/>
              </w:rPr>
              <w:t>(2)</w:t>
            </w: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13</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7"/>
                <w:szCs w:val="17"/>
                <w:color w:val="auto"/>
              </w:rPr>
            </w:pPr>
          </w:p>
        </w:tc>
      </w:tr>
      <w:tr>
        <w:trPr>
          <w:trHeight w:val="202"/>
        </w:trPr>
        <w:tc>
          <w:tcPr>
            <w:tcW w:w="4200" w:type="dxa"/>
            <w:vAlign w:val="bottom"/>
            <w:shd w:val="clear" w:color="auto" w:fill="CFF0FC"/>
          </w:tcPr>
          <w:p>
            <w:pPr>
              <w:spacing w:after="0" w:line="202" w:lineRule="exact"/>
              <w:rPr>
                <w:sz w:val="20"/>
                <w:szCs w:val="20"/>
                <w:color w:val="auto"/>
              </w:rPr>
            </w:pPr>
            <w:r>
              <w:rPr>
                <w:rFonts w:ascii="Arial" w:cs="Arial" w:eastAsia="Arial" w:hAnsi="Arial"/>
                <w:sz w:val="14"/>
                <w:szCs w:val="14"/>
                <w:color w:val="auto"/>
              </w:rPr>
              <w:t xml:space="preserve">Interest expense </w:t>
            </w:r>
            <w:r>
              <w:rPr>
                <w:rFonts w:ascii="Arial" w:cs="Arial" w:eastAsia="Arial" w:hAnsi="Arial"/>
                <w:sz w:val="23"/>
                <w:szCs w:val="23"/>
                <w:color w:val="auto"/>
                <w:vertAlign w:val="superscript"/>
              </w:rPr>
              <w:t>(3)</w:t>
            </w:r>
          </w:p>
        </w:tc>
        <w:tc>
          <w:tcPr>
            <w:tcW w:w="15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(360)</w:t>
            </w: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(391)</w:t>
            </w:r>
          </w:p>
        </w:tc>
      </w:tr>
      <w:tr>
        <w:trPr>
          <w:trHeight w:val="203"/>
        </w:trPr>
        <w:tc>
          <w:tcPr>
            <w:tcW w:w="4200" w:type="dxa"/>
            <w:vAlign w:val="bottom"/>
            <w:tcBorders>
              <w:bottom w:val="single" w:sz="8" w:color="CFF0FC"/>
            </w:tcBorders>
          </w:tcPr>
          <w:p>
            <w:pPr>
              <w:spacing w:after="0" w:line="202" w:lineRule="exact"/>
              <w:rPr>
                <w:sz w:val="20"/>
                <w:szCs w:val="20"/>
                <w:color w:val="auto"/>
              </w:rPr>
            </w:pPr>
            <w:r>
              <w:rPr>
                <w:rFonts w:ascii="Arial" w:cs="Arial" w:eastAsia="Arial" w:hAnsi="Arial"/>
                <w:sz w:val="14"/>
                <w:szCs w:val="14"/>
                <w:color w:val="auto"/>
              </w:rPr>
              <w:t xml:space="preserve">Charges and credits </w:t>
            </w:r>
            <w:r>
              <w:rPr>
                <w:rFonts w:ascii="Arial" w:cs="Arial" w:eastAsia="Arial" w:hAnsi="Arial"/>
                <w:sz w:val="23"/>
                <w:szCs w:val="23"/>
                <w:color w:val="auto"/>
                <w:vertAlign w:val="superscript"/>
              </w:rPr>
              <w:t>(4)</w:t>
            </w:r>
          </w:p>
        </w:tc>
        <w:tc>
          <w:tcPr>
            <w:tcW w:w="154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285</w:t>
            </w:r>
          </w:p>
        </w:tc>
        <w:tc>
          <w:tcPr>
            <w:tcW w:w="24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FF0FC"/>
            </w:tcBorders>
          </w:tcPr>
          <w:p>
            <w:pPr>
              <w:spacing w:after="0"/>
              <w:rPr>
                <w:sz w:val="17"/>
                <w:szCs w:val="17"/>
                <w:color w:val="auto"/>
              </w:rPr>
            </w:pPr>
          </w:p>
        </w:tc>
      </w:tr>
      <w:tr>
        <w:trPr>
          <w:trHeight w:val="196"/>
        </w:trPr>
        <w:tc>
          <w:tcPr>
            <w:tcW w:w="4200" w:type="dxa"/>
            <w:vAlign w:val="bottom"/>
            <w:tcBorders>
              <w:bottom w:val="single" w:sz="8" w:color="CFF0FC"/>
            </w:tcBorders>
            <w:shd w:val="clear" w:color="auto" w:fill="CFF0FC"/>
          </w:tcPr>
          <w:p>
            <w:pPr>
              <w:spacing w:after="0"/>
              <w:rPr>
                <w:sz w:val="17"/>
                <w:szCs w:val="17"/>
                <w:color w:val="auto"/>
              </w:rPr>
            </w:pPr>
          </w:p>
        </w:tc>
        <w:tc>
          <w:tcPr>
            <w:tcW w:w="15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20,213</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2,924</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16,704</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1,618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
        </w:trPr>
        <w:tc>
          <w:tcPr>
            <w:tcW w:w="4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ind w:left="380" w:right="100" w:hanging="372"/>
        <w:spacing w:after="0" w:line="193" w:lineRule="auto"/>
        <w:tabs>
          <w:tab w:leader="none" w:pos="380" w:val="left"/>
        </w:tabs>
        <w:numPr>
          <w:ilvl w:val="0"/>
          <w:numId w:val="14"/>
        </w:numPr>
        <w:rPr>
          <w:rFonts w:ascii="Arial" w:cs="Arial" w:eastAsia="Arial" w:hAnsi="Arial"/>
          <w:sz w:val="24"/>
          <w:szCs w:val="24"/>
          <w:color w:val="auto"/>
          <w:vertAlign w:val="superscript"/>
        </w:rPr>
      </w:pPr>
      <w:r>
        <w:rPr>
          <w:rFonts w:ascii="Arial" w:cs="Arial" w:eastAsia="Arial" w:hAnsi="Arial"/>
          <w:sz w:val="14"/>
          <w:szCs w:val="14"/>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ind w:left="380" w:hanging="372"/>
        <w:spacing w:after="0" w:line="234" w:lineRule="auto"/>
        <w:tabs>
          <w:tab w:leader="none" w:pos="380" w:val="left"/>
        </w:tabs>
        <w:numPr>
          <w:ilvl w:val="0"/>
          <w:numId w:val="14"/>
        </w:numPr>
        <w:rPr>
          <w:rFonts w:ascii="Arial" w:cs="Arial" w:eastAsia="Arial" w:hAnsi="Arial"/>
          <w:sz w:val="24"/>
          <w:szCs w:val="24"/>
          <w:color w:val="auto"/>
          <w:vertAlign w:val="superscript"/>
        </w:rPr>
      </w:pPr>
      <w:r>
        <w:rPr>
          <w:rFonts w:ascii="Arial" w:cs="Arial" w:eastAsia="Arial" w:hAnsi="Arial"/>
          <w:sz w:val="14"/>
          <w:szCs w:val="14"/>
          <w:color w:val="auto"/>
        </w:rPr>
        <w:t>Interest income excludes amounts which are included in the segments’ income ($53 million in 2022; $1 million in 2021).</w:t>
      </w:r>
    </w:p>
    <w:p>
      <w:pPr>
        <w:spacing w:after="0" w:line="94" w:lineRule="exact"/>
        <w:rPr>
          <w:rFonts w:ascii="Arial" w:cs="Arial" w:eastAsia="Arial" w:hAnsi="Arial"/>
          <w:sz w:val="24"/>
          <w:szCs w:val="24"/>
          <w:color w:val="auto"/>
          <w:vertAlign w:val="superscript"/>
        </w:rPr>
      </w:pPr>
    </w:p>
    <w:p>
      <w:pPr>
        <w:ind w:left="380" w:hanging="372"/>
        <w:spacing w:after="0" w:line="183" w:lineRule="auto"/>
        <w:tabs>
          <w:tab w:leader="none" w:pos="380" w:val="left"/>
        </w:tabs>
        <w:numPr>
          <w:ilvl w:val="0"/>
          <w:numId w:val="14"/>
        </w:numPr>
        <w:rPr>
          <w:rFonts w:ascii="Arial" w:cs="Arial" w:eastAsia="Arial" w:hAnsi="Arial"/>
          <w:sz w:val="20"/>
          <w:szCs w:val="20"/>
          <w:color w:val="auto"/>
          <w:vertAlign w:val="superscript"/>
        </w:rPr>
      </w:pPr>
      <w:r>
        <w:rPr>
          <w:rFonts w:ascii="Arial" w:cs="Arial" w:eastAsia="Arial" w:hAnsi="Arial"/>
          <w:sz w:val="12"/>
          <w:szCs w:val="12"/>
          <w:color w:val="auto"/>
        </w:rPr>
        <w:t>Interest expense excludes amounts which are included in the segments’ income ($9 million in 2022; $11 million in 2021).</w:t>
      </w:r>
    </w:p>
    <w:p>
      <w:pPr>
        <w:spacing w:after="0" w:line="94" w:lineRule="exact"/>
        <w:rPr>
          <w:rFonts w:ascii="Arial" w:cs="Arial" w:eastAsia="Arial" w:hAnsi="Arial"/>
          <w:sz w:val="20"/>
          <w:szCs w:val="20"/>
          <w:color w:val="auto"/>
          <w:vertAlign w:val="superscript"/>
        </w:rPr>
      </w:pPr>
    </w:p>
    <w:p>
      <w:pPr>
        <w:ind w:left="380" w:hanging="372"/>
        <w:spacing w:after="0" w:line="183" w:lineRule="auto"/>
        <w:tabs>
          <w:tab w:leader="none" w:pos="380" w:val="left"/>
        </w:tabs>
        <w:numPr>
          <w:ilvl w:val="0"/>
          <w:numId w:val="14"/>
        </w:numPr>
        <w:rPr>
          <w:rFonts w:ascii="Arial" w:cs="Arial" w:eastAsia="Arial" w:hAnsi="Arial"/>
          <w:sz w:val="20"/>
          <w:szCs w:val="20"/>
          <w:color w:val="auto"/>
          <w:vertAlign w:val="superscript"/>
        </w:rPr>
      </w:pPr>
      <w:r>
        <w:rPr>
          <w:rFonts w:ascii="Arial" w:cs="Arial" w:eastAsia="Arial" w:hAnsi="Arial"/>
          <w:sz w:val="12"/>
          <w:szCs w:val="12"/>
          <w:color w:val="auto"/>
        </w:rPr>
        <w:t xml:space="preserve">See Note 2 – </w:t>
      </w:r>
      <w:r>
        <w:rPr>
          <w:rFonts w:ascii="Arial" w:cs="Arial" w:eastAsia="Arial" w:hAnsi="Arial"/>
          <w:sz w:val="12"/>
          <w:szCs w:val="12"/>
          <w:i w:val="1"/>
          <w:iCs w:val="1"/>
          <w:color w:val="auto"/>
        </w:rPr>
        <w:t>Charges and Credits</w:t>
      </w:r>
      <w:r>
        <w:rPr>
          <w:rFonts w:ascii="Arial" w:cs="Arial" w:eastAsia="Arial" w:hAnsi="Arial"/>
          <w:sz w:val="12"/>
          <w:szCs w:val="12"/>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Revenue by geographic area was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6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20" w:type="dxa"/>
            <w:vAlign w:val="bottom"/>
            <w:gridSpan w:val="4"/>
          </w:tcPr>
          <w:p>
            <w:pPr>
              <w:ind w:left="200"/>
              <w:spacing w:after="0"/>
              <w:rPr>
                <w:sz w:val="20"/>
                <w:szCs w:val="20"/>
                <w:color w:val="auto"/>
              </w:rPr>
            </w:pPr>
            <w:r>
              <w:rPr>
                <w:rFonts w:ascii="Arial" w:cs="Arial" w:eastAsia="Arial" w:hAnsi="Arial"/>
                <w:sz w:val="14"/>
                <w:szCs w:val="14"/>
                <w:i w:val="1"/>
                <w:iCs w:val="1"/>
                <w:color w:val="auto"/>
              </w:rPr>
              <w:t>(Stated in millions)</w:t>
            </w:r>
          </w:p>
        </w:tc>
      </w:tr>
      <w:tr>
        <w:trPr>
          <w:trHeight w:val="386"/>
        </w:trPr>
        <w:tc>
          <w:tcPr>
            <w:tcW w:w="36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ind w:left="480"/>
              <w:spacing w:after="0"/>
              <w:rPr>
                <w:sz w:val="20"/>
                <w:szCs w:val="20"/>
                <w:color w:val="auto"/>
              </w:rPr>
            </w:pPr>
            <w:r>
              <w:rPr>
                <w:rFonts w:ascii="Arial" w:cs="Arial" w:eastAsia="Arial" w:hAnsi="Arial"/>
                <w:sz w:val="16"/>
                <w:szCs w:val="16"/>
                <w:b w:val="1"/>
                <w:bCs w:val="1"/>
                <w:color w:val="auto"/>
              </w:rPr>
              <w:t>Third Quarter</w:t>
            </w:r>
          </w:p>
        </w:tc>
        <w:tc>
          <w:tcPr>
            <w:tcW w:w="240" w:type="dxa"/>
            <w:vAlign w:val="bottom"/>
          </w:tcPr>
          <w:p>
            <w:pPr>
              <w:spacing w:after="0"/>
              <w:rPr>
                <w:sz w:val="24"/>
                <w:szCs w:val="24"/>
                <w:color w:val="auto"/>
              </w:rPr>
            </w:pPr>
          </w:p>
        </w:tc>
        <w:tc>
          <w:tcPr>
            <w:tcW w:w="1540" w:type="dxa"/>
            <w:vAlign w:val="bottom"/>
            <w:gridSpan w:val="3"/>
          </w:tcPr>
          <w:p>
            <w:pPr>
              <w:ind w:left="560"/>
              <w:spacing w:after="0"/>
              <w:rPr>
                <w:sz w:val="20"/>
                <w:szCs w:val="20"/>
                <w:color w:val="auto"/>
              </w:rPr>
            </w:pPr>
            <w:r>
              <w:rPr>
                <w:rFonts w:ascii="Arial" w:cs="Arial" w:eastAsia="Arial" w:hAnsi="Arial"/>
                <w:sz w:val="16"/>
                <w:szCs w:val="16"/>
                <w:b w:val="1"/>
                <w:bCs w:val="1"/>
                <w:color w:val="auto"/>
                <w:w w:val="99"/>
              </w:rPr>
              <w:t>Nine Months</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6"/>
        </w:trPr>
        <w:tc>
          <w:tcPr>
            <w:tcW w:w="3600" w:type="dxa"/>
            <w:vAlign w:val="bottom"/>
            <w:tcBorders>
              <w:bottom w:val="single" w:sz="8" w:color="CFF0FC"/>
            </w:tcBorders>
          </w:tcPr>
          <w:p>
            <w:pPr>
              <w:spacing w:after="0"/>
              <w:rPr>
                <w:sz w:val="17"/>
                <w:szCs w:val="17"/>
                <w:color w:val="auto"/>
              </w:rPr>
            </w:pPr>
          </w:p>
        </w:tc>
        <w:tc>
          <w:tcPr>
            <w:tcW w:w="2220" w:type="dxa"/>
            <w:vAlign w:val="bottom"/>
            <w:tcBorders>
              <w:bottom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top w:val="single" w:sz="8" w:color="auto"/>
              <w:bottom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2021</w:t>
            </w:r>
          </w:p>
        </w:tc>
        <w:tc>
          <w:tcPr>
            <w:tcW w:w="220" w:type="dxa"/>
            <w:vAlign w:val="bottom"/>
            <w:tcBorders>
              <w:bottom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top w:val="single" w:sz="8" w:color="auto"/>
              <w:bottom w:val="single" w:sz="8" w:color="CFF0FC"/>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rPr>
              <w:t>2021</w:t>
            </w:r>
          </w:p>
        </w:tc>
        <w:tc>
          <w:tcPr>
            <w:tcW w:w="120" w:type="dxa"/>
            <w:vAlign w:val="bottom"/>
            <w:tcBorders>
              <w:bottom w:val="single" w:sz="8" w:color="CFF0FC"/>
            </w:tcBorders>
          </w:tcPr>
          <w:p>
            <w:pPr>
              <w:spacing w:after="0"/>
              <w:rPr>
                <w:sz w:val="17"/>
                <w:szCs w:val="17"/>
                <w:color w:val="auto"/>
              </w:rPr>
            </w:pPr>
          </w:p>
        </w:tc>
      </w:tr>
      <w:tr>
        <w:trPr>
          <w:trHeight w:val="196"/>
        </w:trPr>
        <w:tc>
          <w:tcPr>
            <w:tcW w:w="3600" w:type="dxa"/>
            <w:vAlign w:val="bottom"/>
            <w:shd w:val="clear" w:color="auto" w:fill="CFF0FC"/>
          </w:tcPr>
          <w:p>
            <w:pPr>
              <w:spacing w:after="0"/>
              <w:rPr>
                <w:sz w:val="20"/>
                <w:szCs w:val="20"/>
                <w:color w:val="auto"/>
              </w:rPr>
            </w:pPr>
            <w:r>
              <w:rPr>
                <w:rFonts w:ascii="Arial" w:cs="Arial" w:eastAsia="Arial" w:hAnsi="Arial"/>
                <w:sz w:val="16"/>
                <w:szCs w:val="16"/>
                <w:color w:val="auto"/>
              </w:rPr>
              <w:t>North America</w:t>
            </w:r>
          </w:p>
        </w:tc>
        <w:tc>
          <w:tcPr>
            <w:tcW w:w="22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1,543</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1,129</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4,362</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3,185</w:t>
            </w:r>
          </w:p>
        </w:tc>
        <w:tc>
          <w:tcPr>
            <w:tcW w:w="120" w:type="dxa"/>
            <w:vAlign w:val="bottom"/>
            <w:shd w:val="clear" w:color="auto" w:fill="CFF0FC"/>
          </w:tcPr>
          <w:p>
            <w:pPr>
              <w:spacing w:after="0"/>
              <w:rPr>
                <w:sz w:val="17"/>
                <w:szCs w:val="17"/>
                <w:color w:val="auto"/>
              </w:rPr>
            </w:pPr>
          </w:p>
        </w:tc>
      </w:tr>
      <w:tr>
        <w:trPr>
          <w:trHeight w:val="203"/>
        </w:trPr>
        <w:tc>
          <w:tcPr>
            <w:tcW w:w="3600" w:type="dxa"/>
            <w:vAlign w:val="bottom"/>
          </w:tcPr>
          <w:p>
            <w:pPr>
              <w:spacing w:after="0"/>
              <w:rPr>
                <w:sz w:val="20"/>
                <w:szCs w:val="20"/>
                <w:color w:val="auto"/>
              </w:rPr>
            </w:pPr>
            <w:r>
              <w:rPr>
                <w:rFonts w:ascii="Arial" w:cs="Arial" w:eastAsia="Arial" w:hAnsi="Arial"/>
                <w:sz w:val="16"/>
                <w:szCs w:val="16"/>
                <w:color w:val="auto"/>
              </w:rPr>
              <w:t>Latin America</w:t>
            </w:r>
          </w:p>
        </w:tc>
        <w:tc>
          <w:tcPr>
            <w:tcW w:w="2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1,508</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1,160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4,042</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3,255</w:t>
            </w:r>
          </w:p>
        </w:tc>
        <w:tc>
          <w:tcPr>
            <w:tcW w:w="120" w:type="dxa"/>
            <w:vAlign w:val="bottom"/>
          </w:tcPr>
          <w:p>
            <w:pPr>
              <w:spacing w:after="0"/>
              <w:rPr>
                <w:sz w:val="17"/>
                <w:szCs w:val="17"/>
                <w:color w:val="auto"/>
              </w:rPr>
            </w:pPr>
          </w:p>
        </w:tc>
      </w:tr>
      <w:tr>
        <w:trPr>
          <w:trHeight w:val="203"/>
        </w:trPr>
        <w:tc>
          <w:tcPr>
            <w:tcW w:w="3600" w:type="dxa"/>
            <w:vAlign w:val="bottom"/>
            <w:shd w:val="clear" w:color="auto" w:fill="CFF0FC"/>
          </w:tcPr>
          <w:p>
            <w:pPr>
              <w:spacing w:after="0"/>
              <w:rPr>
                <w:sz w:val="20"/>
                <w:szCs w:val="20"/>
                <w:color w:val="auto"/>
              </w:rPr>
            </w:pPr>
            <w:r>
              <w:rPr>
                <w:rFonts w:ascii="Arial" w:cs="Arial" w:eastAsia="Arial" w:hAnsi="Arial"/>
                <w:sz w:val="16"/>
                <w:szCs w:val="16"/>
                <w:color w:val="auto"/>
              </w:rPr>
              <w:t>Europe/CIS/Africa</w:t>
            </w:r>
          </w:p>
        </w:tc>
        <w:tc>
          <w:tcPr>
            <w:tcW w:w="2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2,039</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1,481</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5,134</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4,190</w:t>
            </w:r>
          </w:p>
        </w:tc>
        <w:tc>
          <w:tcPr>
            <w:tcW w:w="120" w:type="dxa"/>
            <w:vAlign w:val="bottom"/>
            <w:shd w:val="clear" w:color="auto" w:fill="CFF0FC"/>
          </w:tcPr>
          <w:p>
            <w:pPr>
              <w:spacing w:after="0"/>
              <w:rPr>
                <w:sz w:val="17"/>
                <w:szCs w:val="17"/>
                <w:color w:val="auto"/>
              </w:rPr>
            </w:pPr>
          </w:p>
        </w:tc>
      </w:tr>
      <w:tr>
        <w:trPr>
          <w:trHeight w:val="203"/>
        </w:trPr>
        <w:tc>
          <w:tcPr>
            <w:tcW w:w="3600" w:type="dxa"/>
            <w:vAlign w:val="bottom"/>
          </w:tcPr>
          <w:p>
            <w:pPr>
              <w:spacing w:after="0"/>
              <w:rPr>
                <w:sz w:val="20"/>
                <w:szCs w:val="20"/>
                <w:color w:val="auto"/>
              </w:rPr>
            </w:pPr>
            <w:r>
              <w:rPr>
                <w:rFonts w:ascii="Arial" w:cs="Arial" w:eastAsia="Arial" w:hAnsi="Arial"/>
                <w:sz w:val="16"/>
                <w:szCs w:val="16"/>
                <w:color w:val="auto"/>
              </w:rPr>
              <w:t>Middle East &amp; Asia</w:t>
            </w:r>
          </w:p>
        </w:tc>
        <w:tc>
          <w:tcPr>
            <w:tcW w:w="2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2,334</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2,034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6,525</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5,952</w:t>
            </w:r>
          </w:p>
        </w:tc>
        <w:tc>
          <w:tcPr>
            <w:tcW w:w="120" w:type="dxa"/>
            <w:vAlign w:val="bottom"/>
          </w:tcPr>
          <w:p>
            <w:pPr>
              <w:spacing w:after="0"/>
              <w:rPr>
                <w:sz w:val="17"/>
                <w:szCs w:val="17"/>
                <w:color w:val="auto"/>
              </w:rPr>
            </w:pPr>
          </w:p>
        </w:tc>
      </w:tr>
      <w:tr>
        <w:trPr>
          <w:trHeight w:val="203"/>
        </w:trPr>
        <w:tc>
          <w:tcPr>
            <w:tcW w:w="360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222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53</w:t>
            </w:r>
          </w:p>
        </w:tc>
        <w:tc>
          <w:tcPr>
            <w:tcW w:w="24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22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150</w:t>
            </w:r>
          </w:p>
        </w:tc>
        <w:tc>
          <w:tcPr>
            <w:tcW w:w="220" w:type="dxa"/>
            <w:vAlign w:val="bottom"/>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122</w:t>
            </w:r>
          </w:p>
        </w:tc>
        <w:tc>
          <w:tcPr>
            <w:tcW w:w="120" w:type="dxa"/>
            <w:vAlign w:val="bottom"/>
            <w:shd w:val="clear" w:color="auto" w:fill="CFF0FC"/>
          </w:tcPr>
          <w:p>
            <w:pPr>
              <w:spacing w:after="0"/>
              <w:rPr>
                <w:sz w:val="17"/>
                <w:szCs w:val="17"/>
                <w:color w:val="auto"/>
              </w:rPr>
            </w:pPr>
          </w:p>
        </w:tc>
      </w:tr>
      <w:tr>
        <w:trPr>
          <w:trHeight w:val="196"/>
        </w:trPr>
        <w:tc>
          <w:tcPr>
            <w:tcW w:w="36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7,477</w:t>
            </w:r>
          </w:p>
        </w:tc>
        <w:tc>
          <w:tcPr>
            <w:tcW w:w="240" w:type="dxa"/>
            <w:vAlign w:val="bottom"/>
          </w:tcPr>
          <w:p>
            <w:pPr>
              <w:spacing w:after="0"/>
              <w:rPr>
                <w:sz w:val="17"/>
                <w:szCs w:val="17"/>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5,847</w:t>
            </w:r>
          </w:p>
        </w:tc>
        <w:tc>
          <w:tcPr>
            <w:tcW w:w="22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20,213</w:t>
            </w: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16,704</w:t>
            </w:r>
          </w:p>
        </w:tc>
        <w:tc>
          <w:tcPr>
            <w:tcW w:w="120" w:type="dxa"/>
            <w:vAlign w:val="bottom"/>
          </w:tcPr>
          <w:p>
            <w:pPr>
              <w:spacing w:after="0"/>
              <w:rPr>
                <w:sz w:val="17"/>
                <w:szCs w:val="17"/>
                <w:color w:val="auto"/>
              </w:rPr>
            </w:pPr>
          </w:p>
        </w:tc>
      </w:tr>
      <w:tr>
        <w:trPr>
          <w:trHeight w:val="20"/>
        </w:trPr>
        <w:tc>
          <w:tcPr>
            <w:tcW w:w="36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69" w:right="23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North America and International revenue disaggregated by segment was as follows: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6"/>
          </w:tcPr>
          <w:p>
            <w:pPr>
              <w:ind w:left="60"/>
              <w:spacing w:after="0"/>
              <w:rPr>
                <w:sz w:val="20"/>
                <w:szCs w:val="20"/>
                <w:color w:val="auto"/>
              </w:rPr>
            </w:pPr>
            <w:r>
              <w:rPr>
                <w:rFonts w:ascii="Arial" w:cs="Arial" w:eastAsia="Arial" w:hAnsi="Arial"/>
                <w:sz w:val="14"/>
                <w:szCs w:val="14"/>
                <w:i w:val="1"/>
                <w:iCs w:val="1"/>
                <w:color w:val="auto"/>
              </w:rPr>
              <w:t>(Stated in millions)</w:t>
            </w:r>
          </w:p>
        </w:tc>
      </w:tr>
      <w:tr>
        <w:trPr>
          <w:trHeight w:val="386"/>
        </w:trPr>
        <w:tc>
          <w:tcPr>
            <w:tcW w:w="37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tcPr>
          <w:p>
            <w:pPr>
              <w:jc w:val="center"/>
              <w:ind w:left="119"/>
              <w:spacing w:after="0"/>
              <w:rPr>
                <w:sz w:val="20"/>
                <w:szCs w:val="20"/>
                <w:color w:val="auto"/>
              </w:rPr>
            </w:pPr>
            <w:r>
              <w:rPr>
                <w:rFonts w:ascii="Arial" w:cs="Arial" w:eastAsia="Arial" w:hAnsi="Arial"/>
                <w:sz w:val="16"/>
                <w:szCs w:val="16"/>
                <w:b w:val="1"/>
                <w:bCs w:val="1"/>
                <w:color w:val="auto"/>
              </w:rPr>
              <w:t>Third Quarter 2022</w:t>
            </w: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37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98"/>
              </w:rPr>
              <w:t>North</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37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rPr>
              <w:t>America</w:t>
            </w:r>
          </w:p>
        </w:tc>
        <w:tc>
          <w:tcPr>
            <w:tcW w:w="130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9"/>
              </w:rPr>
              <w:t>International</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jc w:val="center"/>
              <w:ind w:left="202"/>
              <w:spacing w:after="0"/>
              <w:rPr>
                <w:sz w:val="20"/>
                <w:szCs w:val="20"/>
                <w:color w:val="auto"/>
              </w:rPr>
            </w:pPr>
            <w:r>
              <w:rPr>
                <w:rFonts w:ascii="Arial" w:cs="Arial" w:eastAsia="Arial" w:hAnsi="Arial"/>
                <w:sz w:val="16"/>
                <w:szCs w:val="16"/>
                <w:b w:val="1"/>
                <w:bCs w:val="1"/>
                <w:color w:val="auto"/>
                <w:w w:val="98"/>
              </w:rPr>
              <w:t>Other</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w w:val="99"/>
              </w:rPr>
              <w:t>Total</w:t>
            </w:r>
          </w:p>
        </w:tc>
      </w:tr>
      <w:tr>
        <w:trPr>
          <w:trHeight w:val="196"/>
        </w:trPr>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Digital &amp; Integration</w:t>
            </w:r>
          </w:p>
        </w:tc>
        <w:tc>
          <w:tcPr>
            <w:tcW w:w="206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229</w:t>
            </w: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671</w:t>
            </w: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840" w:type="dxa"/>
            <w:vAlign w:val="bottom"/>
            <w:tcBorders>
              <w:top w:val="single" w:sz="8" w:color="auto"/>
            </w:tcBorders>
            <w:gridSpan w:val="2"/>
            <w:shd w:val="clear" w:color="auto" w:fill="CFF0FC"/>
          </w:tcPr>
          <w:p>
            <w:pPr>
              <w:jc w:val="right"/>
              <w:ind w:right="682"/>
              <w:spacing w:after="0"/>
              <w:rPr>
                <w:sz w:val="20"/>
                <w:szCs w:val="20"/>
                <w:color w:val="auto"/>
              </w:rPr>
            </w:pPr>
            <w:r>
              <w:rPr>
                <w:rFonts w:ascii="Arial" w:cs="Arial" w:eastAsia="Arial" w:hAnsi="Arial"/>
                <w:sz w:val="15"/>
                <w:szCs w:val="15"/>
                <w:b w:val="1"/>
                <w:bCs w:val="1"/>
                <w:color w:val="auto"/>
                <w:w w:val="71"/>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900</w:t>
            </w:r>
          </w:p>
        </w:tc>
        <w:tc>
          <w:tcPr>
            <w:tcW w:w="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03"/>
        </w:trPr>
        <w:tc>
          <w:tcPr>
            <w:tcW w:w="3720" w:type="dxa"/>
            <w:vAlign w:val="bottom"/>
          </w:tcPr>
          <w:p>
            <w:pPr>
              <w:spacing w:after="0"/>
              <w:rPr>
                <w:sz w:val="20"/>
                <w:szCs w:val="20"/>
                <w:color w:val="auto"/>
              </w:rPr>
            </w:pPr>
            <w:r>
              <w:rPr>
                <w:rFonts w:ascii="Arial" w:cs="Arial" w:eastAsia="Arial" w:hAnsi="Arial"/>
                <w:sz w:val="16"/>
                <w:szCs w:val="16"/>
                <w:color w:val="auto"/>
              </w:rPr>
              <w:t>Reservoir Performance</w:t>
            </w:r>
          </w:p>
        </w:tc>
        <w:tc>
          <w:tcPr>
            <w:tcW w:w="2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119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1,335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1,456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720" w:type="dxa"/>
            <w:vAlign w:val="bottom"/>
            <w:shd w:val="clear" w:color="auto" w:fill="CFF0FC"/>
          </w:tcPr>
          <w:p>
            <w:pPr>
              <w:spacing w:after="0"/>
              <w:rPr>
                <w:sz w:val="20"/>
                <w:szCs w:val="20"/>
                <w:color w:val="auto"/>
              </w:rPr>
            </w:pPr>
            <w:r>
              <w:rPr>
                <w:rFonts w:ascii="Arial" w:cs="Arial" w:eastAsia="Arial" w:hAnsi="Arial"/>
                <w:sz w:val="16"/>
                <w:szCs w:val="16"/>
                <w:color w:val="auto"/>
              </w:rPr>
              <w:t>Well Construction</w:t>
            </w:r>
          </w:p>
        </w:tc>
        <w:tc>
          <w:tcPr>
            <w:tcW w:w="20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621</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2,406</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57</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3,084</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720" w:type="dxa"/>
            <w:vAlign w:val="bottom"/>
          </w:tcPr>
          <w:p>
            <w:pPr>
              <w:spacing w:after="0"/>
              <w:rPr>
                <w:sz w:val="20"/>
                <w:szCs w:val="20"/>
                <w:color w:val="auto"/>
              </w:rPr>
            </w:pPr>
            <w:r>
              <w:rPr>
                <w:rFonts w:ascii="Arial" w:cs="Arial" w:eastAsia="Arial" w:hAnsi="Arial"/>
                <w:sz w:val="16"/>
                <w:szCs w:val="16"/>
                <w:color w:val="auto"/>
              </w:rPr>
              <w:t>Production Systems</w:t>
            </w:r>
          </w:p>
        </w:tc>
        <w:tc>
          <w:tcPr>
            <w:tcW w:w="2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578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1,569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2,150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720" w:type="dxa"/>
            <w:vAlign w:val="bottom"/>
            <w:shd w:val="clear" w:color="auto" w:fill="CFF0FC"/>
          </w:tcPr>
          <w:p>
            <w:pPr>
              <w:spacing w:after="0"/>
              <w:rPr>
                <w:sz w:val="20"/>
                <w:szCs w:val="20"/>
                <w:color w:val="auto"/>
              </w:rPr>
            </w:pPr>
            <w:r>
              <w:rPr>
                <w:rFonts w:ascii="Arial" w:cs="Arial" w:eastAsia="Arial" w:hAnsi="Arial"/>
                <w:sz w:val="16"/>
                <w:szCs w:val="16"/>
                <w:color w:val="auto"/>
              </w:rPr>
              <w:t>Eliminations &amp; other</w:t>
            </w:r>
          </w:p>
        </w:tc>
        <w:tc>
          <w:tcPr>
            <w:tcW w:w="20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(4)</w:t>
            </w: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(100)</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(9)</w:t>
            </w: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b w:val="1"/>
                <w:bCs w:val="1"/>
                <w:color w:val="auto"/>
              </w:rPr>
              <w:t>(113)</w:t>
            </w:r>
          </w:p>
        </w:tc>
      </w:tr>
      <w:tr>
        <w:trPr>
          <w:trHeight w:val="196"/>
        </w:trPr>
        <w:tc>
          <w:tcPr>
            <w:tcW w:w="37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1,543</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5,881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top w:val="single" w:sz="8" w:color="auto"/>
              <w:bottom w:val="single" w:sz="8" w:color="auto"/>
            </w:tcBorders>
            <w:gridSpan w:val="2"/>
          </w:tcPr>
          <w:p>
            <w:pPr>
              <w:jc w:val="right"/>
              <w:ind w:right="682"/>
              <w:spacing w:after="0"/>
              <w:rPr>
                <w:sz w:val="20"/>
                <w:szCs w:val="20"/>
                <w:color w:val="auto"/>
              </w:rPr>
            </w:pPr>
            <w:r>
              <w:rPr>
                <w:rFonts w:ascii="Arial" w:cs="Arial" w:eastAsia="Arial" w:hAnsi="Arial"/>
                <w:sz w:val="15"/>
                <w:szCs w:val="15"/>
                <w:b w:val="1"/>
                <w:bCs w:val="1"/>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7,477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37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88"/>
        </w:trPr>
        <w:tc>
          <w:tcPr>
            <w:tcW w:w="37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tcPr>
          <w:p>
            <w:pPr>
              <w:jc w:val="center"/>
              <w:ind w:left="119"/>
              <w:spacing w:after="0"/>
              <w:rPr>
                <w:sz w:val="20"/>
                <w:szCs w:val="20"/>
                <w:color w:val="auto"/>
              </w:rPr>
            </w:pPr>
            <w:r>
              <w:rPr>
                <w:rFonts w:ascii="Arial" w:cs="Arial" w:eastAsia="Arial" w:hAnsi="Arial"/>
                <w:sz w:val="16"/>
                <w:szCs w:val="16"/>
                <w:color w:val="auto"/>
              </w:rPr>
              <w:t>Third Quarter 2021</w:t>
            </w: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37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3"/>
          </w:tcPr>
          <w:p>
            <w:pPr>
              <w:jc w:val="center"/>
              <w:ind w:right="380"/>
              <w:spacing w:after="0"/>
              <w:rPr>
                <w:sz w:val="20"/>
                <w:szCs w:val="20"/>
                <w:color w:val="auto"/>
              </w:rPr>
            </w:pPr>
            <w:r>
              <w:rPr>
                <w:rFonts w:ascii="Arial" w:cs="Arial" w:eastAsia="Arial" w:hAnsi="Arial"/>
                <w:sz w:val="16"/>
                <w:szCs w:val="16"/>
                <w:color w:val="auto"/>
              </w:rPr>
              <w:t>North</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37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3"/>
          </w:tcPr>
          <w:p>
            <w:pPr>
              <w:jc w:val="center"/>
              <w:ind w:right="380"/>
              <w:spacing w:after="0"/>
              <w:rPr>
                <w:sz w:val="20"/>
                <w:szCs w:val="20"/>
                <w:color w:val="auto"/>
              </w:rPr>
            </w:pPr>
            <w:r>
              <w:rPr>
                <w:rFonts w:ascii="Arial" w:cs="Arial" w:eastAsia="Arial" w:hAnsi="Arial"/>
                <w:sz w:val="16"/>
                <w:szCs w:val="16"/>
                <w:color w:val="auto"/>
              </w:rPr>
              <w:t>America</w:t>
            </w:r>
          </w:p>
        </w:tc>
        <w:tc>
          <w:tcPr>
            <w:tcW w:w="12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color w:val="auto"/>
                <w:w w:val="99"/>
              </w:rPr>
              <w:t>International</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jc w:val="center"/>
              <w:ind w:left="202"/>
              <w:spacing w:after="0"/>
              <w:rPr>
                <w:sz w:val="20"/>
                <w:szCs w:val="20"/>
                <w:color w:val="auto"/>
              </w:rPr>
            </w:pPr>
            <w:r>
              <w:rPr>
                <w:rFonts w:ascii="Arial" w:cs="Arial" w:eastAsia="Arial" w:hAnsi="Arial"/>
                <w:sz w:val="16"/>
                <w:szCs w:val="16"/>
                <w:color w:val="auto"/>
              </w:rPr>
              <w:t>Other</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3"/>
          </w:tcPr>
          <w:p>
            <w:pPr>
              <w:jc w:val="center"/>
              <w:ind w:right="380"/>
              <w:spacing w:after="0"/>
              <w:rPr>
                <w:sz w:val="20"/>
                <w:szCs w:val="20"/>
                <w:color w:val="auto"/>
              </w:rPr>
            </w:pPr>
            <w:r>
              <w:rPr>
                <w:rFonts w:ascii="Arial" w:cs="Arial" w:eastAsia="Arial" w:hAnsi="Arial"/>
                <w:sz w:val="16"/>
                <w:szCs w:val="16"/>
                <w:color w:val="auto"/>
                <w:w w:val="95"/>
              </w:rPr>
              <w:t>Total</w:t>
            </w:r>
          </w:p>
        </w:tc>
      </w:tr>
      <w:tr>
        <w:trPr>
          <w:trHeight w:val="196"/>
        </w:trPr>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Digital &amp; Integration</w:t>
            </w:r>
          </w:p>
        </w:tc>
        <w:tc>
          <w:tcPr>
            <w:tcW w:w="206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196</w:t>
            </w: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615</w:t>
            </w: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840" w:type="dxa"/>
            <w:vAlign w:val="bottom"/>
            <w:tcBorders>
              <w:top w:val="single" w:sz="8" w:color="auto"/>
            </w:tcBorders>
            <w:gridSpan w:val="2"/>
            <w:shd w:val="clear" w:color="auto" w:fill="CFF0FC"/>
          </w:tcPr>
          <w:p>
            <w:pPr>
              <w:jc w:val="right"/>
              <w:ind w:right="682"/>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812</w:t>
            </w:r>
          </w:p>
        </w:tc>
        <w:tc>
          <w:tcPr>
            <w:tcW w:w="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03"/>
        </w:trPr>
        <w:tc>
          <w:tcPr>
            <w:tcW w:w="3720" w:type="dxa"/>
            <w:vAlign w:val="bottom"/>
          </w:tcPr>
          <w:p>
            <w:pPr>
              <w:spacing w:after="0"/>
              <w:rPr>
                <w:sz w:val="20"/>
                <w:szCs w:val="20"/>
                <w:color w:val="auto"/>
              </w:rPr>
            </w:pPr>
            <w:r>
              <w:rPr>
                <w:rFonts w:ascii="Arial" w:cs="Arial" w:eastAsia="Arial" w:hAnsi="Arial"/>
                <w:sz w:val="16"/>
                <w:szCs w:val="16"/>
                <w:color w:val="auto"/>
              </w:rPr>
              <w:t>Reservoir Performance</w:t>
            </w:r>
          </w:p>
        </w:tc>
        <w:tc>
          <w:tcPr>
            <w:tcW w:w="2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79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1,112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1,192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720" w:type="dxa"/>
            <w:vAlign w:val="bottom"/>
            <w:shd w:val="clear" w:color="auto" w:fill="CFF0FC"/>
          </w:tcPr>
          <w:p>
            <w:pPr>
              <w:spacing w:after="0"/>
              <w:rPr>
                <w:sz w:val="20"/>
                <w:szCs w:val="20"/>
                <w:color w:val="auto"/>
              </w:rPr>
            </w:pPr>
            <w:r>
              <w:rPr>
                <w:rFonts w:ascii="Arial" w:cs="Arial" w:eastAsia="Arial" w:hAnsi="Arial"/>
                <w:sz w:val="16"/>
                <w:szCs w:val="16"/>
                <w:color w:val="auto"/>
              </w:rPr>
              <w:t>Well Construction</w:t>
            </w:r>
          </w:p>
        </w:tc>
        <w:tc>
          <w:tcPr>
            <w:tcW w:w="20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382</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1,839</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2,273</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720" w:type="dxa"/>
            <w:vAlign w:val="bottom"/>
          </w:tcPr>
          <w:p>
            <w:pPr>
              <w:spacing w:after="0"/>
              <w:rPr>
                <w:sz w:val="20"/>
                <w:szCs w:val="20"/>
                <w:color w:val="auto"/>
              </w:rPr>
            </w:pPr>
            <w:r>
              <w:rPr>
                <w:rFonts w:ascii="Arial" w:cs="Arial" w:eastAsia="Arial" w:hAnsi="Arial"/>
                <w:sz w:val="16"/>
                <w:szCs w:val="16"/>
                <w:color w:val="auto"/>
              </w:rPr>
              <w:t>Production Systems</w:t>
            </w:r>
          </w:p>
        </w:tc>
        <w:tc>
          <w:tcPr>
            <w:tcW w:w="2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469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1,205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1,674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720" w:type="dxa"/>
            <w:vAlign w:val="bottom"/>
            <w:shd w:val="clear" w:color="auto" w:fill="CFF0FC"/>
          </w:tcPr>
          <w:p>
            <w:pPr>
              <w:spacing w:after="0"/>
              <w:rPr>
                <w:sz w:val="20"/>
                <w:szCs w:val="20"/>
                <w:color w:val="auto"/>
              </w:rPr>
            </w:pPr>
            <w:r>
              <w:rPr>
                <w:rFonts w:ascii="Arial" w:cs="Arial" w:eastAsia="Arial" w:hAnsi="Arial"/>
                <w:sz w:val="16"/>
                <w:szCs w:val="16"/>
                <w:color w:val="auto"/>
              </w:rPr>
              <w:t>Eliminations &amp; other</w:t>
            </w:r>
          </w:p>
        </w:tc>
        <w:tc>
          <w:tcPr>
            <w:tcW w:w="20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(11)</w:t>
            </w: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(104)</w:t>
            </w:r>
          </w:p>
        </w:tc>
      </w:tr>
      <w:tr>
        <w:trPr>
          <w:trHeight w:val="196"/>
        </w:trPr>
        <w:tc>
          <w:tcPr>
            <w:tcW w:w="37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1,129</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4,675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top w:val="single" w:sz="8" w:color="auto"/>
              <w:bottom w:val="single" w:sz="8" w:color="auto"/>
            </w:tcBorders>
            <w:gridSpan w:val="2"/>
          </w:tcPr>
          <w:p>
            <w:pPr>
              <w:jc w:val="right"/>
              <w:ind w:right="682"/>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5,847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37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07"/>
        </w:trPr>
        <w:tc>
          <w:tcPr>
            <w:tcW w:w="37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tcPr>
          <w:p>
            <w:pPr>
              <w:jc w:val="center"/>
              <w:ind w:left="139"/>
              <w:spacing w:after="0"/>
              <w:rPr>
                <w:sz w:val="20"/>
                <w:szCs w:val="20"/>
                <w:color w:val="auto"/>
              </w:rPr>
            </w:pPr>
            <w:r>
              <w:rPr>
                <w:rFonts w:ascii="Arial" w:cs="Arial" w:eastAsia="Arial" w:hAnsi="Arial"/>
                <w:sz w:val="16"/>
                <w:szCs w:val="16"/>
                <w:b w:val="1"/>
                <w:bCs w:val="1"/>
                <w:color w:val="auto"/>
              </w:rPr>
              <w:t>Nine Months 2022</w:t>
            </w: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37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rPr>
              <w:t>North</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37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rPr>
              <w:t>America</w:t>
            </w:r>
          </w:p>
        </w:tc>
        <w:tc>
          <w:tcPr>
            <w:tcW w:w="130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9"/>
              </w:rPr>
              <w:t>International</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jc w:val="center"/>
              <w:ind w:left="222"/>
              <w:spacing w:after="0"/>
              <w:rPr>
                <w:sz w:val="20"/>
                <w:szCs w:val="20"/>
                <w:color w:val="auto"/>
              </w:rPr>
            </w:pPr>
            <w:r>
              <w:rPr>
                <w:rFonts w:ascii="Arial" w:cs="Arial" w:eastAsia="Arial" w:hAnsi="Arial"/>
                <w:sz w:val="16"/>
                <w:szCs w:val="16"/>
                <w:b w:val="1"/>
                <w:bCs w:val="1"/>
                <w:color w:val="auto"/>
              </w:rPr>
              <w:t>Other</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9"/>
              </w:rPr>
              <w:t>Total</w:t>
            </w:r>
          </w:p>
        </w:tc>
      </w:tr>
      <w:tr>
        <w:trPr>
          <w:trHeight w:val="196"/>
        </w:trPr>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Digital &amp; Integration</w:t>
            </w:r>
          </w:p>
        </w:tc>
        <w:tc>
          <w:tcPr>
            <w:tcW w:w="20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781</w:t>
            </w:r>
          </w:p>
        </w:tc>
        <w:tc>
          <w:tcPr>
            <w:tcW w:w="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1,928</w:t>
            </w:r>
          </w:p>
        </w:tc>
        <w:tc>
          <w:tcPr>
            <w:tcW w:w="1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gridSpan w:val="2"/>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jc w:val="right"/>
              <w:ind w:right="662"/>
              <w:spacing w:after="0"/>
              <w:rPr>
                <w:sz w:val="20"/>
                <w:szCs w:val="20"/>
                <w:color w:val="auto"/>
              </w:rPr>
            </w:pPr>
            <w:r>
              <w:rPr>
                <w:rFonts w:ascii="Arial" w:cs="Arial" w:eastAsia="Arial" w:hAnsi="Arial"/>
                <w:sz w:val="15"/>
                <w:szCs w:val="15"/>
                <w:b w:val="1"/>
                <w:bCs w:val="1"/>
                <w:color w:val="auto"/>
                <w:w w:val="71"/>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w:t>
            </w:r>
          </w:p>
        </w:tc>
        <w:tc>
          <w:tcPr>
            <w:tcW w:w="1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gridSpan w:val="2"/>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2,713</w:t>
            </w:r>
          </w:p>
        </w:tc>
        <w:tc>
          <w:tcPr>
            <w:tcW w:w="100" w:type="dxa"/>
            <w:vAlign w:val="bottom"/>
            <w:tcBorders>
              <w:top w:val="single" w:sz="8" w:color="CFF0FC"/>
            </w:tcBorders>
            <w:shd w:val="clear" w:color="auto" w:fill="CFF0FC"/>
          </w:tcPr>
          <w:p>
            <w:pPr>
              <w:spacing w:after="0"/>
              <w:rPr>
                <w:sz w:val="17"/>
                <w:szCs w:val="17"/>
                <w:color w:val="auto"/>
              </w:rPr>
            </w:pPr>
          </w:p>
        </w:tc>
      </w:tr>
      <w:tr>
        <w:trPr>
          <w:trHeight w:val="203"/>
        </w:trPr>
        <w:tc>
          <w:tcPr>
            <w:tcW w:w="3720" w:type="dxa"/>
            <w:vAlign w:val="bottom"/>
          </w:tcPr>
          <w:p>
            <w:pPr>
              <w:spacing w:after="0"/>
              <w:rPr>
                <w:sz w:val="20"/>
                <w:szCs w:val="20"/>
                <w:color w:val="auto"/>
              </w:rPr>
            </w:pPr>
            <w:r>
              <w:rPr>
                <w:rFonts w:ascii="Arial" w:cs="Arial" w:eastAsia="Arial" w:hAnsi="Arial"/>
                <w:sz w:val="16"/>
                <w:szCs w:val="16"/>
                <w:color w:val="auto"/>
              </w:rPr>
              <w:t>Reservoir Performance</w:t>
            </w:r>
          </w:p>
        </w:tc>
        <w:tc>
          <w:tcPr>
            <w:tcW w:w="2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333</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3,661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3,999</w:t>
            </w:r>
          </w:p>
        </w:tc>
        <w:tc>
          <w:tcPr>
            <w:tcW w:w="100" w:type="dxa"/>
            <w:vAlign w:val="bottom"/>
          </w:tcPr>
          <w:p>
            <w:pPr>
              <w:spacing w:after="0"/>
              <w:rPr>
                <w:sz w:val="17"/>
                <w:szCs w:val="17"/>
                <w:color w:val="auto"/>
              </w:rPr>
            </w:pPr>
          </w:p>
        </w:tc>
      </w:tr>
      <w:tr>
        <w:trPr>
          <w:trHeight w:val="203"/>
        </w:trPr>
        <w:tc>
          <w:tcPr>
            <w:tcW w:w="3720" w:type="dxa"/>
            <w:vAlign w:val="bottom"/>
            <w:shd w:val="clear" w:color="auto" w:fill="CFF0FC"/>
          </w:tcPr>
          <w:p>
            <w:pPr>
              <w:spacing w:after="0"/>
              <w:rPr>
                <w:sz w:val="20"/>
                <w:szCs w:val="20"/>
                <w:color w:val="auto"/>
              </w:rPr>
            </w:pPr>
            <w:r>
              <w:rPr>
                <w:rFonts w:ascii="Arial" w:cs="Arial" w:eastAsia="Arial" w:hAnsi="Arial"/>
                <w:sz w:val="16"/>
                <w:szCs w:val="16"/>
                <w:color w:val="auto"/>
              </w:rPr>
              <w:t>Well Construction</w:t>
            </w:r>
          </w:p>
        </w:tc>
        <w:tc>
          <w:tcPr>
            <w:tcW w:w="20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1,659</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6,354</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155</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8,168</w:t>
            </w:r>
          </w:p>
        </w:tc>
        <w:tc>
          <w:tcPr>
            <w:tcW w:w="100" w:type="dxa"/>
            <w:vAlign w:val="bottom"/>
            <w:shd w:val="clear" w:color="auto" w:fill="CFF0FC"/>
          </w:tcPr>
          <w:p>
            <w:pPr>
              <w:spacing w:after="0"/>
              <w:rPr>
                <w:sz w:val="17"/>
                <w:szCs w:val="17"/>
                <w:color w:val="auto"/>
              </w:rPr>
            </w:pPr>
          </w:p>
        </w:tc>
      </w:tr>
      <w:tr>
        <w:trPr>
          <w:trHeight w:val="203"/>
        </w:trPr>
        <w:tc>
          <w:tcPr>
            <w:tcW w:w="3720" w:type="dxa"/>
            <w:vAlign w:val="bottom"/>
          </w:tcPr>
          <w:p>
            <w:pPr>
              <w:spacing w:after="0"/>
              <w:rPr>
                <w:sz w:val="20"/>
                <w:szCs w:val="20"/>
                <w:color w:val="auto"/>
              </w:rPr>
            </w:pPr>
            <w:r>
              <w:rPr>
                <w:rFonts w:ascii="Arial" w:cs="Arial" w:eastAsia="Arial" w:hAnsi="Arial"/>
                <w:sz w:val="16"/>
                <w:szCs w:val="16"/>
                <w:color w:val="auto"/>
              </w:rPr>
              <w:t>Production Systems</w:t>
            </w:r>
          </w:p>
        </w:tc>
        <w:tc>
          <w:tcPr>
            <w:tcW w:w="2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1,601</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4,037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5,647</w:t>
            </w:r>
          </w:p>
        </w:tc>
        <w:tc>
          <w:tcPr>
            <w:tcW w:w="100" w:type="dxa"/>
            <w:vAlign w:val="bottom"/>
          </w:tcPr>
          <w:p>
            <w:pPr>
              <w:spacing w:after="0"/>
              <w:rPr>
                <w:sz w:val="17"/>
                <w:szCs w:val="17"/>
                <w:color w:val="auto"/>
              </w:rPr>
            </w:pPr>
          </w:p>
        </w:tc>
      </w:tr>
      <w:tr>
        <w:trPr>
          <w:trHeight w:val="203"/>
        </w:trPr>
        <w:tc>
          <w:tcPr>
            <w:tcW w:w="3720" w:type="dxa"/>
            <w:vAlign w:val="bottom"/>
            <w:shd w:val="clear" w:color="auto" w:fill="CFF0FC"/>
          </w:tcPr>
          <w:p>
            <w:pPr>
              <w:spacing w:after="0"/>
              <w:rPr>
                <w:sz w:val="20"/>
                <w:szCs w:val="20"/>
                <w:color w:val="auto"/>
              </w:rPr>
            </w:pPr>
            <w:r>
              <w:rPr>
                <w:rFonts w:ascii="Arial" w:cs="Arial" w:eastAsia="Arial" w:hAnsi="Arial"/>
                <w:sz w:val="16"/>
                <w:szCs w:val="16"/>
                <w:color w:val="auto"/>
              </w:rPr>
              <w:t>Eliminations &amp; other</w:t>
            </w:r>
          </w:p>
        </w:tc>
        <w:tc>
          <w:tcPr>
            <w:tcW w:w="20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(12)</w:t>
            </w: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(279)</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(23)</w:t>
            </w: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b w:val="1"/>
                <w:bCs w:val="1"/>
                <w:color w:val="auto"/>
              </w:rPr>
              <w:t>(314)</w:t>
            </w:r>
          </w:p>
        </w:tc>
      </w:tr>
      <w:tr>
        <w:trPr>
          <w:trHeight w:val="196"/>
        </w:trPr>
        <w:tc>
          <w:tcPr>
            <w:tcW w:w="37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4,362</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15,701</w:t>
            </w:r>
          </w:p>
        </w:tc>
        <w:tc>
          <w:tcPr>
            <w:tcW w:w="14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820" w:type="dxa"/>
            <w:vAlign w:val="bottom"/>
            <w:tcBorders>
              <w:top w:val="single" w:sz="8" w:color="auto"/>
              <w:bottom w:val="single" w:sz="8" w:color="auto"/>
            </w:tcBorders>
          </w:tcPr>
          <w:p>
            <w:pPr>
              <w:jc w:val="right"/>
              <w:ind w:right="662"/>
              <w:spacing w:after="0"/>
              <w:rPr>
                <w:sz w:val="20"/>
                <w:szCs w:val="20"/>
                <w:color w:val="auto"/>
              </w:rPr>
            </w:pPr>
            <w:r>
              <w:rPr>
                <w:rFonts w:ascii="Arial" w:cs="Arial" w:eastAsia="Arial" w:hAnsi="Arial"/>
                <w:sz w:val="15"/>
                <w:szCs w:val="15"/>
                <w:b w:val="1"/>
                <w:bCs w:val="1"/>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150</w:t>
            </w:r>
          </w:p>
        </w:tc>
        <w:tc>
          <w:tcPr>
            <w:tcW w:w="14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20,213</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37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88"/>
        </w:trPr>
        <w:tc>
          <w:tcPr>
            <w:tcW w:w="37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tcPr>
          <w:p>
            <w:pPr>
              <w:jc w:val="center"/>
              <w:ind w:left="119"/>
              <w:spacing w:after="0"/>
              <w:rPr>
                <w:sz w:val="20"/>
                <w:szCs w:val="20"/>
                <w:color w:val="auto"/>
              </w:rPr>
            </w:pPr>
            <w:r>
              <w:rPr>
                <w:rFonts w:ascii="Arial" w:cs="Arial" w:eastAsia="Arial" w:hAnsi="Arial"/>
                <w:sz w:val="16"/>
                <w:szCs w:val="16"/>
                <w:color w:val="auto"/>
              </w:rPr>
              <w:t>Nine Months 2021</w:t>
            </w: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37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3"/>
          </w:tcPr>
          <w:p>
            <w:pPr>
              <w:jc w:val="center"/>
              <w:ind w:right="420"/>
              <w:spacing w:after="0"/>
              <w:rPr>
                <w:sz w:val="20"/>
                <w:szCs w:val="20"/>
                <w:color w:val="auto"/>
              </w:rPr>
            </w:pPr>
            <w:r>
              <w:rPr>
                <w:rFonts w:ascii="Arial" w:cs="Arial" w:eastAsia="Arial" w:hAnsi="Arial"/>
                <w:sz w:val="16"/>
                <w:szCs w:val="16"/>
                <w:color w:val="auto"/>
              </w:rPr>
              <w:t>North</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37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3"/>
          </w:tcPr>
          <w:p>
            <w:pPr>
              <w:jc w:val="center"/>
              <w:ind w:right="420"/>
              <w:spacing w:after="0"/>
              <w:rPr>
                <w:sz w:val="20"/>
                <w:szCs w:val="20"/>
                <w:color w:val="auto"/>
              </w:rPr>
            </w:pPr>
            <w:r>
              <w:rPr>
                <w:rFonts w:ascii="Arial" w:cs="Arial" w:eastAsia="Arial" w:hAnsi="Arial"/>
                <w:sz w:val="16"/>
                <w:szCs w:val="16"/>
                <w:color w:val="auto"/>
              </w:rPr>
              <w:t>America</w:t>
            </w:r>
          </w:p>
        </w:tc>
        <w:tc>
          <w:tcPr>
            <w:tcW w:w="12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color w:val="auto"/>
                <w:w w:val="99"/>
              </w:rPr>
              <w:t>International</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jc w:val="center"/>
              <w:ind w:left="222"/>
              <w:spacing w:after="0"/>
              <w:rPr>
                <w:sz w:val="20"/>
                <w:szCs w:val="20"/>
                <w:color w:val="auto"/>
              </w:rPr>
            </w:pPr>
            <w:r>
              <w:rPr>
                <w:rFonts w:ascii="Arial" w:cs="Arial" w:eastAsia="Arial" w:hAnsi="Arial"/>
                <w:sz w:val="16"/>
                <w:szCs w:val="16"/>
                <w:color w:val="auto"/>
                <w:w w:val="99"/>
              </w:rPr>
              <w:t>Other</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3"/>
          </w:tcPr>
          <w:p>
            <w:pPr>
              <w:jc w:val="center"/>
              <w:ind w:right="340"/>
              <w:spacing w:after="0"/>
              <w:rPr>
                <w:sz w:val="20"/>
                <w:szCs w:val="20"/>
                <w:color w:val="auto"/>
              </w:rPr>
            </w:pPr>
            <w:r>
              <w:rPr>
                <w:rFonts w:ascii="Arial" w:cs="Arial" w:eastAsia="Arial" w:hAnsi="Arial"/>
                <w:sz w:val="16"/>
                <w:szCs w:val="16"/>
                <w:color w:val="auto"/>
                <w:w w:val="95"/>
              </w:rPr>
              <w:t>Total</w:t>
            </w:r>
          </w:p>
        </w:tc>
      </w:tr>
      <w:tr>
        <w:trPr>
          <w:trHeight w:val="196"/>
        </w:trPr>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Digital &amp; Integration</w:t>
            </w:r>
          </w:p>
        </w:tc>
        <w:tc>
          <w:tcPr>
            <w:tcW w:w="20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549</w:t>
            </w:r>
          </w:p>
        </w:tc>
        <w:tc>
          <w:tcPr>
            <w:tcW w:w="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1,850</w:t>
            </w:r>
          </w:p>
        </w:tc>
        <w:tc>
          <w:tcPr>
            <w:tcW w:w="1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gridSpan w:val="2"/>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jc w:val="right"/>
              <w:ind w:right="662"/>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gridSpan w:val="2"/>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2,401</w:t>
            </w:r>
          </w:p>
        </w:tc>
        <w:tc>
          <w:tcPr>
            <w:tcW w:w="100" w:type="dxa"/>
            <w:vAlign w:val="bottom"/>
            <w:tcBorders>
              <w:top w:val="single" w:sz="8" w:color="CFF0FC"/>
            </w:tcBorders>
            <w:shd w:val="clear" w:color="auto" w:fill="CFF0FC"/>
          </w:tcPr>
          <w:p>
            <w:pPr>
              <w:spacing w:after="0"/>
              <w:rPr>
                <w:sz w:val="17"/>
                <w:szCs w:val="17"/>
                <w:color w:val="auto"/>
              </w:rPr>
            </w:pPr>
          </w:p>
        </w:tc>
      </w:tr>
      <w:tr>
        <w:trPr>
          <w:trHeight w:val="203"/>
        </w:trPr>
        <w:tc>
          <w:tcPr>
            <w:tcW w:w="3720" w:type="dxa"/>
            <w:vAlign w:val="bottom"/>
          </w:tcPr>
          <w:p>
            <w:pPr>
              <w:spacing w:after="0"/>
              <w:rPr>
                <w:sz w:val="20"/>
                <w:szCs w:val="20"/>
                <w:color w:val="auto"/>
              </w:rPr>
            </w:pPr>
            <w:r>
              <w:rPr>
                <w:rFonts w:ascii="Arial" w:cs="Arial" w:eastAsia="Arial" w:hAnsi="Arial"/>
                <w:sz w:val="16"/>
                <w:szCs w:val="16"/>
                <w:color w:val="auto"/>
              </w:rPr>
              <w:t>Reservoir Performance</w:t>
            </w:r>
          </w:p>
        </w:tc>
        <w:tc>
          <w:tcPr>
            <w:tcW w:w="2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237</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3,072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3,312</w:t>
            </w:r>
          </w:p>
        </w:tc>
        <w:tc>
          <w:tcPr>
            <w:tcW w:w="100" w:type="dxa"/>
            <w:vAlign w:val="bottom"/>
          </w:tcPr>
          <w:p>
            <w:pPr>
              <w:spacing w:after="0"/>
              <w:rPr>
                <w:sz w:val="17"/>
                <w:szCs w:val="17"/>
                <w:color w:val="auto"/>
              </w:rPr>
            </w:pPr>
          </w:p>
        </w:tc>
      </w:tr>
      <w:tr>
        <w:trPr>
          <w:trHeight w:val="203"/>
        </w:trPr>
        <w:tc>
          <w:tcPr>
            <w:tcW w:w="3720" w:type="dxa"/>
            <w:vAlign w:val="bottom"/>
            <w:shd w:val="clear" w:color="auto" w:fill="CFF0FC"/>
          </w:tcPr>
          <w:p>
            <w:pPr>
              <w:spacing w:after="0"/>
              <w:rPr>
                <w:sz w:val="20"/>
                <w:szCs w:val="20"/>
                <w:color w:val="auto"/>
              </w:rPr>
            </w:pPr>
            <w:r>
              <w:rPr>
                <w:rFonts w:ascii="Arial" w:cs="Arial" w:eastAsia="Arial" w:hAnsi="Arial"/>
                <w:sz w:val="16"/>
                <w:szCs w:val="16"/>
                <w:color w:val="auto"/>
              </w:rPr>
              <w:t>Well Construction</w:t>
            </w:r>
          </w:p>
        </w:tc>
        <w:tc>
          <w:tcPr>
            <w:tcW w:w="20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1,045</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5,124</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6,319</w:t>
            </w:r>
          </w:p>
        </w:tc>
        <w:tc>
          <w:tcPr>
            <w:tcW w:w="100" w:type="dxa"/>
            <w:vAlign w:val="bottom"/>
            <w:shd w:val="clear" w:color="auto" w:fill="CFF0FC"/>
          </w:tcPr>
          <w:p>
            <w:pPr>
              <w:spacing w:after="0"/>
              <w:rPr>
                <w:sz w:val="17"/>
                <w:szCs w:val="17"/>
                <w:color w:val="auto"/>
              </w:rPr>
            </w:pPr>
          </w:p>
        </w:tc>
      </w:tr>
      <w:tr>
        <w:trPr>
          <w:trHeight w:val="203"/>
        </w:trPr>
        <w:tc>
          <w:tcPr>
            <w:tcW w:w="3720" w:type="dxa"/>
            <w:vAlign w:val="bottom"/>
          </w:tcPr>
          <w:p>
            <w:pPr>
              <w:spacing w:after="0"/>
              <w:rPr>
                <w:sz w:val="20"/>
                <w:szCs w:val="20"/>
                <w:color w:val="auto"/>
              </w:rPr>
            </w:pPr>
            <w:r>
              <w:rPr>
                <w:rFonts w:ascii="Arial" w:cs="Arial" w:eastAsia="Arial" w:hAnsi="Arial"/>
                <w:sz w:val="16"/>
                <w:szCs w:val="16"/>
                <w:color w:val="auto"/>
              </w:rPr>
              <w:t>Production Systems</w:t>
            </w:r>
          </w:p>
        </w:tc>
        <w:tc>
          <w:tcPr>
            <w:tcW w:w="2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1,347</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3,587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12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4,946</w:t>
            </w:r>
          </w:p>
        </w:tc>
        <w:tc>
          <w:tcPr>
            <w:tcW w:w="100" w:type="dxa"/>
            <w:vAlign w:val="bottom"/>
          </w:tcPr>
          <w:p>
            <w:pPr>
              <w:spacing w:after="0"/>
              <w:rPr>
                <w:sz w:val="17"/>
                <w:szCs w:val="17"/>
                <w:color w:val="auto"/>
              </w:rPr>
            </w:pPr>
          </w:p>
        </w:tc>
      </w:tr>
      <w:tr>
        <w:trPr>
          <w:trHeight w:val="203"/>
        </w:trPr>
        <w:tc>
          <w:tcPr>
            <w:tcW w:w="3720" w:type="dxa"/>
            <w:vAlign w:val="bottom"/>
            <w:shd w:val="clear" w:color="auto" w:fill="CFF0FC"/>
          </w:tcPr>
          <w:p>
            <w:pPr>
              <w:spacing w:after="0"/>
              <w:rPr>
                <w:sz w:val="20"/>
                <w:szCs w:val="20"/>
                <w:color w:val="auto"/>
              </w:rPr>
            </w:pPr>
            <w:r>
              <w:rPr>
                <w:rFonts w:ascii="Arial" w:cs="Arial" w:eastAsia="Arial" w:hAnsi="Arial"/>
                <w:sz w:val="16"/>
                <w:szCs w:val="16"/>
                <w:color w:val="auto"/>
              </w:rPr>
              <w:t>Eliminations &amp; other</w:t>
            </w:r>
          </w:p>
        </w:tc>
        <w:tc>
          <w:tcPr>
            <w:tcW w:w="20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(45)</w:t>
            </w: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(274)</w:t>
            </w:r>
          </w:p>
        </w:tc>
      </w:tr>
      <w:tr>
        <w:trPr>
          <w:trHeight w:val="196"/>
        </w:trPr>
        <w:tc>
          <w:tcPr>
            <w:tcW w:w="37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3,185</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13,397</w:t>
            </w:r>
          </w:p>
        </w:tc>
        <w:tc>
          <w:tcPr>
            <w:tcW w:w="14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820" w:type="dxa"/>
            <w:vAlign w:val="bottom"/>
            <w:tcBorders>
              <w:top w:val="single" w:sz="8" w:color="auto"/>
              <w:bottom w:val="single" w:sz="8" w:color="auto"/>
            </w:tcBorders>
          </w:tcPr>
          <w:p>
            <w:pPr>
              <w:jc w:val="right"/>
              <w:ind w:right="662"/>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14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16,704</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37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 xml:space="preserve">Revenue in excess of billings related to contracts where revenue is recognized over time was $0.2 billion at both September 30, 2022 and December 31, 2021. Such amounts are included within </w:t>
      </w:r>
      <w:r>
        <w:rPr>
          <w:rFonts w:ascii="Arial" w:cs="Arial" w:eastAsia="Arial" w:hAnsi="Arial"/>
          <w:sz w:val="16"/>
          <w:szCs w:val="16"/>
          <w:i w:val="1"/>
          <w:iCs w:val="1"/>
          <w:color w:val="auto"/>
        </w:rPr>
        <w:t>Receivables less allowance for doubtful accounts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w:t>
      </w:r>
    </w:p>
    <w:p>
      <w:pPr>
        <w:spacing w:after="0" w:line="1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Due to the nature of its business, Schlumberger does not have significant backlog. Total backlog was $2.9 billion at September 30, 2022, of which approximately 60% is expected to be recognized as revenue over the next 12 months.</w:t>
      </w:r>
    </w:p>
    <w:p>
      <w:pPr>
        <w:spacing w:after="0" w:line="156"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 xml:space="preserve">Billings and cash collections in excess of revenue was $1.2 billion at September 30, 2022 and $1.1 billion at December 31, 2021. Such amounts are included within </w:t>
      </w:r>
      <w:r>
        <w:rPr>
          <w:rFonts w:ascii="Arial" w:cs="Arial" w:eastAsia="Arial" w:hAnsi="Arial"/>
          <w:sz w:val="16"/>
          <w:szCs w:val="16"/>
          <w:i w:val="1"/>
          <w:iCs w:val="1"/>
          <w:color w:val="auto"/>
        </w:rPr>
        <w:t>Accounts payable and accrued liabilities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auto"/>
        </w:rPr>
        <w:t>Item 2. Management’s Discussion and Analysis of Financial Condition and Results of Operations.</w:t>
      </w:r>
    </w:p>
    <w:p>
      <w:pPr>
        <w:spacing w:after="0" w:line="113"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This section of the Form 10-Q discusses third-quarter 2022 results of operations and comparisons to second-quarter 2022, as well as the first nine months of 2022 results of operations and comparisons to the first nine months of 2021. Detailed financial information with respect to second-quarter 2022 can be found in Part I, Item 1, “Financial Statements” of Schlumberger’s Quarterly Report on Form 10-Q for the fiscal quarter ended June 30, 2022.</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40" w:type="dxa"/>
            <w:vAlign w:val="bottom"/>
          </w:tcPr>
          <w:p>
            <w:pPr>
              <w:spacing w:after="0"/>
              <w:rPr>
                <w:sz w:val="16"/>
                <w:szCs w:val="16"/>
                <w:color w:val="auto"/>
              </w:rPr>
            </w:pPr>
          </w:p>
        </w:tc>
        <w:tc>
          <w:tcPr>
            <w:tcW w:w="4300" w:type="dxa"/>
            <w:vAlign w:val="bottom"/>
            <w:gridSpan w:val="6"/>
          </w:tcPr>
          <w:p>
            <w:pPr>
              <w:spacing w:after="0"/>
              <w:rPr>
                <w:sz w:val="20"/>
                <w:szCs w:val="20"/>
                <w:color w:val="auto"/>
              </w:rPr>
            </w:pPr>
            <w:r>
              <w:rPr>
                <w:rFonts w:ascii="Arial" w:cs="Arial" w:eastAsia="Arial" w:hAnsi="Arial"/>
                <w:sz w:val="16"/>
                <w:szCs w:val="16"/>
                <w:b w:val="1"/>
                <w:bCs w:val="1"/>
                <w:color w:val="auto"/>
              </w:rPr>
              <w:t>Third Quarter 2022 Compared to Second Quarter 2022</w:t>
            </w: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23"/>
        </w:trPr>
        <w:tc>
          <w:tcPr>
            <w:tcW w:w="3540" w:type="dxa"/>
            <w:vAlign w:val="bottom"/>
          </w:tcPr>
          <w:p>
            <w:pPr>
              <w:spacing w:after="0"/>
              <w:rPr>
                <w:sz w:val="24"/>
                <w:szCs w:val="24"/>
                <w:color w:val="auto"/>
              </w:rPr>
            </w:pPr>
          </w:p>
        </w:tc>
        <w:tc>
          <w:tcPr>
            <w:tcW w:w="22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gridSpan w:val="4"/>
          </w:tcPr>
          <w:p>
            <w:pPr>
              <w:jc w:val="right"/>
              <w:ind w:right="120"/>
              <w:spacing w:after="0"/>
              <w:rPr>
                <w:sz w:val="20"/>
                <w:szCs w:val="20"/>
                <w:color w:val="auto"/>
              </w:rPr>
            </w:pPr>
            <w:r>
              <w:rPr>
                <w:rFonts w:ascii="Arial" w:cs="Arial" w:eastAsia="Arial" w:hAnsi="Arial"/>
                <w:sz w:val="16"/>
                <w:szCs w:val="16"/>
                <w:i w:val="1"/>
                <w:iCs w:val="1"/>
                <w:color w:val="auto"/>
              </w:rPr>
              <w:t>(Stated in millions)</w:t>
            </w:r>
          </w:p>
        </w:tc>
      </w:tr>
      <w:tr>
        <w:trPr>
          <w:trHeight w:val="394"/>
        </w:trPr>
        <w:tc>
          <w:tcPr>
            <w:tcW w:w="35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gridSpan w:val="4"/>
          </w:tcPr>
          <w:p>
            <w:pPr>
              <w:ind w:left="380"/>
              <w:spacing w:after="0"/>
              <w:rPr>
                <w:sz w:val="20"/>
                <w:szCs w:val="20"/>
                <w:color w:val="auto"/>
              </w:rPr>
            </w:pPr>
            <w:r>
              <w:rPr>
                <w:rFonts w:ascii="Arial" w:cs="Arial" w:eastAsia="Arial" w:hAnsi="Arial"/>
                <w:sz w:val="16"/>
                <w:szCs w:val="16"/>
                <w:b w:val="1"/>
                <w:bCs w:val="1"/>
                <w:color w:val="auto"/>
              </w:rPr>
              <w:t>Third Quarter 2022</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00" w:type="dxa"/>
            <w:vAlign w:val="bottom"/>
            <w:gridSpan w:val="6"/>
          </w:tcPr>
          <w:p>
            <w:pPr>
              <w:jc w:val="right"/>
              <w:ind w:right="620"/>
              <w:spacing w:after="0"/>
              <w:rPr>
                <w:sz w:val="20"/>
                <w:szCs w:val="20"/>
                <w:color w:val="auto"/>
              </w:rPr>
            </w:pPr>
            <w:r>
              <w:rPr>
                <w:rFonts w:ascii="Arial" w:cs="Arial" w:eastAsia="Arial" w:hAnsi="Arial"/>
                <w:sz w:val="16"/>
                <w:szCs w:val="16"/>
                <w:color w:val="auto"/>
              </w:rPr>
              <w:t>Second Quarter 2022</w:t>
            </w:r>
          </w:p>
        </w:tc>
      </w:tr>
      <w:tr>
        <w:trPr>
          <w:trHeight w:val="195"/>
        </w:trPr>
        <w:tc>
          <w:tcPr>
            <w:tcW w:w="35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Income Before</w:t>
            </w:r>
          </w:p>
        </w:tc>
        <w:tc>
          <w:tcPr>
            <w:tcW w:w="2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Income Before</w:t>
            </w:r>
          </w:p>
        </w:tc>
        <w:tc>
          <w:tcPr>
            <w:tcW w:w="100" w:type="dxa"/>
            <w:vAlign w:val="bottom"/>
          </w:tcPr>
          <w:p>
            <w:pPr>
              <w:spacing w:after="0"/>
              <w:rPr>
                <w:sz w:val="16"/>
                <w:szCs w:val="16"/>
                <w:color w:val="auto"/>
              </w:rPr>
            </w:pPr>
          </w:p>
        </w:tc>
      </w:tr>
      <w:tr>
        <w:trPr>
          <w:trHeight w:val="203"/>
        </w:trPr>
        <w:tc>
          <w:tcPr>
            <w:tcW w:w="35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Revenue</w:t>
            </w:r>
          </w:p>
        </w:tc>
        <w:tc>
          <w:tcPr>
            <w:tcW w:w="1400" w:type="dxa"/>
            <w:vAlign w:val="bottom"/>
            <w:gridSpan w:val="4"/>
          </w:tcPr>
          <w:p>
            <w:pPr>
              <w:ind w:left="360"/>
              <w:spacing w:after="0"/>
              <w:rPr>
                <w:sz w:val="20"/>
                <w:szCs w:val="20"/>
                <w:color w:val="auto"/>
              </w:rPr>
            </w:pPr>
            <w:r>
              <w:rPr>
                <w:rFonts w:ascii="Arial" w:cs="Arial" w:eastAsia="Arial" w:hAnsi="Arial"/>
                <w:sz w:val="16"/>
                <w:szCs w:val="16"/>
                <w:b w:val="1"/>
                <w:bCs w:val="1"/>
                <w:color w:val="auto"/>
              </w:rPr>
              <w:t>Taxes</w:t>
            </w:r>
          </w:p>
        </w:tc>
        <w:tc>
          <w:tcPr>
            <w:tcW w:w="180" w:type="dxa"/>
            <w:vAlign w:val="bottom"/>
          </w:tcPr>
          <w:p>
            <w:pPr>
              <w:spacing w:after="0"/>
              <w:rPr>
                <w:sz w:val="17"/>
                <w:szCs w:val="17"/>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Revenue</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6"/>
                <w:szCs w:val="16"/>
                <w:color w:val="auto"/>
              </w:rPr>
              <w:t>Taxes</w:t>
            </w:r>
          </w:p>
        </w:tc>
      </w:tr>
      <w:tr>
        <w:trPr>
          <w:trHeight w:val="196"/>
        </w:trPr>
        <w:tc>
          <w:tcPr>
            <w:tcW w:w="3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Digital &amp; Integration</w:t>
            </w:r>
          </w:p>
        </w:tc>
        <w:tc>
          <w:tcPr>
            <w:tcW w:w="22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900</w:t>
            </w:r>
          </w:p>
        </w:tc>
        <w:tc>
          <w:tcPr>
            <w:tcW w:w="240" w:type="dxa"/>
            <w:vAlign w:val="bottom"/>
            <w:tcBorders>
              <w:top w:val="single" w:sz="8" w:color="CFF0FC"/>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140" w:type="dxa"/>
            <w:vAlign w:val="bottom"/>
            <w:tcBorders>
              <w:top w:val="single" w:sz="8" w:color="auto"/>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305</w:t>
            </w:r>
          </w:p>
        </w:tc>
        <w:tc>
          <w:tcPr>
            <w:tcW w:w="2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955</w:t>
            </w:r>
          </w:p>
        </w:tc>
        <w:tc>
          <w:tcPr>
            <w:tcW w:w="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62"/>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379</w:t>
            </w:r>
          </w:p>
        </w:tc>
        <w:tc>
          <w:tcPr>
            <w:tcW w:w="100" w:type="dxa"/>
            <w:vAlign w:val="bottom"/>
            <w:tcBorders>
              <w:top w:val="single" w:sz="8" w:color="CFF0FC"/>
            </w:tcBorders>
            <w:shd w:val="clear" w:color="auto" w:fill="CFF0FC"/>
          </w:tcPr>
          <w:p>
            <w:pPr>
              <w:spacing w:after="0"/>
              <w:rPr>
                <w:sz w:val="17"/>
                <w:szCs w:val="17"/>
                <w:color w:val="auto"/>
              </w:rPr>
            </w:pPr>
          </w:p>
        </w:tc>
      </w:tr>
      <w:tr>
        <w:trPr>
          <w:trHeight w:val="203"/>
        </w:trPr>
        <w:tc>
          <w:tcPr>
            <w:tcW w:w="3540" w:type="dxa"/>
            <w:vAlign w:val="bottom"/>
          </w:tcPr>
          <w:p>
            <w:pPr>
              <w:spacing w:after="0"/>
              <w:rPr>
                <w:sz w:val="20"/>
                <w:szCs w:val="20"/>
                <w:color w:val="auto"/>
              </w:rPr>
            </w:pPr>
            <w:r>
              <w:rPr>
                <w:rFonts w:ascii="Arial" w:cs="Arial" w:eastAsia="Arial" w:hAnsi="Arial"/>
                <w:sz w:val="16"/>
                <w:szCs w:val="16"/>
                <w:color w:val="auto"/>
              </w:rPr>
              <w:t>Reservoir Performance</w:t>
            </w: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1,456</w:t>
            </w: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244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1,333</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7"/>
                <w:szCs w:val="17"/>
                <w:color w:val="auto"/>
              </w:rPr>
            </w:pPr>
          </w:p>
        </w:tc>
      </w:tr>
      <w:tr>
        <w:trPr>
          <w:trHeight w:val="203"/>
        </w:trPr>
        <w:tc>
          <w:tcPr>
            <w:tcW w:w="3540" w:type="dxa"/>
            <w:vAlign w:val="bottom"/>
            <w:shd w:val="clear" w:color="auto" w:fill="CFF0FC"/>
          </w:tcPr>
          <w:p>
            <w:pPr>
              <w:spacing w:after="0"/>
              <w:rPr>
                <w:sz w:val="20"/>
                <w:szCs w:val="20"/>
                <w:color w:val="auto"/>
              </w:rPr>
            </w:pPr>
            <w:r>
              <w:rPr>
                <w:rFonts w:ascii="Arial" w:cs="Arial" w:eastAsia="Arial" w:hAnsi="Arial"/>
                <w:sz w:val="16"/>
                <w:szCs w:val="16"/>
                <w:color w:val="auto"/>
              </w:rPr>
              <w:t>Well Construction</w:t>
            </w:r>
          </w:p>
        </w:tc>
        <w:tc>
          <w:tcPr>
            <w:tcW w:w="2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3,084</w:t>
            </w:r>
          </w:p>
        </w:tc>
        <w:tc>
          <w:tcPr>
            <w:tcW w:w="2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664</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2,686</w:t>
            </w: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470</w:t>
            </w:r>
          </w:p>
        </w:tc>
        <w:tc>
          <w:tcPr>
            <w:tcW w:w="100" w:type="dxa"/>
            <w:vAlign w:val="bottom"/>
            <w:shd w:val="clear" w:color="auto" w:fill="CFF0FC"/>
          </w:tcPr>
          <w:p>
            <w:pPr>
              <w:spacing w:after="0"/>
              <w:rPr>
                <w:sz w:val="17"/>
                <w:szCs w:val="17"/>
                <w:color w:val="auto"/>
              </w:rPr>
            </w:pPr>
          </w:p>
        </w:tc>
      </w:tr>
      <w:tr>
        <w:trPr>
          <w:trHeight w:val="203"/>
        </w:trPr>
        <w:tc>
          <w:tcPr>
            <w:tcW w:w="3540" w:type="dxa"/>
            <w:vAlign w:val="bottom"/>
          </w:tcPr>
          <w:p>
            <w:pPr>
              <w:spacing w:after="0"/>
              <w:rPr>
                <w:sz w:val="20"/>
                <w:szCs w:val="20"/>
                <w:color w:val="auto"/>
              </w:rPr>
            </w:pPr>
            <w:r>
              <w:rPr>
                <w:rFonts w:ascii="Arial" w:cs="Arial" w:eastAsia="Arial" w:hAnsi="Arial"/>
                <w:sz w:val="16"/>
                <w:szCs w:val="16"/>
                <w:color w:val="auto"/>
              </w:rPr>
              <w:t>Production Systems</w:t>
            </w: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2,150</w:t>
            </w: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224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1,893</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17"/>
                <w:szCs w:val="17"/>
                <w:color w:val="auto"/>
              </w:rPr>
            </w:pPr>
          </w:p>
        </w:tc>
      </w:tr>
      <w:tr>
        <w:trPr>
          <w:trHeight w:val="203"/>
        </w:trPr>
        <w:tc>
          <w:tcPr>
            <w:tcW w:w="3540" w:type="dxa"/>
            <w:vAlign w:val="bottom"/>
            <w:shd w:val="clear" w:color="auto" w:fill="CFF0FC"/>
          </w:tcPr>
          <w:p>
            <w:pPr>
              <w:spacing w:after="0"/>
              <w:rPr>
                <w:sz w:val="20"/>
                <w:szCs w:val="20"/>
                <w:color w:val="auto"/>
              </w:rPr>
            </w:pPr>
            <w:r>
              <w:rPr>
                <w:rFonts w:ascii="Arial" w:cs="Arial" w:eastAsia="Arial" w:hAnsi="Arial"/>
                <w:sz w:val="16"/>
                <w:szCs w:val="16"/>
                <w:color w:val="auto"/>
              </w:rPr>
              <w:t>Eliminations &amp; other</w:t>
            </w:r>
          </w:p>
        </w:tc>
        <w:tc>
          <w:tcPr>
            <w:tcW w:w="2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(113)</w:t>
            </w: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(37)</w:t>
            </w:r>
          </w:p>
        </w:tc>
        <w:tc>
          <w:tcPr>
            <w:tcW w:w="1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(94)</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(56)</w:t>
            </w:r>
          </w:p>
        </w:tc>
      </w:tr>
      <w:tr>
        <w:trPr>
          <w:trHeight w:val="196"/>
        </w:trPr>
        <w:tc>
          <w:tcPr>
            <w:tcW w:w="3540" w:type="dxa"/>
            <w:vAlign w:val="bottom"/>
          </w:tcPr>
          <w:p>
            <w:pPr>
              <w:ind w:left="260"/>
              <w:spacing w:after="0"/>
              <w:rPr>
                <w:sz w:val="20"/>
                <w:szCs w:val="20"/>
                <w:color w:val="auto"/>
              </w:rPr>
            </w:pPr>
            <w:r>
              <w:rPr>
                <w:rFonts w:ascii="Arial" w:cs="Arial" w:eastAsia="Arial" w:hAnsi="Arial"/>
                <w:sz w:val="16"/>
                <w:szCs w:val="16"/>
                <w:color w:val="auto"/>
              </w:rPr>
              <w:t>Pretax segment operating income</w:t>
            </w: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1,400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1,159</w:t>
            </w:r>
          </w:p>
        </w:tc>
        <w:tc>
          <w:tcPr>
            <w:tcW w:w="100" w:type="dxa"/>
            <w:vAlign w:val="bottom"/>
          </w:tcPr>
          <w:p>
            <w:pPr>
              <w:spacing w:after="0"/>
              <w:rPr>
                <w:sz w:val="17"/>
                <w:szCs w:val="17"/>
                <w:color w:val="auto"/>
              </w:rPr>
            </w:pPr>
          </w:p>
        </w:tc>
      </w:tr>
      <w:tr>
        <w:trPr>
          <w:trHeight w:val="203"/>
        </w:trPr>
        <w:tc>
          <w:tcPr>
            <w:tcW w:w="3540" w:type="dxa"/>
            <w:vAlign w:val="bottom"/>
            <w:shd w:val="clear" w:color="auto" w:fill="CFF0FC"/>
          </w:tcPr>
          <w:p>
            <w:pPr>
              <w:spacing w:after="0" w:line="202" w:lineRule="exact"/>
              <w:rPr>
                <w:sz w:val="20"/>
                <w:szCs w:val="20"/>
                <w:color w:val="auto"/>
              </w:rPr>
            </w:pPr>
            <w:r>
              <w:rPr>
                <w:rFonts w:ascii="Arial" w:cs="Arial" w:eastAsia="Arial" w:hAnsi="Arial"/>
                <w:sz w:val="14"/>
                <w:szCs w:val="14"/>
                <w:color w:val="auto"/>
              </w:rPr>
              <w:t xml:space="preserve">Corporate &amp; other </w:t>
            </w:r>
            <w:r>
              <w:rPr>
                <w:rFonts w:ascii="Arial" w:cs="Arial" w:eastAsia="Arial" w:hAnsi="Arial"/>
                <w:sz w:val="23"/>
                <w:szCs w:val="23"/>
                <w:color w:val="auto"/>
                <w:vertAlign w:val="superscript"/>
              </w:rPr>
              <w:t>(1)</w:t>
            </w:r>
          </w:p>
        </w:tc>
        <w:tc>
          <w:tcPr>
            <w:tcW w:w="2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(155)</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(148)</w:t>
            </w:r>
          </w:p>
        </w:tc>
      </w:tr>
      <w:tr>
        <w:trPr>
          <w:trHeight w:val="203"/>
        </w:trPr>
        <w:tc>
          <w:tcPr>
            <w:tcW w:w="3540" w:type="dxa"/>
            <w:vAlign w:val="bottom"/>
          </w:tcPr>
          <w:p>
            <w:pPr>
              <w:spacing w:after="0" w:line="202" w:lineRule="exact"/>
              <w:rPr>
                <w:sz w:val="20"/>
                <w:szCs w:val="20"/>
                <w:color w:val="auto"/>
              </w:rPr>
            </w:pPr>
            <w:r>
              <w:rPr>
                <w:rFonts w:ascii="Arial" w:cs="Arial" w:eastAsia="Arial" w:hAnsi="Arial"/>
                <w:sz w:val="14"/>
                <w:szCs w:val="14"/>
                <w:color w:val="auto"/>
              </w:rPr>
              <w:t xml:space="preserve">Interest income </w:t>
            </w:r>
            <w:r>
              <w:rPr>
                <w:rFonts w:ascii="Arial" w:cs="Arial" w:eastAsia="Arial" w:hAnsi="Arial"/>
                <w:sz w:val="23"/>
                <w:szCs w:val="23"/>
                <w:color w:val="auto"/>
                <w:vertAlign w:val="superscript"/>
              </w:rPr>
              <w:t>(2)</w:t>
            </w: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r>
      <w:tr>
        <w:trPr>
          <w:trHeight w:val="203"/>
        </w:trPr>
        <w:tc>
          <w:tcPr>
            <w:tcW w:w="3540" w:type="dxa"/>
            <w:vAlign w:val="bottom"/>
            <w:shd w:val="clear" w:color="auto" w:fill="CFF0FC"/>
          </w:tcPr>
          <w:p>
            <w:pPr>
              <w:spacing w:after="0" w:line="202" w:lineRule="exact"/>
              <w:rPr>
                <w:sz w:val="20"/>
                <w:szCs w:val="20"/>
                <w:color w:val="auto"/>
              </w:rPr>
            </w:pPr>
            <w:r>
              <w:rPr>
                <w:rFonts w:ascii="Arial" w:cs="Arial" w:eastAsia="Arial" w:hAnsi="Arial"/>
                <w:sz w:val="14"/>
                <w:szCs w:val="14"/>
                <w:color w:val="auto"/>
              </w:rPr>
              <w:t xml:space="preserve">Interest expense </w:t>
            </w:r>
            <w:r>
              <w:rPr>
                <w:rFonts w:ascii="Arial" w:cs="Arial" w:eastAsia="Arial" w:hAnsi="Arial"/>
                <w:sz w:val="23"/>
                <w:szCs w:val="23"/>
                <w:color w:val="auto"/>
                <w:vertAlign w:val="superscript"/>
              </w:rPr>
              <w:t>(3)</w:t>
            </w:r>
          </w:p>
        </w:tc>
        <w:tc>
          <w:tcPr>
            <w:tcW w:w="2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(119)</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(121)</w:t>
            </w:r>
          </w:p>
        </w:tc>
      </w:tr>
      <w:tr>
        <w:trPr>
          <w:trHeight w:val="203"/>
        </w:trPr>
        <w:tc>
          <w:tcPr>
            <w:tcW w:w="3540" w:type="dxa"/>
            <w:vAlign w:val="bottom"/>
            <w:tcBorders>
              <w:bottom w:val="single" w:sz="8" w:color="CFF0FC"/>
            </w:tcBorders>
          </w:tcPr>
          <w:p>
            <w:pPr>
              <w:spacing w:after="0" w:line="202" w:lineRule="exact"/>
              <w:rPr>
                <w:sz w:val="20"/>
                <w:szCs w:val="20"/>
                <w:color w:val="auto"/>
              </w:rPr>
            </w:pPr>
            <w:r>
              <w:rPr>
                <w:rFonts w:ascii="Arial" w:cs="Arial" w:eastAsia="Arial" w:hAnsi="Arial"/>
                <w:sz w:val="14"/>
                <w:szCs w:val="14"/>
                <w:color w:val="auto"/>
              </w:rPr>
              <w:t xml:space="preserve">Charges and credits </w:t>
            </w:r>
            <w:r>
              <w:rPr>
                <w:rFonts w:ascii="Arial" w:cs="Arial" w:eastAsia="Arial" w:hAnsi="Arial"/>
                <w:sz w:val="23"/>
                <w:szCs w:val="23"/>
                <w:color w:val="auto"/>
                <w:vertAlign w:val="superscript"/>
              </w:rPr>
              <w:t>(4)</w:t>
            </w:r>
          </w:p>
        </w:tc>
        <w:tc>
          <w:tcPr>
            <w:tcW w:w="224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w:t>
            </w:r>
          </w:p>
        </w:tc>
        <w:tc>
          <w:tcPr>
            <w:tcW w:w="100" w:type="dxa"/>
            <w:vAlign w:val="bottom"/>
            <w:tcBorders>
              <w:bottom w:val="single" w:sz="8" w:color="CFF0FC"/>
            </w:tcBorders>
          </w:tcPr>
          <w:p>
            <w:pPr>
              <w:spacing w:after="0"/>
              <w:rPr>
                <w:sz w:val="17"/>
                <w:szCs w:val="17"/>
                <w:color w:val="auto"/>
              </w:rPr>
            </w:pPr>
          </w:p>
        </w:tc>
      </w:tr>
      <w:tr>
        <w:trPr>
          <w:trHeight w:val="196"/>
        </w:trPr>
        <w:tc>
          <w:tcPr>
            <w:tcW w:w="3540" w:type="dxa"/>
            <w:vAlign w:val="bottom"/>
            <w:tcBorders>
              <w:bottom w:val="single" w:sz="8" w:color="CFF0FC"/>
            </w:tcBorders>
            <w:shd w:val="clear" w:color="auto" w:fill="CFF0FC"/>
          </w:tcPr>
          <w:p>
            <w:pPr>
              <w:spacing w:after="0"/>
              <w:rPr>
                <w:sz w:val="17"/>
                <w:szCs w:val="17"/>
                <w:color w:val="auto"/>
              </w:rPr>
            </w:pPr>
          </w:p>
        </w:tc>
        <w:tc>
          <w:tcPr>
            <w:tcW w:w="2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7,477</w:t>
            </w:r>
          </w:p>
        </w:tc>
        <w:tc>
          <w:tcPr>
            <w:tcW w:w="24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1,134</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6,773</w:t>
            </w:r>
          </w:p>
        </w:tc>
        <w:tc>
          <w:tcPr>
            <w:tcW w:w="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1,152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
        </w:trPr>
        <w:tc>
          <w:tcPr>
            <w:tcW w:w="35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1" w:lineRule="exact"/>
        <w:rPr>
          <w:sz w:val="20"/>
          <w:szCs w:val="20"/>
          <w:color w:val="auto"/>
        </w:rPr>
      </w:pPr>
    </w:p>
    <w:p>
      <w:pPr>
        <w:ind w:left="380" w:hanging="372"/>
        <w:spacing w:after="0" w:line="193" w:lineRule="auto"/>
        <w:tabs>
          <w:tab w:leader="none" w:pos="380" w:val="left"/>
        </w:tabs>
        <w:numPr>
          <w:ilvl w:val="0"/>
          <w:numId w:val="15"/>
        </w:numPr>
        <w:rPr>
          <w:rFonts w:ascii="Arial" w:cs="Arial" w:eastAsia="Arial" w:hAnsi="Arial"/>
          <w:sz w:val="24"/>
          <w:szCs w:val="24"/>
          <w:color w:val="auto"/>
          <w:vertAlign w:val="superscript"/>
        </w:rPr>
      </w:pPr>
      <w:r>
        <w:rPr>
          <w:rFonts w:ascii="Arial" w:cs="Arial" w:eastAsia="Arial" w:hAnsi="Arial"/>
          <w:sz w:val="14"/>
          <w:szCs w:val="14"/>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8" w:lineRule="exact"/>
        <w:rPr>
          <w:rFonts w:ascii="Arial" w:cs="Arial" w:eastAsia="Arial" w:hAnsi="Arial"/>
          <w:sz w:val="24"/>
          <w:szCs w:val="24"/>
          <w:color w:val="auto"/>
          <w:vertAlign w:val="superscript"/>
        </w:rPr>
      </w:pPr>
    </w:p>
    <w:p>
      <w:pPr>
        <w:ind w:left="380" w:hanging="372"/>
        <w:spacing w:after="0"/>
        <w:tabs>
          <w:tab w:leader="none" w:pos="380" w:val="left"/>
        </w:tabs>
        <w:numPr>
          <w:ilvl w:val="0"/>
          <w:numId w:val="15"/>
        </w:numPr>
        <w:rPr>
          <w:rFonts w:ascii="Arial" w:cs="Arial" w:eastAsia="Arial" w:hAnsi="Arial"/>
          <w:sz w:val="24"/>
          <w:szCs w:val="24"/>
          <w:color w:val="auto"/>
          <w:vertAlign w:val="superscript"/>
        </w:rPr>
      </w:pPr>
      <w:r>
        <w:rPr>
          <w:rFonts w:ascii="Arial" w:cs="Arial" w:eastAsia="Arial" w:hAnsi="Arial"/>
          <w:sz w:val="14"/>
          <w:szCs w:val="14"/>
          <w:color w:val="auto"/>
        </w:rPr>
        <w:t>Interest income excludes amounts which are included in the segments’ income ($25 million in Q3 2022; $16 million in Q2 2022).</w:t>
      </w:r>
    </w:p>
    <w:p>
      <w:pPr>
        <w:spacing w:after="0" w:line="93" w:lineRule="exact"/>
        <w:rPr>
          <w:rFonts w:ascii="Arial" w:cs="Arial" w:eastAsia="Arial" w:hAnsi="Arial"/>
          <w:sz w:val="24"/>
          <w:szCs w:val="24"/>
          <w:color w:val="auto"/>
          <w:vertAlign w:val="superscript"/>
        </w:rPr>
      </w:pPr>
    </w:p>
    <w:p>
      <w:pPr>
        <w:ind w:left="380" w:hanging="372"/>
        <w:spacing w:after="0" w:line="183" w:lineRule="auto"/>
        <w:tabs>
          <w:tab w:leader="none" w:pos="380" w:val="left"/>
        </w:tabs>
        <w:numPr>
          <w:ilvl w:val="0"/>
          <w:numId w:val="15"/>
        </w:numPr>
        <w:rPr>
          <w:rFonts w:ascii="Arial" w:cs="Arial" w:eastAsia="Arial" w:hAnsi="Arial"/>
          <w:sz w:val="20"/>
          <w:szCs w:val="20"/>
          <w:color w:val="auto"/>
          <w:vertAlign w:val="superscript"/>
        </w:rPr>
      </w:pPr>
      <w:r>
        <w:rPr>
          <w:rFonts w:ascii="Arial" w:cs="Arial" w:eastAsia="Arial" w:hAnsi="Arial"/>
          <w:sz w:val="12"/>
          <w:szCs w:val="12"/>
          <w:color w:val="auto"/>
        </w:rPr>
        <w:t>Interest expense excludes amounts which are included in the segments’ income ($3 million in Q3 2022; $3 million in Q2 2022).</w:t>
      </w:r>
    </w:p>
    <w:p>
      <w:pPr>
        <w:spacing w:after="0" w:line="94" w:lineRule="exact"/>
        <w:rPr>
          <w:rFonts w:ascii="Arial" w:cs="Arial" w:eastAsia="Arial" w:hAnsi="Arial"/>
          <w:sz w:val="20"/>
          <w:szCs w:val="20"/>
          <w:color w:val="auto"/>
          <w:vertAlign w:val="superscript"/>
        </w:rPr>
      </w:pPr>
    </w:p>
    <w:p>
      <w:pPr>
        <w:ind w:left="380" w:hanging="372"/>
        <w:spacing w:after="0" w:line="183" w:lineRule="auto"/>
        <w:tabs>
          <w:tab w:leader="none" w:pos="380" w:val="left"/>
        </w:tabs>
        <w:numPr>
          <w:ilvl w:val="0"/>
          <w:numId w:val="15"/>
        </w:numPr>
        <w:rPr>
          <w:rFonts w:ascii="Arial" w:cs="Arial" w:eastAsia="Arial" w:hAnsi="Arial"/>
          <w:sz w:val="20"/>
          <w:szCs w:val="20"/>
          <w:color w:val="auto"/>
          <w:vertAlign w:val="superscript"/>
        </w:rPr>
      </w:pPr>
      <w:r>
        <w:rPr>
          <w:rFonts w:ascii="Arial" w:cs="Arial" w:eastAsia="Arial" w:hAnsi="Arial"/>
          <w:sz w:val="12"/>
          <w:szCs w:val="12"/>
          <w:color w:val="auto"/>
        </w:rPr>
        <w:t xml:space="preserve">Charges and credits are described in detail in Note 2 to the </w:t>
      </w:r>
      <w:r>
        <w:rPr>
          <w:rFonts w:ascii="Arial" w:cs="Arial" w:eastAsia="Arial" w:hAnsi="Arial"/>
          <w:sz w:val="12"/>
          <w:szCs w:val="12"/>
          <w:i w:val="1"/>
          <w:iCs w:val="1"/>
          <w:color w:val="auto"/>
        </w:rPr>
        <w:t>Consolidated Financial Statements</w:t>
      </w:r>
      <w:r>
        <w:rPr>
          <w:rFonts w:ascii="Arial" w:cs="Arial" w:eastAsia="Arial" w:hAnsi="Arial"/>
          <w:sz w:val="12"/>
          <w:szCs w:val="12"/>
          <w:color w:val="auto"/>
        </w:rPr>
        <w:t>.</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strong third-quarter 2022 results reflected the acceleration of international momentum and solid execution across the Divisions and geographic areas. Sequentially, Schlumberger delivered another quarter of double-digit revenue growth and margin expansion, as the pace of growth in the international business stepped up significantly, complementing already robust levels of activity in North America.</w:t>
      </w:r>
    </w:p>
    <w:p>
      <w:pPr>
        <w:spacing w:after="0" w:line="14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Third-quarter revenue grew 10% sequentially as global activity strengthened—particularly in the offshore and international markets. International revenue increased 13% sequentially, exceeding third-quarter 2019 levels, on a rig count that is still approximately 25% lower than in 2019. Sequentially, revenue growth was prevalent across all international areas led by Europe/CIS/Africa and Latin America, which increased 21% and 14%, respectively.</w:t>
      </w:r>
    </w:p>
    <w:p>
      <w:pPr>
        <w:spacing w:after="0" w:line="14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While concerns remain over the broader economic climate, Schlumberger believes the energy industry fundamentals continue to be very constructive. Against the backdrop of the energy crisis and limited spare global capacity, the world faces an urgent need for increased investment to rebalance markets, create supply redundancies, and rebuild spare capacity. All of these are exacerbated by geopolitics and increasing instances of supply disruptions.</w:t>
      </w:r>
    </w:p>
    <w:p>
      <w:pPr>
        <w:spacing w:after="0" w:line="14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These dynamics and the urgency to restore balance are resulting in a supply-led upcycle, characterized by the decoupling of upstream investment from near-term demand volatility. Furthermore, the need for sustained investments is reinforced by the long-term demand trajectory through the end of the decade and by OPEC+ decisions that are keeping commodity prices at supportive levels.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Digital &amp; Integration</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Digital &amp; Integration revenue of $900 million declined 6% sequentially as growth in digital solutions was more than offset by the non-repeat of $95 million of exploration data transfer fees recorded last quarter.</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Digital &amp; Integration pretax operating margin of 34% contracted 586 bps sequentially due to the less favorable revenue mix.</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Reservoir Performance</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Reservoir Performance revenue of $1.5 billion increased 9% sequentially primarily due to higher intervention and stimulation activity, both on land and offshore, particularly in the Middle East &amp; Asia and Europe/CIS/Africa areas. North America grew 7% due to higher intervention activity in the US Gulf of Mexico.</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line="263" w:lineRule="auto"/>
        <w:rPr>
          <w:sz w:val="20"/>
          <w:szCs w:val="20"/>
          <w:color w:val="auto"/>
        </w:rPr>
      </w:pPr>
      <w:r>
        <w:rPr>
          <w:rFonts w:ascii="Arial" w:cs="Arial" w:eastAsia="Arial" w:hAnsi="Arial"/>
          <w:sz w:val="16"/>
          <w:szCs w:val="16"/>
          <w:color w:val="auto"/>
        </w:rPr>
        <w:t>Reservoir Performance pretax operating margin of 17% expanded 209 bps sequentially. Profitability was boosted by higher offshore and development activity.</w:t>
      </w: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Well Construction</w:t>
      </w:r>
    </w:p>
    <w:p>
      <w:pPr>
        <w:spacing w:after="0" w:line="11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Well Construction revenue of $3.1 billion increased 15% sequentially, outperforming global rig count growth primarily due to strong activity from new projects and solid pricing improvements internationally, particularly in the Europe/CIS/Africa and Latin America areas.</w:t>
      </w:r>
    </w:p>
    <w:p>
      <w:pPr>
        <w:spacing w:after="0" w:line="1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Well Construction pretax operating margin of 22% expanded 403 bps sequentially, due to improved profitability across all areas, most prominently in Latin America. Margin expansion was driven by higher offshore and exploration activity, favorable technology mix, and solid pricing improvements.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Production Systems</w:t>
      </w:r>
    </w:p>
    <w:p>
      <w:pPr>
        <w:spacing w:after="0" w:line="11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Production Systems revenue of $2.2 billion increased 14% sequentially on higher product deliveries and backlog conversion—mostly offshore internationally as supply chain and logistics constraints continue to ease.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Production Systems pretax operating margin of 10% expanded 142 bps sequentially due to improved operating leverage from higher volume of sales.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Nine Months 2022 Compared to Nine Months 2021</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00" w:type="dxa"/>
            <w:vAlign w:val="bottom"/>
            <w:gridSpan w:val="4"/>
          </w:tcPr>
          <w:p>
            <w:pPr>
              <w:jc w:val="right"/>
              <w:ind w:right="120"/>
              <w:spacing w:after="0"/>
              <w:rPr>
                <w:sz w:val="20"/>
                <w:szCs w:val="20"/>
                <w:color w:val="auto"/>
              </w:rPr>
            </w:pPr>
            <w:r>
              <w:rPr>
                <w:rFonts w:ascii="Arial" w:cs="Arial" w:eastAsia="Arial" w:hAnsi="Arial"/>
                <w:sz w:val="16"/>
                <w:szCs w:val="16"/>
                <w:i w:val="1"/>
                <w:iCs w:val="1"/>
                <w:color w:val="auto"/>
              </w:rPr>
              <w:t>(Stated in millions)</w:t>
            </w:r>
          </w:p>
        </w:tc>
      </w:tr>
      <w:tr>
        <w:trPr>
          <w:trHeight w:val="394"/>
        </w:trPr>
        <w:tc>
          <w:tcPr>
            <w:tcW w:w="5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0" w:type="dxa"/>
            <w:vAlign w:val="bottom"/>
            <w:gridSpan w:val="5"/>
          </w:tcPr>
          <w:p>
            <w:pPr>
              <w:jc w:val="right"/>
              <w:ind w:right="820"/>
              <w:spacing w:after="0"/>
              <w:rPr>
                <w:sz w:val="20"/>
                <w:szCs w:val="20"/>
                <w:color w:val="auto"/>
              </w:rPr>
            </w:pPr>
            <w:r>
              <w:rPr>
                <w:rFonts w:ascii="Arial" w:cs="Arial" w:eastAsia="Arial" w:hAnsi="Arial"/>
                <w:sz w:val="16"/>
                <w:szCs w:val="16"/>
                <w:b w:val="1"/>
                <w:bCs w:val="1"/>
                <w:color w:val="auto"/>
              </w:rPr>
              <w:t>Nine Months 2022</w:t>
            </w:r>
          </w:p>
        </w:tc>
        <w:tc>
          <w:tcPr>
            <w:tcW w:w="160" w:type="dxa"/>
            <w:vAlign w:val="bottom"/>
          </w:tcPr>
          <w:p>
            <w:pPr>
              <w:spacing w:after="0"/>
              <w:rPr>
                <w:sz w:val="24"/>
                <w:szCs w:val="24"/>
                <w:color w:val="auto"/>
              </w:rPr>
            </w:pPr>
          </w:p>
        </w:tc>
        <w:tc>
          <w:tcPr>
            <w:tcW w:w="2480" w:type="dxa"/>
            <w:vAlign w:val="bottom"/>
            <w:gridSpan w:val="5"/>
          </w:tcPr>
          <w:p>
            <w:pPr>
              <w:jc w:val="right"/>
              <w:ind w:right="720"/>
              <w:spacing w:after="0"/>
              <w:rPr>
                <w:sz w:val="20"/>
                <w:szCs w:val="20"/>
                <w:color w:val="auto"/>
              </w:rPr>
            </w:pPr>
            <w:r>
              <w:rPr>
                <w:rFonts w:ascii="Arial" w:cs="Arial" w:eastAsia="Arial" w:hAnsi="Arial"/>
                <w:sz w:val="16"/>
                <w:szCs w:val="16"/>
                <w:color w:val="auto"/>
              </w:rPr>
              <w:t>Nine Months 2021</w:t>
            </w:r>
          </w:p>
        </w:tc>
      </w:tr>
      <w:tr>
        <w:trPr>
          <w:trHeight w:val="195"/>
        </w:trPr>
        <w:tc>
          <w:tcPr>
            <w:tcW w:w="58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9"/>
              </w:rPr>
              <w:t>Income</w:t>
            </w:r>
          </w:p>
        </w:tc>
        <w:tc>
          <w:tcPr>
            <w:tcW w:w="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ind w:right="139"/>
              <w:spacing w:after="0"/>
              <w:rPr>
                <w:sz w:val="20"/>
                <w:szCs w:val="20"/>
                <w:color w:val="auto"/>
              </w:rPr>
            </w:pPr>
            <w:r>
              <w:rPr>
                <w:rFonts w:ascii="Arial" w:cs="Arial" w:eastAsia="Arial" w:hAnsi="Arial"/>
                <w:sz w:val="16"/>
                <w:szCs w:val="16"/>
                <w:color w:val="auto"/>
              </w:rPr>
              <w:t>Income</w:t>
            </w:r>
          </w:p>
        </w:tc>
        <w:tc>
          <w:tcPr>
            <w:tcW w:w="100" w:type="dxa"/>
            <w:vAlign w:val="bottom"/>
          </w:tcPr>
          <w:p>
            <w:pPr>
              <w:spacing w:after="0"/>
              <w:rPr>
                <w:sz w:val="16"/>
                <w:szCs w:val="16"/>
                <w:color w:val="auto"/>
              </w:rPr>
            </w:pPr>
          </w:p>
        </w:tc>
      </w:tr>
      <w:tr>
        <w:trPr>
          <w:trHeight w:val="203"/>
        </w:trPr>
        <w:tc>
          <w:tcPr>
            <w:tcW w:w="5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Before</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6"/>
                <w:szCs w:val="16"/>
                <w:color w:val="auto"/>
              </w:rPr>
              <w:t>Before</w:t>
            </w:r>
          </w:p>
        </w:tc>
      </w:tr>
      <w:tr>
        <w:trPr>
          <w:trHeight w:val="203"/>
        </w:trPr>
        <w:tc>
          <w:tcPr>
            <w:tcW w:w="5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Revenue</w:t>
            </w:r>
          </w:p>
        </w:tc>
        <w:tc>
          <w:tcPr>
            <w:tcW w:w="180" w:type="dxa"/>
            <w:vAlign w:val="bottom"/>
          </w:tcPr>
          <w:p>
            <w:pPr>
              <w:spacing w:after="0"/>
              <w:rPr>
                <w:sz w:val="17"/>
                <w:szCs w:val="17"/>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6"/>
              </w:rPr>
              <w:t>Taxes</w:t>
            </w:r>
          </w:p>
        </w:tc>
        <w:tc>
          <w:tcPr>
            <w:tcW w:w="160" w:type="dxa"/>
            <w:vAlign w:val="bottom"/>
          </w:tcPr>
          <w:p>
            <w:pPr>
              <w:spacing w:after="0"/>
              <w:rPr>
                <w:sz w:val="17"/>
                <w:szCs w:val="17"/>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Revenue</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6"/>
                <w:szCs w:val="16"/>
                <w:color w:val="auto"/>
                <w:w w:val="96"/>
              </w:rPr>
              <w:t>Taxes</w:t>
            </w:r>
          </w:p>
        </w:tc>
      </w:tr>
      <w:tr>
        <w:trPr>
          <w:trHeight w:val="196"/>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Digital &amp; Integration</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2,713</w:t>
            </w:r>
          </w:p>
        </w:tc>
        <w:tc>
          <w:tcPr>
            <w:tcW w:w="2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976</w:t>
            </w:r>
          </w:p>
        </w:tc>
        <w:tc>
          <w:tcPr>
            <w:tcW w:w="2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2,401</w:t>
            </w:r>
          </w:p>
        </w:tc>
        <w:tc>
          <w:tcPr>
            <w:tcW w:w="2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805</w:t>
            </w:r>
          </w:p>
        </w:tc>
        <w:tc>
          <w:tcPr>
            <w:tcW w:w="100" w:type="dxa"/>
            <w:vAlign w:val="bottom"/>
            <w:tcBorders>
              <w:top w:val="single" w:sz="8" w:color="CFF0FC"/>
            </w:tcBorders>
            <w:shd w:val="clear" w:color="auto" w:fill="CFF0FC"/>
          </w:tcPr>
          <w:p>
            <w:pPr>
              <w:spacing w:after="0"/>
              <w:rPr>
                <w:sz w:val="17"/>
                <w:szCs w:val="17"/>
                <w:color w:val="auto"/>
              </w:rPr>
            </w:pPr>
          </w:p>
        </w:tc>
      </w:tr>
      <w:tr>
        <w:trPr>
          <w:trHeight w:val="203"/>
        </w:trPr>
        <w:tc>
          <w:tcPr>
            <w:tcW w:w="5840" w:type="dxa"/>
            <w:vAlign w:val="bottom"/>
          </w:tcPr>
          <w:p>
            <w:pPr>
              <w:spacing w:after="0"/>
              <w:rPr>
                <w:sz w:val="20"/>
                <w:szCs w:val="20"/>
                <w:color w:val="auto"/>
              </w:rPr>
            </w:pPr>
            <w:r>
              <w:rPr>
                <w:rFonts w:ascii="Arial" w:cs="Arial" w:eastAsia="Arial" w:hAnsi="Arial"/>
                <w:sz w:val="16"/>
                <w:szCs w:val="16"/>
                <w:color w:val="auto"/>
              </w:rPr>
              <w:t>Reservoir Performance</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3,999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598</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3,312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448</w:t>
            </w:r>
          </w:p>
        </w:tc>
        <w:tc>
          <w:tcPr>
            <w:tcW w:w="100" w:type="dxa"/>
            <w:vAlign w:val="bottom"/>
          </w:tcPr>
          <w:p>
            <w:pPr>
              <w:spacing w:after="0"/>
              <w:rPr>
                <w:sz w:val="17"/>
                <w:szCs w:val="17"/>
                <w:color w:val="auto"/>
              </w:rPr>
            </w:pPr>
          </w:p>
        </w:tc>
      </w:tr>
      <w:tr>
        <w:trPr>
          <w:trHeight w:val="203"/>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Well Construction</w:t>
            </w: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8,168</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1,522</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6,319</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827</w:t>
            </w:r>
          </w:p>
        </w:tc>
        <w:tc>
          <w:tcPr>
            <w:tcW w:w="100" w:type="dxa"/>
            <w:vAlign w:val="bottom"/>
            <w:shd w:val="clear" w:color="auto" w:fill="CFF0FC"/>
          </w:tcPr>
          <w:p>
            <w:pPr>
              <w:spacing w:after="0"/>
              <w:rPr>
                <w:sz w:val="17"/>
                <w:szCs w:val="17"/>
                <w:color w:val="auto"/>
              </w:rPr>
            </w:pPr>
          </w:p>
        </w:tc>
      </w:tr>
      <w:tr>
        <w:trPr>
          <w:trHeight w:val="203"/>
        </w:trPr>
        <w:tc>
          <w:tcPr>
            <w:tcW w:w="5840" w:type="dxa"/>
            <w:vAlign w:val="bottom"/>
          </w:tcPr>
          <w:p>
            <w:pPr>
              <w:spacing w:after="0"/>
              <w:rPr>
                <w:sz w:val="20"/>
                <w:szCs w:val="20"/>
                <w:color w:val="auto"/>
              </w:rPr>
            </w:pPr>
            <w:r>
              <w:rPr>
                <w:rFonts w:ascii="Arial" w:cs="Arial" w:eastAsia="Arial" w:hAnsi="Arial"/>
                <w:sz w:val="16"/>
                <w:szCs w:val="16"/>
                <w:color w:val="auto"/>
              </w:rPr>
              <w:t>Production Systems</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5,647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509</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4,946</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475</w:t>
            </w:r>
          </w:p>
        </w:tc>
        <w:tc>
          <w:tcPr>
            <w:tcW w:w="100" w:type="dxa"/>
            <w:vAlign w:val="bottom"/>
          </w:tcPr>
          <w:p>
            <w:pPr>
              <w:spacing w:after="0"/>
              <w:rPr>
                <w:sz w:val="17"/>
                <w:szCs w:val="17"/>
                <w:color w:val="auto"/>
              </w:rPr>
            </w:pPr>
          </w:p>
        </w:tc>
      </w:tr>
      <w:tr>
        <w:trPr>
          <w:trHeight w:val="203"/>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Eliminations &amp; other</w:t>
            </w:r>
          </w:p>
        </w:tc>
        <w:tc>
          <w:tcPr>
            <w:tcW w:w="1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(314)</w:t>
            </w:r>
          </w:p>
        </w:tc>
        <w:tc>
          <w:tcPr>
            <w:tcW w:w="1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(151)</w:t>
            </w:r>
          </w:p>
        </w:tc>
        <w:tc>
          <w:tcPr>
            <w:tcW w:w="1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(274)</w:t>
            </w:r>
          </w:p>
        </w:tc>
        <w:tc>
          <w:tcPr>
            <w:tcW w:w="2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(176)</w:t>
            </w:r>
          </w:p>
        </w:tc>
      </w:tr>
      <w:tr>
        <w:trPr>
          <w:trHeight w:val="196"/>
        </w:trPr>
        <w:tc>
          <w:tcPr>
            <w:tcW w:w="5840" w:type="dxa"/>
            <w:vAlign w:val="bottom"/>
          </w:tcPr>
          <w:p>
            <w:pPr>
              <w:ind w:left="260"/>
              <w:spacing w:after="0"/>
              <w:rPr>
                <w:sz w:val="20"/>
                <w:szCs w:val="20"/>
                <w:color w:val="auto"/>
              </w:rPr>
            </w:pPr>
            <w:r>
              <w:rPr>
                <w:rFonts w:ascii="Arial" w:cs="Arial" w:eastAsia="Arial" w:hAnsi="Arial"/>
                <w:sz w:val="16"/>
                <w:szCs w:val="16"/>
                <w:color w:val="auto"/>
              </w:rPr>
              <w:t>Pretax segment operating income</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3,454</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2,379</w:t>
            </w:r>
          </w:p>
        </w:tc>
        <w:tc>
          <w:tcPr>
            <w:tcW w:w="100" w:type="dxa"/>
            <w:vAlign w:val="bottom"/>
          </w:tcPr>
          <w:p>
            <w:pPr>
              <w:spacing w:after="0"/>
              <w:rPr>
                <w:sz w:val="17"/>
                <w:szCs w:val="17"/>
                <w:color w:val="auto"/>
              </w:rPr>
            </w:pPr>
          </w:p>
        </w:tc>
      </w:tr>
      <w:tr>
        <w:trPr>
          <w:trHeight w:val="203"/>
        </w:trPr>
        <w:tc>
          <w:tcPr>
            <w:tcW w:w="5840" w:type="dxa"/>
            <w:vAlign w:val="bottom"/>
            <w:shd w:val="clear" w:color="auto" w:fill="CFF0FC"/>
          </w:tcPr>
          <w:p>
            <w:pPr>
              <w:spacing w:after="0" w:line="202" w:lineRule="exact"/>
              <w:rPr>
                <w:sz w:val="20"/>
                <w:szCs w:val="20"/>
                <w:color w:val="auto"/>
              </w:rPr>
            </w:pPr>
            <w:r>
              <w:rPr>
                <w:rFonts w:ascii="Arial" w:cs="Arial" w:eastAsia="Arial" w:hAnsi="Arial"/>
                <w:sz w:val="14"/>
                <w:szCs w:val="14"/>
                <w:color w:val="auto"/>
              </w:rPr>
              <w:t xml:space="preserve">Corporate &amp; other </w:t>
            </w:r>
            <w:r>
              <w:rPr>
                <w:rFonts w:ascii="Arial" w:cs="Arial" w:eastAsia="Arial" w:hAnsi="Arial"/>
                <w:sz w:val="23"/>
                <w:szCs w:val="23"/>
                <w:color w:val="auto"/>
                <w:vertAlign w:val="superscript"/>
              </w:rPr>
              <w:t>(1)</w:t>
            </w: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(468)</w:t>
            </w: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(434)</w:t>
            </w: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4"/>
                <w:szCs w:val="14"/>
                <w:color w:val="auto"/>
              </w:rPr>
              <w:t xml:space="preserve">Interest income </w:t>
            </w:r>
            <w:r>
              <w:rPr>
                <w:rFonts w:ascii="Arial" w:cs="Arial" w:eastAsia="Arial" w:hAnsi="Arial"/>
                <w:sz w:val="23"/>
                <w:szCs w:val="23"/>
                <w:color w:val="auto"/>
                <w:vertAlign w:val="superscript"/>
              </w:rPr>
              <w:t>(2)</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13</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7"/>
                <w:szCs w:val="17"/>
                <w:color w:val="auto"/>
              </w:rPr>
            </w:pPr>
          </w:p>
        </w:tc>
      </w:tr>
      <w:tr>
        <w:trPr>
          <w:trHeight w:val="203"/>
        </w:trPr>
        <w:tc>
          <w:tcPr>
            <w:tcW w:w="5840" w:type="dxa"/>
            <w:vAlign w:val="bottom"/>
            <w:shd w:val="clear" w:color="auto" w:fill="CFF0FC"/>
          </w:tcPr>
          <w:p>
            <w:pPr>
              <w:spacing w:after="0" w:line="202" w:lineRule="exact"/>
              <w:rPr>
                <w:sz w:val="20"/>
                <w:szCs w:val="20"/>
                <w:color w:val="auto"/>
              </w:rPr>
            </w:pPr>
            <w:r>
              <w:rPr>
                <w:rFonts w:ascii="Arial" w:cs="Arial" w:eastAsia="Arial" w:hAnsi="Arial"/>
                <w:sz w:val="14"/>
                <w:szCs w:val="14"/>
                <w:color w:val="auto"/>
              </w:rPr>
              <w:t xml:space="preserve">Interest expense </w:t>
            </w:r>
            <w:r>
              <w:rPr>
                <w:rFonts w:ascii="Arial" w:cs="Arial" w:eastAsia="Arial" w:hAnsi="Arial"/>
                <w:sz w:val="23"/>
                <w:szCs w:val="23"/>
                <w:color w:val="auto"/>
                <w:vertAlign w:val="superscript"/>
              </w:rPr>
              <w:t>(3)</w:t>
            </w: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(360)</w:t>
            </w: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(391)</w:t>
            </w:r>
          </w:p>
        </w:tc>
      </w:tr>
      <w:tr>
        <w:trPr>
          <w:trHeight w:val="203"/>
        </w:trPr>
        <w:tc>
          <w:tcPr>
            <w:tcW w:w="5840" w:type="dxa"/>
            <w:vAlign w:val="bottom"/>
            <w:tcBorders>
              <w:bottom w:val="single" w:sz="8" w:color="CFF0FC"/>
            </w:tcBorders>
          </w:tcPr>
          <w:p>
            <w:pPr>
              <w:spacing w:after="0" w:line="202" w:lineRule="exact"/>
              <w:rPr>
                <w:sz w:val="20"/>
                <w:szCs w:val="20"/>
                <w:color w:val="auto"/>
              </w:rPr>
            </w:pPr>
            <w:r>
              <w:rPr>
                <w:rFonts w:ascii="Arial" w:cs="Arial" w:eastAsia="Arial" w:hAnsi="Arial"/>
                <w:sz w:val="14"/>
                <w:szCs w:val="14"/>
                <w:color w:val="auto"/>
              </w:rPr>
              <w:t xml:space="preserve">Charges and credits </w:t>
            </w:r>
            <w:r>
              <w:rPr>
                <w:rFonts w:ascii="Arial" w:cs="Arial" w:eastAsia="Arial" w:hAnsi="Arial"/>
                <w:sz w:val="23"/>
                <w:szCs w:val="23"/>
                <w:color w:val="auto"/>
                <w:vertAlign w:val="superscript"/>
              </w:rPr>
              <w:t>(4)</w:t>
            </w: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285</w:t>
            </w:r>
          </w:p>
        </w:tc>
        <w:tc>
          <w:tcPr>
            <w:tcW w:w="24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FF0FC"/>
            </w:tcBorders>
          </w:tcPr>
          <w:p>
            <w:pPr>
              <w:spacing w:after="0"/>
              <w:rPr>
                <w:sz w:val="17"/>
                <w:szCs w:val="17"/>
                <w:color w:val="auto"/>
              </w:rPr>
            </w:pPr>
          </w:p>
        </w:tc>
      </w:tr>
      <w:tr>
        <w:trPr>
          <w:trHeight w:val="196"/>
        </w:trPr>
        <w:tc>
          <w:tcPr>
            <w:tcW w:w="58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20,213</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2,924</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16,704</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1,618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1" w:lineRule="exact"/>
        <w:rPr>
          <w:sz w:val="20"/>
          <w:szCs w:val="20"/>
          <w:color w:val="auto"/>
        </w:rPr>
      </w:pPr>
    </w:p>
    <w:p>
      <w:pPr>
        <w:ind w:left="380" w:hanging="372"/>
        <w:spacing w:after="0" w:line="193" w:lineRule="auto"/>
        <w:tabs>
          <w:tab w:leader="none" w:pos="380" w:val="left"/>
        </w:tabs>
        <w:numPr>
          <w:ilvl w:val="0"/>
          <w:numId w:val="16"/>
        </w:numPr>
        <w:rPr>
          <w:rFonts w:ascii="Arial" w:cs="Arial" w:eastAsia="Arial" w:hAnsi="Arial"/>
          <w:sz w:val="24"/>
          <w:szCs w:val="24"/>
          <w:color w:val="auto"/>
          <w:vertAlign w:val="superscript"/>
        </w:rPr>
      </w:pPr>
      <w:r>
        <w:rPr>
          <w:rFonts w:ascii="Arial" w:cs="Arial" w:eastAsia="Arial" w:hAnsi="Arial"/>
          <w:sz w:val="14"/>
          <w:szCs w:val="14"/>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ind w:left="380" w:hanging="372"/>
        <w:spacing w:after="0" w:line="234" w:lineRule="auto"/>
        <w:tabs>
          <w:tab w:leader="none" w:pos="380" w:val="left"/>
        </w:tabs>
        <w:numPr>
          <w:ilvl w:val="0"/>
          <w:numId w:val="16"/>
        </w:numPr>
        <w:rPr>
          <w:rFonts w:ascii="Arial" w:cs="Arial" w:eastAsia="Arial" w:hAnsi="Arial"/>
          <w:sz w:val="24"/>
          <w:szCs w:val="24"/>
          <w:color w:val="auto"/>
          <w:vertAlign w:val="superscript"/>
        </w:rPr>
      </w:pPr>
      <w:r>
        <w:rPr>
          <w:rFonts w:ascii="Arial" w:cs="Arial" w:eastAsia="Arial" w:hAnsi="Arial"/>
          <w:sz w:val="14"/>
          <w:szCs w:val="14"/>
          <w:color w:val="auto"/>
        </w:rPr>
        <w:t>Interest income excludes amounts which are included in the segments’ income ($53 million in 2022; $1 million in 2021).</w:t>
      </w:r>
    </w:p>
    <w:p>
      <w:pPr>
        <w:spacing w:after="0" w:line="94" w:lineRule="exact"/>
        <w:rPr>
          <w:rFonts w:ascii="Arial" w:cs="Arial" w:eastAsia="Arial" w:hAnsi="Arial"/>
          <w:sz w:val="24"/>
          <w:szCs w:val="24"/>
          <w:color w:val="auto"/>
          <w:vertAlign w:val="superscript"/>
        </w:rPr>
      </w:pPr>
    </w:p>
    <w:p>
      <w:pPr>
        <w:ind w:left="380" w:hanging="372"/>
        <w:spacing w:after="0" w:line="183" w:lineRule="auto"/>
        <w:tabs>
          <w:tab w:leader="none" w:pos="380" w:val="left"/>
        </w:tabs>
        <w:numPr>
          <w:ilvl w:val="0"/>
          <w:numId w:val="16"/>
        </w:numPr>
        <w:rPr>
          <w:rFonts w:ascii="Arial" w:cs="Arial" w:eastAsia="Arial" w:hAnsi="Arial"/>
          <w:sz w:val="20"/>
          <w:szCs w:val="20"/>
          <w:color w:val="auto"/>
          <w:vertAlign w:val="superscript"/>
        </w:rPr>
      </w:pPr>
      <w:r>
        <w:rPr>
          <w:rFonts w:ascii="Arial" w:cs="Arial" w:eastAsia="Arial" w:hAnsi="Arial"/>
          <w:sz w:val="12"/>
          <w:szCs w:val="12"/>
          <w:color w:val="auto"/>
        </w:rPr>
        <w:t>Interest expense excludes amounts which are included in the segments’ income ($9 million in 2022; $11 million in 2021).</w:t>
      </w:r>
    </w:p>
    <w:p>
      <w:pPr>
        <w:spacing w:after="0" w:line="94" w:lineRule="exact"/>
        <w:rPr>
          <w:rFonts w:ascii="Arial" w:cs="Arial" w:eastAsia="Arial" w:hAnsi="Arial"/>
          <w:sz w:val="20"/>
          <w:szCs w:val="20"/>
          <w:color w:val="auto"/>
          <w:vertAlign w:val="superscript"/>
        </w:rPr>
      </w:pPr>
    </w:p>
    <w:p>
      <w:pPr>
        <w:ind w:left="380" w:hanging="372"/>
        <w:spacing w:after="0" w:line="183" w:lineRule="auto"/>
        <w:tabs>
          <w:tab w:leader="none" w:pos="380" w:val="left"/>
        </w:tabs>
        <w:numPr>
          <w:ilvl w:val="0"/>
          <w:numId w:val="16"/>
        </w:numPr>
        <w:rPr>
          <w:rFonts w:ascii="Arial" w:cs="Arial" w:eastAsia="Arial" w:hAnsi="Arial"/>
          <w:sz w:val="20"/>
          <w:szCs w:val="20"/>
          <w:color w:val="auto"/>
          <w:vertAlign w:val="superscript"/>
        </w:rPr>
      </w:pPr>
      <w:r>
        <w:rPr>
          <w:rFonts w:ascii="Arial" w:cs="Arial" w:eastAsia="Arial" w:hAnsi="Arial"/>
          <w:sz w:val="12"/>
          <w:szCs w:val="12"/>
          <w:color w:val="auto"/>
        </w:rPr>
        <w:t xml:space="preserve">Charges and credits are described in detail in Note 2 to the </w:t>
      </w:r>
      <w:r>
        <w:rPr>
          <w:rFonts w:ascii="Arial" w:cs="Arial" w:eastAsia="Arial" w:hAnsi="Arial"/>
          <w:sz w:val="12"/>
          <w:szCs w:val="12"/>
          <w:i w:val="1"/>
          <w:iCs w:val="1"/>
          <w:color w:val="auto"/>
        </w:rPr>
        <w:t>Consolidated Financial Statements.</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Nine-month 2022 revenue of $20.2 billion increased 21% year on year, driven by an increase in activity internationally, in North America, and across all Divisions. International revenue increased 17% while North America revenue grew 37%. International growth was widespread, led by Latin America and Europe/CIS/Africa with revenue growth of 24% and 23%, respectively, while revenue in the Middle East &amp; Asia increased 10%. In North America, the revenue growth was driven by robust onshore drilling activity and higher sales of production systems, coupled with a strong contribution from the Asset Performance Solutions (“APS”) project in Canada and increased exploration data licensing in the US Gulf of Mexico.</w:t>
      </w:r>
    </w:p>
    <w:p>
      <w:pPr>
        <w:spacing w:after="0" w:line="18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Nine-month 2022 pretax operating margin of 17% was 285 bps higher compared to the same period last year due to improved operating leverage from higher activity, a favorable activity mix, and an improving pricing environment.</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Digital &amp; Integration</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Nine-month 2022 revenue of $2.7 billion increased 13% year on year, primarily in North America, driven by higher exploration data license sales and increased revenue from APS projects due to higher production and improved oil prices, particularly in Canada.</w:t>
      </w:r>
    </w:p>
    <w:p>
      <w:pPr>
        <w:spacing w:after="0" w:line="1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Year on year, pretax operating margin expanded 243 bps to 36% primarily due to higher revenue from exploration data licenses and improved profitability from APS projects.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color w:val="auto"/>
        </w:rPr>
        <w:t>Reservoir Performance</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Nine-month 2022 revenue of $4.0 billion increased 21% year on year driven by strong international activity led by Latin America and Middle East &amp; Asia. Double-digit growth was posted in intervention, stimulation, and evaluation services both on land and offshore, with higher exploration-related activity and with improved pricing.</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Year on year, pretax operating margin increased by 142 bps to 15% due to improved profitability in intervention activity.</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Well Construction</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Nine-month 2022 revenue of $8.2 billion grew 29% year on year with growth across all areas led by North America and Latin America which grew 59% and 53%, respectively. Double-digit growth was recorded in drilling fluids, measurements, and integrated drilling—both on higher land and offshore activity— along with improved pricing.</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Year on year, pretax operating margin increased 555 bps to 19%, driven by higher activity and improved pricing.</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Production Systems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Nine-month 2022 revenue of $5.6 billion increased 14% driven by new projects and increased sales activity mainly in Europe/CIS/Africa and North America. Double-digit growth was posted in midstream, well, and subsea production systems.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Year on year, pretax operating margin decreased 58 bps to 9% primarily as a result of higher logistics costs and a less favorable revenue mix.</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Interest and Other Income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Interest &amp; other income </w:t>
      </w:r>
      <w:r>
        <w:rPr>
          <w:rFonts w:ascii="Arial" w:cs="Arial" w:eastAsia="Arial" w:hAnsi="Arial"/>
          <w:sz w:val="16"/>
          <w:szCs w:val="16"/>
          <w:color w:val="auto"/>
        </w:rPr>
        <w:t>consisted of the following:</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20" w:type="dxa"/>
            <w:vAlign w:val="bottom"/>
            <w:gridSpan w:val="4"/>
          </w:tcPr>
          <w:p>
            <w:pPr>
              <w:ind w:left="60"/>
              <w:spacing w:after="0"/>
              <w:rPr>
                <w:sz w:val="20"/>
                <w:szCs w:val="20"/>
                <w:color w:val="auto"/>
              </w:rPr>
            </w:pPr>
            <w:r>
              <w:rPr>
                <w:rFonts w:ascii="Arial" w:cs="Arial" w:eastAsia="Arial" w:hAnsi="Arial"/>
                <w:sz w:val="16"/>
                <w:szCs w:val="16"/>
                <w:i w:val="1"/>
                <w:iCs w:val="1"/>
                <w:color w:val="auto"/>
              </w:rPr>
              <w:t>(Stated in millions)</w:t>
            </w:r>
          </w:p>
        </w:tc>
      </w:tr>
      <w:tr>
        <w:trPr>
          <w:trHeight w:val="394"/>
        </w:trPr>
        <w:tc>
          <w:tcPr>
            <w:tcW w:w="4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80" w:type="dxa"/>
            <w:vAlign w:val="bottom"/>
            <w:gridSpan w:val="3"/>
          </w:tcPr>
          <w:p>
            <w:pPr>
              <w:ind w:left="40"/>
              <w:spacing w:after="0"/>
              <w:rPr>
                <w:sz w:val="20"/>
                <w:szCs w:val="20"/>
                <w:color w:val="auto"/>
              </w:rPr>
            </w:pPr>
            <w:r>
              <w:rPr>
                <w:rFonts w:ascii="Arial" w:cs="Arial" w:eastAsia="Arial" w:hAnsi="Arial"/>
                <w:sz w:val="16"/>
                <w:szCs w:val="16"/>
                <w:b w:val="1"/>
                <w:bCs w:val="1"/>
                <w:color w:val="auto"/>
              </w:rPr>
              <w:t>Third Quarter</w:t>
            </w:r>
          </w:p>
        </w:tc>
        <w:tc>
          <w:tcPr>
            <w:tcW w:w="1400" w:type="dxa"/>
            <w:vAlign w:val="bottom"/>
            <w:gridSpan w:val="3"/>
          </w:tcPr>
          <w:p>
            <w:pPr>
              <w:spacing w:after="0"/>
              <w:rPr>
                <w:sz w:val="20"/>
                <w:szCs w:val="20"/>
                <w:color w:val="auto"/>
              </w:rPr>
            </w:pPr>
            <w:r>
              <w:rPr>
                <w:rFonts w:ascii="Arial" w:cs="Arial" w:eastAsia="Arial" w:hAnsi="Arial"/>
                <w:sz w:val="16"/>
                <w:szCs w:val="16"/>
                <w:color w:val="auto"/>
              </w:rPr>
              <w:t>Second Quarter</w:t>
            </w:r>
          </w:p>
        </w:tc>
        <w:tc>
          <w:tcPr>
            <w:tcW w:w="2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Nine Months</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4360" w:type="dxa"/>
            <w:vAlign w:val="bottom"/>
            <w:tcBorders>
              <w:bottom w:val="single" w:sz="8" w:color="CFF0FC"/>
            </w:tcBorders>
          </w:tcPr>
          <w:p>
            <w:pPr>
              <w:spacing w:after="0"/>
              <w:rPr>
                <w:sz w:val="17"/>
                <w:szCs w:val="17"/>
                <w:color w:val="auto"/>
              </w:rPr>
            </w:pPr>
          </w:p>
        </w:tc>
        <w:tc>
          <w:tcPr>
            <w:tcW w:w="142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2022</w:t>
            </w:r>
          </w:p>
        </w:tc>
        <w:tc>
          <w:tcPr>
            <w:tcW w:w="24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CFF0FC"/>
            </w:tcBorders>
          </w:tcPr>
          <w:p>
            <w:pPr>
              <w:spacing w:after="0"/>
              <w:rPr>
                <w:sz w:val="17"/>
                <w:szCs w:val="17"/>
                <w:color w:val="auto"/>
              </w:rPr>
            </w:pPr>
          </w:p>
        </w:tc>
      </w:tr>
      <w:tr>
        <w:trPr>
          <w:trHeight w:val="196"/>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Gain on sale of Liberty shares</w:t>
            </w:r>
          </w:p>
        </w:tc>
        <w:tc>
          <w:tcPr>
            <w:tcW w:w="14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2"/>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242</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r>
      <w:tr>
        <w:trPr>
          <w:trHeight w:val="203"/>
        </w:trPr>
        <w:tc>
          <w:tcPr>
            <w:tcW w:w="4360" w:type="dxa"/>
            <w:vAlign w:val="bottom"/>
          </w:tcPr>
          <w:p>
            <w:pPr>
              <w:spacing w:after="0"/>
              <w:rPr>
                <w:sz w:val="20"/>
                <w:szCs w:val="20"/>
                <w:color w:val="auto"/>
              </w:rPr>
            </w:pPr>
            <w:r>
              <w:rPr>
                <w:rFonts w:ascii="Arial" w:cs="Arial" w:eastAsia="Arial" w:hAnsi="Arial"/>
                <w:sz w:val="16"/>
                <w:szCs w:val="16"/>
                <w:color w:val="auto"/>
              </w:rPr>
              <w:t>Gain on sale of real estate</w:t>
            </w: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43</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r>
      <w:tr>
        <w:trPr>
          <w:trHeight w:val="203"/>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Unrealized gain on marketable securities</w:t>
            </w:r>
          </w:p>
        </w:tc>
        <w:tc>
          <w:tcPr>
            <w:tcW w:w="14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FF0FC"/>
          </w:tcPr>
          <w:p>
            <w:pPr>
              <w:spacing w:after="0"/>
              <w:rPr>
                <w:sz w:val="17"/>
                <w:szCs w:val="17"/>
                <w:color w:val="auto"/>
              </w:rPr>
            </w:pPr>
          </w:p>
        </w:tc>
      </w:tr>
      <w:tr>
        <w:trPr>
          <w:trHeight w:val="203"/>
        </w:trPr>
        <w:tc>
          <w:tcPr>
            <w:tcW w:w="4360" w:type="dxa"/>
            <w:vAlign w:val="bottom"/>
          </w:tcPr>
          <w:p>
            <w:pPr>
              <w:spacing w:after="0"/>
              <w:rPr>
                <w:sz w:val="20"/>
                <w:szCs w:val="20"/>
                <w:color w:val="auto"/>
              </w:rPr>
            </w:pPr>
            <w:r>
              <w:rPr>
                <w:rFonts w:ascii="Arial" w:cs="Arial" w:eastAsia="Arial" w:hAnsi="Arial"/>
                <w:sz w:val="16"/>
                <w:szCs w:val="16"/>
                <w:color w:val="auto"/>
              </w:rPr>
              <w:t>Earnings of equity method investments</w:t>
            </w: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42</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85</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7"/>
                <w:szCs w:val="17"/>
                <w:color w:val="auto"/>
              </w:rPr>
            </w:pPr>
          </w:p>
        </w:tc>
      </w:tr>
      <w:tr>
        <w:trPr>
          <w:trHeight w:val="203"/>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Interest income</w:t>
            </w:r>
          </w:p>
        </w:tc>
        <w:tc>
          <w:tcPr>
            <w:tcW w:w="142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33</w:t>
            </w:r>
          </w:p>
        </w:tc>
        <w:tc>
          <w:tcPr>
            <w:tcW w:w="24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24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66</w:t>
            </w:r>
          </w:p>
        </w:tc>
        <w:tc>
          <w:tcPr>
            <w:tcW w:w="26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FF0FC"/>
          </w:tcPr>
          <w:p>
            <w:pPr>
              <w:spacing w:after="0"/>
              <w:rPr>
                <w:sz w:val="17"/>
                <w:szCs w:val="17"/>
                <w:color w:val="auto"/>
              </w:rPr>
            </w:pPr>
          </w:p>
        </w:tc>
      </w:tr>
      <w:tr>
        <w:trPr>
          <w:trHeight w:val="196"/>
        </w:trPr>
        <w:tc>
          <w:tcPr>
            <w:tcW w:w="4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Borders>
              <w:bottom w:val="single" w:sz="8" w:color="auto"/>
            </w:tcBorders>
          </w:tcPr>
          <w:p>
            <w:pPr>
              <w:jc w:val="right"/>
              <w:ind w:right="82"/>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w:t>
            </w:r>
          </w:p>
        </w:tc>
        <w:tc>
          <w:tcPr>
            <w:tcW w:w="24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436</w:t>
            </w:r>
          </w:p>
        </w:tc>
        <w:tc>
          <w:tcPr>
            <w:tcW w:w="260" w:type="dxa"/>
            <w:vAlign w:val="bottom"/>
          </w:tcPr>
          <w:p>
            <w:pPr>
              <w:spacing w:after="0"/>
              <w:rPr>
                <w:sz w:val="17"/>
                <w:szCs w:val="17"/>
                <w:color w:val="auto"/>
              </w:rPr>
            </w:pP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7"/>
                <w:szCs w:val="17"/>
                <w:color w:val="auto"/>
              </w:rPr>
            </w:pPr>
          </w:p>
        </w:tc>
      </w:tr>
      <w:tr>
        <w:trPr>
          <w:trHeight w:val="20"/>
        </w:trPr>
        <w:tc>
          <w:tcPr>
            <w:tcW w:w="4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increases in interest income were primarily driven by higher cash and short-term investment balances combined with higher interest rates in Argentina. These increases were more than offset by foreign exchange losses recorded on the remeasurement of Argentine peso-denominated net monetary assets as the official Argentine peso exchange rate continued to devalue compared to the US dollar. Schlumberger’s functional currency in Argentina is the US dollar and it uses Argentina’s official market exchange rate to remeasure its net Argentine peso-denominated assets into US dollars. Such net assets were approximately $270 million at September 30, 2022, primarily consisting of cash and short-term investments.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Central Bank of Argentina maintains certain currency controls that limit Schlumberger’s ability to access US dollars in Argentina and remit earnings from its Argentine operations. A legal indirect foreign exchange mechanism exists that effectively results in a parallel US dollar exchange rate. This parallel rate, which cannot be used as the basis to remeasure Schlumberger’s net monetary assets into US dollars under US GAAP, was approximately 110% higher than Argentina’s official exchange rate at September 30, 2022. If Argentina’s official exchange rate converges with the parallel rate, Schlumberger would incur a loss on its net peso-denominated assets in Argentina. Argentina represented less than 5% of Schlumberger’s consolidated revenue for the nine months ended September 30, 2022.</w:t>
      </w:r>
    </w:p>
    <w:p>
      <w:pPr>
        <w:spacing w:after="0" w:line="16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Earnings of equity method investments for the nine months ended September 30, 2022 increased $59 million as compared to the same period of 2021 primarily due to Schlumberger’s share of net income associated with its investment in Liberty. Schlumberger records its share of Liberty’s net income or loss on a one-quarter lag.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i w:val="1"/>
          <w:iCs w:val="1"/>
          <w:u w:val="single" w:color="auto"/>
          <w:color w:val="auto"/>
        </w:rPr>
        <w:t>Other</w:t>
      </w:r>
    </w:p>
    <w:p>
      <w:pPr>
        <w:spacing w:after="0" w:line="11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i w:val="1"/>
          <w:iCs w:val="1"/>
          <w:color w:val="auto"/>
        </w:rPr>
        <w:t xml:space="preserve">Research &amp; engineering </w:t>
      </w:r>
      <w:r>
        <w:rPr>
          <w:rFonts w:ascii="Arial" w:cs="Arial" w:eastAsia="Arial" w:hAnsi="Arial"/>
          <w:sz w:val="16"/>
          <w:szCs w:val="16"/>
          <w:color w:val="auto"/>
        </w:rPr>
        <w:t>and</w:t>
      </w:r>
      <w:r>
        <w:rPr>
          <w:rFonts w:ascii="Arial" w:cs="Arial" w:eastAsia="Arial" w:hAnsi="Arial"/>
          <w:sz w:val="16"/>
          <w:szCs w:val="16"/>
          <w:i w:val="1"/>
          <w:iCs w:val="1"/>
          <w:color w:val="auto"/>
        </w:rPr>
        <w:t xml:space="preserve"> General &amp; administrative </w:t>
      </w:r>
      <w:r>
        <w:rPr>
          <w:rFonts w:ascii="Arial" w:cs="Arial" w:eastAsia="Arial" w:hAnsi="Arial"/>
          <w:sz w:val="16"/>
          <w:szCs w:val="16"/>
          <w:color w:val="auto"/>
        </w:rPr>
        <w:t>expenses, as a percentage of</w:t>
      </w:r>
      <w:r>
        <w:rPr>
          <w:rFonts w:ascii="Arial" w:cs="Arial" w:eastAsia="Arial" w:hAnsi="Arial"/>
          <w:sz w:val="16"/>
          <w:szCs w:val="16"/>
          <w:i w:val="1"/>
          <w:iCs w:val="1"/>
          <w:color w:val="auto"/>
        </w:rPr>
        <w:t xml:space="preserve"> Revenue</w:t>
      </w:r>
      <w:r>
        <w:rPr>
          <w:rFonts w:ascii="Arial" w:cs="Arial" w:eastAsia="Arial" w:hAnsi="Arial"/>
          <w:sz w:val="16"/>
          <w:szCs w:val="16"/>
          <w:color w:val="auto"/>
        </w:rPr>
        <w:t>, for the third quarter and second quarter of 2022 and nine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2022 and 2021 were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880" w:type="dxa"/>
            <w:vAlign w:val="bottom"/>
          </w:tcPr>
          <w:p>
            <w:pPr>
              <w:jc w:val="center"/>
              <w:ind w:left="159"/>
              <w:spacing w:after="0"/>
              <w:rPr>
                <w:sz w:val="20"/>
                <w:szCs w:val="20"/>
                <w:color w:val="auto"/>
              </w:rPr>
            </w:pPr>
            <w:r>
              <w:rPr>
                <w:rFonts w:ascii="Arial" w:cs="Arial" w:eastAsia="Arial" w:hAnsi="Arial"/>
                <w:sz w:val="16"/>
                <w:szCs w:val="16"/>
                <w:b w:val="1"/>
                <w:bCs w:val="1"/>
                <w:color w:val="auto"/>
                <w:w w:val="99"/>
              </w:rPr>
              <w:t>Third</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6"/>
                <w:szCs w:val="16"/>
                <w:color w:val="auto"/>
                <w:w w:val="99"/>
              </w:rPr>
              <w:t>Second</w:t>
            </w: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5600" w:type="dxa"/>
            <w:vAlign w:val="bottom"/>
          </w:tcPr>
          <w:p>
            <w:pPr>
              <w:spacing w:after="0"/>
              <w:rPr>
                <w:sz w:val="17"/>
                <w:szCs w:val="17"/>
                <w:color w:val="auto"/>
              </w:rPr>
            </w:pPr>
          </w:p>
        </w:tc>
        <w:tc>
          <w:tcPr>
            <w:tcW w:w="880" w:type="dxa"/>
            <w:vAlign w:val="bottom"/>
          </w:tcPr>
          <w:p>
            <w:pPr>
              <w:jc w:val="center"/>
              <w:ind w:left="179"/>
              <w:spacing w:after="0"/>
              <w:rPr>
                <w:sz w:val="20"/>
                <w:szCs w:val="20"/>
                <w:color w:val="auto"/>
              </w:rPr>
            </w:pPr>
            <w:r>
              <w:rPr>
                <w:rFonts w:ascii="Arial" w:cs="Arial" w:eastAsia="Arial" w:hAnsi="Arial"/>
                <w:sz w:val="16"/>
                <w:szCs w:val="16"/>
                <w:b w:val="1"/>
                <w:bCs w:val="1"/>
                <w:color w:val="auto"/>
              </w:rPr>
              <w:t>Quarter</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6"/>
                <w:szCs w:val="16"/>
                <w:color w:val="auto"/>
                <w:w w:val="99"/>
              </w:rPr>
              <w:t>Quarter</w:t>
            </w:r>
          </w:p>
        </w:tc>
        <w:tc>
          <w:tcPr>
            <w:tcW w:w="1800" w:type="dxa"/>
            <w:vAlign w:val="bottom"/>
            <w:tcBorders>
              <w:bottom w:val="single" w:sz="8" w:color="auto"/>
            </w:tcBorders>
            <w:gridSpan w:val="3"/>
          </w:tcPr>
          <w:p>
            <w:pPr>
              <w:ind w:left="800"/>
              <w:spacing w:after="0"/>
              <w:rPr>
                <w:sz w:val="20"/>
                <w:szCs w:val="20"/>
                <w:color w:val="auto"/>
              </w:rPr>
            </w:pPr>
            <w:r>
              <w:rPr>
                <w:rFonts w:ascii="Arial" w:cs="Arial" w:eastAsia="Arial" w:hAnsi="Arial"/>
                <w:sz w:val="16"/>
                <w:szCs w:val="16"/>
                <w:b w:val="1"/>
                <w:bCs w:val="1"/>
                <w:color w:val="auto"/>
              </w:rPr>
              <w:t>Nine Months</w:t>
            </w:r>
          </w:p>
        </w:tc>
        <w:tc>
          <w:tcPr>
            <w:tcW w:w="8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5600" w:type="dxa"/>
            <w:vAlign w:val="bottom"/>
            <w:tcBorders>
              <w:bottom w:val="single" w:sz="8" w:color="CFF0FC"/>
            </w:tcBorders>
          </w:tcPr>
          <w:p>
            <w:pPr>
              <w:spacing w:after="0"/>
              <w:rPr>
                <w:sz w:val="17"/>
                <w:szCs w:val="17"/>
                <w:color w:val="auto"/>
              </w:rPr>
            </w:pPr>
          </w:p>
        </w:tc>
        <w:tc>
          <w:tcPr>
            <w:tcW w:w="880" w:type="dxa"/>
            <w:vAlign w:val="bottom"/>
            <w:tcBorders>
              <w:bottom w:val="single" w:sz="8" w:color="auto"/>
            </w:tcBorders>
          </w:tcPr>
          <w:p>
            <w:pPr>
              <w:jc w:val="center"/>
              <w:ind w:left="159"/>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auto"/>
            </w:tcBorders>
          </w:tcPr>
          <w:p>
            <w:pPr>
              <w:spacing w:after="0"/>
              <w:rPr>
                <w:sz w:val="17"/>
                <w:szCs w:val="17"/>
                <w:color w:val="auto"/>
              </w:rPr>
            </w:pPr>
          </w:p>
        </w:tc>
        <w:tc>
          <w:tcPr>
            <w:tcW w:w="300" w:type="dxa"/>
            <w:vAlign w:val="bottom"/>
            <w:tcBorders>
              <w:bottom w:val="single" w:sz="8" w:color="CFF0FC"/>
            </w:tcBorders>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2022</w:t>
            </w:r>
          </w:p>
        </w:tc>
        <w:tc>
          <w:tcPr>
            <w:tcW w:w="300" w:type="dxa"/>
            <w:vAlign w:val="bottom"/>
            <w:tcBorders>
              <w:bottom w:val="single" w:sz="8" w:color="CFF0FC"/>
            </w:tcBorders>
          </w:tcPr>
          <w:p>
            <w:pPr>
              <w:spacing w:after="0"/>
              <w:rPr>
                <w:sz w:val="17"/>
                <w:szCs w:val="17"/>
                <w:color w:val="auto"/>
              </w:rPr>
            </w:pPr>
          </w:p>
        </w:tc>
        <w:tc>
          <w:tcPr>
            <w:tcW w:w="11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30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2021</w:t>
            </w:r>
          </w:p>
        </w:tc>
        <w:tc>
          <w:tcPr>
            <w:tcW w:w="160" w:type="dxa"/>
            <w:vAlign w:val="bottom"/>
            <w:tcBorders>
              <w:bottom w:val="single" w:sz="8" w:color="CFF0FC"/>
            </w:tcBorders>
          </w:tcPr>
          <w:p>
            <w:pPr>
              <w:spacing w:after="0"/>
              <w:rPr>
                <w:sz w:val="17"/>
                <w:szCs w:val="17"/>
                <w:color w:val="auto"/>
              </w:rPr>
            </w:pPr>
          </w:p>
        </w:tc>
      </w:tr>
      <w:tr>
        <w:trPr>
          <w:trHeight w:val="196"/>
        </w:trPr>
        <w:tc>
          <w:tcPr>
            <w:tcW w:w="5600" w:type="dxa"/>
            <w:vAlign w:val="bottom"/>
            <w:shd w:val="clear" w:color="auto" w:fill="CFF0FC"/>
          </w:tcPr>
          <w:p>
            <w:pPr>
              <w:spacing w:after="0"/>
              <w:rPr>
                <w:sz w:val="20"/>
                <w:szCs w:val="20"/>
                <w:color w:val="auto"/>
              </w:rPr>
            </w:pPr>
            <w:r>
              <w:rPr>
                <w:rFonts w:ascii="Arial" w:cs="Arial" w:eastAsia="Arial" w:hAnsi="Arial"/>
                <w:sz w:val="16"/>
                <w:szCs w:val="16"/>
                <w:color w:val="auto"/>
              </w:rPr>
              <w:t>Research &amp; engineering</w:t>
            </w:r>
          </w:p>
        </w:tc>
        <w:tc>
          <w:tcPr>
            <w:tcW w:w="88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2.1%</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2.3%</w:t>
            </w: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2.3%</w:t>
            </w:r>
          </w:p>
        </w:tc>
        <w:tc>
          <w:tcPr>
            <w:tcW w:w="3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2.4%</w:t>
            </w:r>
          </w:p>
        </w:tc>
      </w:tr>
      <w:tr>
        <w:trPr>
          <w:trHeight w:val="223"/>
        </w:trPr>
        <w:tc>
          <w:tcPr>
            <w:tcW w:w="6480" w:type="dxa"/>
            <w:vAlign w:val="bottom"/>
            <w:gridSpan w:val="2"/>
          </w:tcPr>
          <w:p>
            <w:pPr>
              <w:spacing w:after="0"/>
              <w:rPr>
                <w:sz w:val="20"/>
                <w:szCs w:val="20"/>
                <w:color w:val="auto"/>
              </w:rPr>
            </w:pPr>
            <w:r>
              <w:rPr>
                <w:rFonts w:ascii="Arial" w:cs="Arial" w:eastAsia="Arial" w:hAnsi="Arial"/>
                <w:sz w:val="16"/>
                <w:szCs w:val="16"/>
                <w:color w:val="auto"/>
              </w:rPr>
              <w:t>General &amp; administrative</w:t>
            </w:r>
          </w:p>
        </w:tc>
        <w:tc>
          <w:tcPr>
            <w:tcW w:w="5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1.3%</w:t>
            </w:r>
          </w:p>
        </w:tc>
        <w:tc>
          <w:tcPr>
            <w:tcW w:w="1440" w:type="dxa"/>
            <w:vAlign w:val="bottom"/>
            <w:gridSpan w:val="2"/>
          </w:tcPr>
          <w:p>
            <w:pPr>
              <w:jc w:val="right"/>
              <w:ind w:right="140"/>
              <w:spacing w:after="0"/>
              <w:rPr>
                <w:sz w:val="20"/>
                <w:szCs w:val="20"/>
                <w:color w:val="auto"/>
              </w:rPr>
            </w:pPr>
            <w:r>
              <w:rPr>
                <w:rFonts w:ascii="Arial" w:cs="Arial" w:eastAsia="Arial" w:hAnsi="Arial"/>
                <w:sz w:val="16"/>
                <w:szCs w:val="16"/>
                <w:color w:val="auto"/>
              </w:rPr>
              <w:t>1.3%</w:t>
            </w:r>
          </w:p>
        </w:tc>
        <w:tc>
          <w:tcPr>
            <w:tcW w:w="14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1.4%</w:t>
            </w:r>
          </w:p>
        </w:tc>
        <w:tc>
          <w:tcPr>
            <w:tcW w:w="3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1.4%</w:t>
            </w:r>
          </w:p>
        </w:tc>
      </w:tr>
    </w:tbl>
    <w:p>
      <w:pPr>
        <w:spacing w:after="0" w:line="16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 xml:space="preserve">The effective tax rate for the third quarter of 2022 was 18.9%, as compared to 15.8% for the second quarter of 2022. The increase in the effective tax rate was primarily due to the absence of the credits described in Note 2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These credits reduced the effective tax rate during the second quarter by three percentage points.</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 xml:space="preserve">The effective tax rate for the nine months of 2022 was 17.6%, as compared to 18.6% for the same period of 2021. The decrease in the effective tax rate was primarily due to the absence of the credits described in Note 2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These credits reduced the effective tax rate during the first nine months of 2022 by one percentage point.</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Charges and Credits</w:t>
      </w:r>
    </w:p>
    <w:p>
      <w:pPr>
        <w:spacing w:after="0" w:line="111"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color w:val="auto"/>
        </w:rPr>
        <w:t xml:space="preserve">Schlumberger recorded the following credits during the first nine months of 2022, all of which are classified in </w:t>
      </w:r>
      <w:r>
        <w:rPr>
          <w:rFonts w:ascii="Arial" w:cs="Arial" w:eastAsia="Arial" w:hAnsi="Arial"/>
          <w:sz w:val="16"/>
          <w:szCs w:val="16"/>
          <w:i w:val="1"/>
          <w:iCs w:val="1"/>
          <w:color w:val="auto"/>
        </w:rPr>
        <w:t>Interest &amp; other income</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 of Income</w:t>
      </w:r>
      <w:r>
        <w:rPr>
          <w:rFonts w:ascii="Arial" w:cs="Arial" w:eastAsia="Arial" w:hAnsi="Arial"/>
          <w:sz w:val="16"/>
          <w:szCs w:val="16"/>
          <w:color w:val="auto"/>
        </w:rPr>
        <w:t>.</w:t>
      </w:r>
    </w:p>
    <w:p>
      <w:pPr>
        <w:ind w:left="9780"/>
        <w:spacing w:after="0"/>
        <w:rPr>
          <w:sz w:val="20"/>
          <w:szCs w:val="20"/>
          <w:color w:val="auto"/>
        </w:rPr>
      </w:pPr>
      <w:r>
        <w:rPr>
          <w:rFonts w:ascii="Arial" w:cs="Arial" w:eastAsia="Arial" w:hAnsi="Arial"/>
          <w:sz w:val="16"/>
          <w:szCs w:val="16"/>
          <w:i w:val="1"/>
          <w:iCs w:val="1"/>
          <w:color w:val="auto"/>
        </w:rPr>
        <w:t>(Stated in millions)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color w:val="auto"/>
              </w:rPr>
              <w:t>Pretax Credit</w:t>
            </w:r>
          </w:p>
        </w:tc>
        <w:tc>
          <w:tcPr>
            <w:tcW w:w="160" w:type="dxa"/>
            <w:vAlign w:val="bottom"/>
          </w:tcPr>
          <w:p>
            <w:pPr>
              <w:spacing w:after="0"/>
              <w:rPr>
                <w:sz w:val="17"/>
                <w:szCs w:val="17"/>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color w:val="auto"/>
              </w:rPr>
              <w:t>Tax Expense</w:t>
            </w:r>
          </w:p>
        </w:tc>
        <w:tc>
          <w:tcPr>
            <w:tcW w:w="320" w:type="dxa"/>
            <w:vAlign w:val="bottom"/>
          </w:tcPr>
          <w:p>
            <w:pPr>
              <w:spacing w:after="0"/>
              <w:rPr>
                <w:sz w:val="17"/>
                <w:szCs w:val="17"/>
                <w:color w:val="auto"/>
              </w:rPr>
            </w:pPr>
          </w:p>
        </w:tc>
        <w:tc>
          <w:tcPr>
            <w:tcW w:w="1140" w:type="dxa"/>
            <w:vAlign w:val="bottom"/>
            <w:gridSpan w:val="2"/>
          </w:tcPr>
          <w:p>
            <w:pPr>
              <w:ind w:left="220"/>
              <w:spacing w:after="0"/>
              <w:rPr>
                <w:sz w:val="20"/>
                <w:szCs w:val="20"/>
                <w:color w:val="auto"/>
              </w:rPr>
            </w:pPr>
            <w:r>
              <w:rPr>
                <w:rFonts w:ascii="Arial" w:cs="Arial" w:eastAsia="Arial" w:hAnsi="Arial"/>
                <w:sz w:val="16"/>
                <w:szCs w:val="16"/>
                <w:color w:val="auto"/>
              </w:rPr>
              <w:t>Net</w:t>
            </w:r>
          </w:p>
        </w:tc>
      </w:tr>
      <w:tr>
        <w:trPr>
          <w:trHeight w:val="196"/>
        </w:trPr>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i w:val="1"/>
                <w:iCs w:val="1"/>
                <w:color w:val="auto"/>
              </w:rPr>
              <w:t>First quarter:</w:t>
            </w:r>
          </w:p>
        </w:tc>
        <w:tc>
          <w:tcPr>
            <w:tcW w:w="14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03"/>
        </w:trPr>
        <w:tc>
          <w:tcPr>
            <w:tcW w:w="6600" w:type="dxa"/>
            <w:vAlign w:val="bottom"/>
          </w:tcPr>
          <w:p>
            <w:pPr>
              <w:ind w:left="260"/>
              <w:spacing w:after="0"/>
              <w:rPr>
                <w:sz w:val="20"/>
                <w:szCs w:val="20"/>
                <w:color w:val="auto"/>
              </w:rPr>
            </w:pPr>
            <w:r>
              <w:rPr>
                <w:rFonts w:ascii="Arial" w:cs="Arial" w:eastAsia="Arial" w:hAnsi="Arial"/>
                <w:sz w:val="16"/>
                <w:szCs w:val="16"/>
                <w:color w:val="auto"/>
              </w:rPr>
              <w:t>Gain on sale of Liberty shares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26</w:t>
            </w:r>
          </w:p>
        </w:tc>
        <w:tc>
          <w:tcPr>
            <w:tcW w:w="2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w:t>
            </w:r>
          </w:p>
        </w:tc>
        <w:tc>
          <w:tcPr>
            <w:tcW w:w="26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r>
      <w:tr>
        <w:trPr>
          <w:trHeight w:val="203"/>
        </w:trPr>
        <w:tc>
          <w:tcPr>
            <w:tcW w:w="660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Second quarter:</w:t>
            </w: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ind w:left="260"/>
              <w:spacing w:after="0"/>
              <w:rPr>
                <w:sz w:val="20"/>
                <w:szCs w:val="20"/>
                <w:color w:val="auto"/>
              </w:rPr>
            </w:pPr>
            <w:r>
              <w:rPr>
                <w:rFonts w:ascii="Arial" w:cs="Arial" w:eastAsia="Arial" w:hAnsi="Arial"/>
                <w:sz w:val="16"/>
                <w:szCs w:val="16"/>
                <w:color w:val="auto"/>
              </w:rPr>
              <w:t>Gain on sale of Liberty shares</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216</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17"/>
                <w:szCs w:val="17"/>
                <w:color w:val="auto"/>
              </w:rPr>
            </w:pPr>
          </w:p>
        </w:tc>
      </w:tr>
      <w:tr>
        <w:trPr>
          <w:trHeight w:val="203"/>
        </w:trPr>
        <w:tc>
          <w:tcPr>
            <w:tcW w:w="6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Gain on sale of real estate</w:t>
            </w:r>
          </w:p>
        </w:tc>
        <w:tc>
          <w:tcPr>
            <w:tcW w:w="14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24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60" w:type="dxa"/>
            <w:vAlign w:val="bottom"/>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FF0FC"/>
          </w:tcPr>
          <w:p>
            <w:pPr>
              <w:spacing w:after="0"/>
              <w:rPr>
                <w:sz w:val="17"/>
                <w:szCs w:val="17"/>
                <w:color w:val="auto"/>
              </w:rPr>
            </w:pPr>
          </w:p>
        </w:tc>
      </w:tr>
      <w:tr>
        <w:trPr>
          <w:trHeight w:val="196"/>
        </w:trPr>
        <w:tc>
          <w:tcPr>
            <w:tcW w:w="66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w:t>
            </w:r>
          </w:p>
        </w:tc>
        <w:tc>
          <w:tcPr>
            <w:tcW w:w="24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26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17"/>
                <w:szCs w:val="17"/>
                <w:color w:val="auto"/>
              </w:rPr>
            </w:pPr>
          </w:p>
        </w:tc>
      </w:tr>
      <w:tr>
        <w:trPr>
          <w:trHeight w:val="20"/>
        </w:trPr>
        <w:tc>
          <w:tcPr>
            <w:tcW w:w="6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During the third quarter of 2021, a start-up company that Schlumberger previously invested in was acquired. As a result of this transaction, Schlumberger’s ownership interest was converted into shares of a publicly traded company. Schlumberger recognized an unrealized pretax gain of $47 million ($36 million after-tax) to increase the carrying value of this investment to its estimated fair value of approximately $55 million. This unrealized gain was reflected in </w:t>
      </w:r>
      <w:r>
        <w:rPr>
          <w:rFonts w:ascii="Arial" w:cs="Arial" w:eastAsia="Arial" w:hAnsi="Arial"/>
          <w:sz w:val="16"/>
          <w:szCs w:val="16"/>
          <w:i w:val="1"/>
          <w:iCs w:val="1"/>
          <w:color w:val="auto"/>
        </w:rPr>
        <w:t xml:space="preserve">Interest &amp; other income </w:t>
      </w:r>
      <w:r>
        <w:rPr>
          <w:rFonts w:ascii="Arial" w:cs="Arial" w:eastAsia="Arial" w:hAnsi="Arial"/>
          <w:sz w:val="16"/>
          <w:szCs w:val="16"/>
          <w:color w:val="auto"/>
        </w:rPr>
        <w:t>in the</w:t>
      </w:r>
      <w:r>
        <w:rPr>
          <w:rFonts w:ascii="Arial" w:cs="Arial" w:eastAsia="Arial" w:hAnsi="Arial"/>
          <w:sz w:val="16"/>
          <w:szCs w:val="16"/>
          <w:i w:val="1"/>
          <w:iCs w:val="1"/>
          <w:color w:val="auto"/>
        </w:rPr>
        <w:t xml:space="preserve"> Consolidated Statement of Income</w:t>
      </w:r>
      <w:r>
        <w:rPr>
          <w:rFonts w:ascii="Arial" w:cs="Arial" w:eastAsia="Arial" w:hAnsi="Arial"/>
          <w:sz w:val="16"/>
          <w:szCs w:val="16"/>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Liquidity and Capital Resources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Details of the components of liquidity as well as changes in liquidity follow:</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3"/>
          </w:tcPr>
          <w:p>
            <w:pPr>
              <w:spacing w:after="0"/>
              <w:rPr>
                <w:sz w:val="20"/>
                <w:szCs w:val="20"/>
                <w:color w:val="auto"/>
              </w:rPr>
            </w:pPr>
            <w:r>
              <w:rPr>
                <w:rFonts w:ascii="Arial" w:cs="Arial" w:eastAsia="Arial" w:hAnsi="Arial"/>
                <w:sz w:val="16"/>
                <w:szCs w:val="16"/>
                <w:i w:val="1"/>
                <w:iCs w:val="1"/>
                <w:color w:val="auto"/>
              </w:rPr>
              <w:t>(Stated in millions)</w:t>
            </w:r>
          </w:p>
        </w:tc>
      </w:tr>
      <w:tr>
        <w:trPr>
          <w:trHeight w:val="393"/>
        </w:trPr>
        <w:tc>
          <w:tcPr>
            <w:tcW w:w="6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rPr>
              <w:t>Sept. 30,</w:t>
            </w:r>
          </w:p>
        </w:tc>
        <w:tc>
          <w:tcPr>
            <w:tcW w:w="220" w:type="dxa"/>
            <w:vAlign w:val="bottom"/>
          </w:tcPr>
          <w:p>
            <w:pPr>
              <w:spacing w:after="0"/>
              <w:rPr>
                <w:sz w:val="24"/>
                <w:szCs w:val="24"/>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6"/>
                <w:szCs w:val="16"/>
                <w:color w:val="auto"/>
              </w:rPr>
              <w:t>Sept. 30,</w:t>
            </w:r>
          </w:p>
        </w:tc>
        <w:tc>
          <w:tcPr>
            <w:tcW w:w="240" w:type="dxa"/>
            <w:vAlign w:val="bottom"/>
          </w:tcPr>
          <w:p>
            <w:pPr>
              <w:spacing w:after="0"/>
              <w:rPr>
                <w:sz w:val="24"/>
                <w:szCs w:val="24"/>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6"/>
                <w:szCs w:val="16"/>
                <w:color w:val="auto"/>
              </w:rPr>
              <w:t>Dec. 31,</w:t>
            </w:r>
          </w:p>
        </w:tc>
      </w:tr>
      <w:tr>
        <w:trPr>
          <w:trHeight w:val="203"/>
        </w:trPr>
        <w:tc>
          <w:tcPr>
            <w:tcW w:w="660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Components of Liquidity:</w:t>
            </w: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2021</w:t>
            </w:r>
          </w:p>
        </w:tc>
        <w:tc>
          <w:tcPr>
            <w:tcW w:w="26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CFF0FC"/>
            </w:tcBorders>
          </w:tcPr>
          <w:p>
            <w:pPr>
              <w:spacing w:after="0"/>
              <w:rPr>
                <w:sz w:val="17"/>
                <w:szCs w:val="17"/>
                <w:color w:val="auto"/>
              </w:rPr>
            </w:pPr>
          </w:p>
        </w:tc>
      </w:tr>
      <w:tr>
        <w:trPr>
          <w:trHeight w:val="196"/>
        </w:trPr>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Cash</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2,180</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1,569</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1,757</w:t>
            </w: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1,429</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1,373</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1,382</w:t>
            </w:r>
          </w:p>
        </w:tc>
        <w:tc>
          <w:tcPr>
            <w:tcW w:w="100" w:type="dxa"/>
            <w:vAlign w:val="bottom"/>
          </w:tcPr>
          <w:p>
            <w:pPr>
              <w:spacing w:after="0"/>
              <w:rPr>
                <w:sz w:val="17"/>
                <w:szCs w:val="17"/>
                <w:color w:val="auto"/>
              </w:rPr>
            </w:pPr>
          </w:p>
        </w:tc>
      </w:tr>
      <w:tr>
        <w:trPr>
          <w:trHeight w:val="203"/>
        </w:trPr>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Short-term borrowings and current portion of long-term debt</w:t>
            </w:r>
          </w:p>
        </w:tc>
        <w:tc>
          <w:tcPr>
            <w:tcW w:w="20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(899)</w:t>
            </w:r>
          </w:p>
        </w:tc>
        <w:tc>
          <w:tcPr>
            <w:tcW w:w="2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(1,025)</w:t>
            </w:r>
          </w:p>
        </w:tc>
        <w:tc>
          <w:tcPr>
            <w:tcW w:w="2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(909)</w:t>
            </w:r>
          </w:p>
        </w:tc>
      </w:tr>
      <w:tr>
        <w:trPr>
          <w:trHeight w:val="203"/>
        </w:trPr>
        <w:tc>
          <w:tcPr>
            <w:tcW w:w="6600" w:type="dxa"/>
            <w:vAlign w:val="bottom"/>
          </w:tcPr>
          <w:p>
            <w:pPr>
              <w:spacing w:after="0"/>
              <w:rPr>
                <w:sz w:val="20"/>
                <w:szCs w:val="20"/>
                <w:color w:val="auto"/>
              </w:rPr>
            </w:pPr>
            <w:r>
              <w:rPr>
                <w:rFonts w:ascii="Arial" w:cs="Arial" w:eastAsia="Arial" w:hAnsi="Arial"/>
                <w:sz w:val="16"/>
                <w:szCs w:val="16"/>
                <w:color w:val="auto"/>
              </w:rPr>
              <w:t>Long-term debt</w:t>
            </w:r>
          </w:p>
        </w:tc>
        <w:tc>
          <w:tcPr>
            <w:tcW w:w="20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(12,452)</w:t>
            </w:r>
          </w:p>
        </w:tc>
        <w:tc>
          <w:tcPr>
            <w:tcW w:w="22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(14,370)</w:t>
            </w:r>
          </w:p>
        </w:tc>
        <w:tc>
          <w:tcPr>
            <w:tcW w:w="24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(13,286)</w:t>
            </w:r>
          </w:p>
        </w:tc>
      </w:tr>
      <w:tr>
        <w:trPr>
          <w:trHeight w:val="196"/>
        </w:trPr>
        <w:tc>
          <w:tcPr>
            <w:tcW w:w="6600" w:type="dxa"/>
            <w:vAlign w:val="bottom"/>
            <w:tcBorders>
              <w:top w:val="single" w:sz="8" w:color="CFF0FC"/>
              <w:bottom w:val="single" w:sz="8" w:color="CFF0FC"/>
            </w:tcBorders>
            <w:shd w:val="clear" w:color="auto" w:fill="CFF0FC"/>
          </w:tcPr>
          <w:p>
            <w:pPr>
              <w:spacing w:after="0" w:line="195" w:lineRule="exact"/>
              <w:rPr>
                <w:sz w:val="20"/>
                <w:szCs w:val="20"/>
                <w:color w:val="auto"/>
              </w:rPr>
            </w:pPr>
            <w:r>
              <w:rPr>
                <w:rFonts w:ascii="Arial" w:cs="Arial" w:eastAsia="Arial" w:hAnsi="Arial"/>
                <w:sz w:val="14"/>
                <w:szCs w:val="14"/>
                <w:color w:val="auto"/>
              </w:rPr>
              <w:t xml:space="preserve">Net debt </w:t>
            </w:r>
            <w:r>
              <w:rPr>
                <w:rFonts w:ascii="Arial" w:cs="Arial" w:eastAsia="Arial" w:hAnsi="Arial"/>
                <w:sz w:val="22"/>
                <w:szCs w:val="22"/>
                <w:color w:val="auto"/>
                <w:vertAlign w:val="superscript"/>
              </w:rPr>
              <w:t>(1)</w:t>
            </w:r>
          </w:p>
        </w:tc>
        <w:tc>
          <w:tcPr>
            <w:tcW w:w="200" w:type="dxa"/>
            <w:vAlign w:val="bottom"/>
            <w:tcBorders>
              <w:top w:val="single" w:sz="8" w:color="auto"/>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(9,742)</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(12,453)</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(11,056)</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6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3"/>
        </w:trPr>
        <w:tc>
          <w:tcPr>
            <w:tcW w:w="6820" w:type="dxa"/>
            <w:vAlign w:val="bottom"/>
            <w:vMerge w:val="restart"/>
          </w:tcPr>
          <w:p>
            <w:pPr>
              <w:spacing w:after="0"/>
              <w:rPr>
                <w:sz w:val="20"/>
                <w:szCs w:val="20"/>
                <w:color w:val="auto"/>
              </w:rPr>
            </w:pPr>
            <w:r>
              <w:rPr>
                <w:rFonts w:ascii="Arial" w:cs="Arial" w:eastAsia="Arial" w:hAnsi="Arial"/>
                <w:sz w:val="16"/>
                <w:szCs w:val="16"/>
                <w:b w:val="1"/>
                <w:bCs w:val="1"/>
                <w:color w:val="auto"/>
              </w:rPr>
              <w:t>Changes in Liquidity:</w:t>
            </w: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0" w:type="dxa"/>
            <w:vAlign w:val="bottom"/>
            <w:gridSpan w:val="6"/>
          </w:tcPr>
          <w:p>
            <w:pPr>
              <w:jc w:val="right"/>
              <w:ind w:right="720"/>
              <w:spacing w:after="0"/>
              <w:rPr>
                <w:sz w:val="20"/>
                <w:szCs w:val="20"/>
                <w:color w:val="auto"/>
              </w:rPr>
            </w:pPr>
            <w:r>
              <w:rPr>
                <w:rFonts w:ascii="Arial" w:cs="Arial" w:eastAsia="Arial" w:hAnsi="Arial"/>
                <w:sz w:val="16"/>
                <w:szCs w:val="16"/>
                <w:b w:val="1"/>
                <w:bCs w:val="1"/>
                <w:color w:val="auto"/>
              </w:rPr>
              <w:t>Nine Months Ended Sept. 30,</w:t>
            </w:r>
          </w:p>
        </w:tc>
        <w:tc>
          <w:tcPr>
            <w:tcW w:w="0" w:type="dxa"/>
            <w:vAlign w:val="bottom"/>
          </w:tcPr>
          <w:p>
            <w:pPr>
              <w:spacing w:after="0"/>
              <w:rPr>
                <w:sz w:val="1"/>
                <w:szCs w:val="1"/>
                <w:color w:val="auto"/>
              </w:rPr>
            </w:pPr>
          </w:p>
        </w:tc>
      </w:tr>
      <w:tr>
        <w:trPr>
          <w:trHeight w:val="196"/>
        </w:trPr>
        <w:tc>
          <w:tcPr>
            <w:tcW w:w="6820" w:type="dxa"/>
            <w:vAlign w:val="bottom"/>
            <w:tcBorders>
              <w:bottom w:val="single" w:sz="8" w:color="CFF0FC"/>
            </w:tcBorders>
            <w:vMerge w:val="continue"/>
          </w:tcPr>
          <w:p>
            <w:pPr>
              <w:spacing w:after="0"/>
              <w:rPr>
                <w:sz w:val="17"/>
                <w:szCs w:val="17"/>
                <w:color w:val="auto"/>
              </w:rPr>
            </w:pPr>
          </w:p>
        </w:tc>
        <w:tc>
          <w:tcPr>
            <w:tcW w:w="860" w:type="dxa"/>
            <w:vAlign w:val="bottom"/>
            <w:tcBorders>
              <w:bottom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180" w:type="dxa"/>
            <w:vAlign w:val="bottom"/>
            <w:tcBorders>
              <w:top w:val="single" w:sz="8" w:color="auto"/>
              <w:bottom w:val="single" w:sz="8" w:color="CFF0FC"/>
            </w:tcBorders>
          </w:tcPr>
          <w:p>
            <w:pPr>
              <w:spacing w:after="0"/>
              <w:rPr>
                <w:sz w:val="17"/>
                <w:szCs w:val="17"/>
                <w:color w:val="auto"/>
              </w:rPr>
            </w:pPr>
          </w:p>
        </w:tc>
        <w:tc>
          <w:tcPr>
            <w:tcW w:w="120" w:type="dxa"/>
            <w:vAlign w:val="bottom"/>
            <w:tcBorders>
              <w:top w:val="single" w:sz="8" w:color="auto"/>
              <w:bottom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20" w:type="dxa"/>
            <w:vAlign w:val="bottom"/>
            <w:shd w:val="clear" w:color="auto" w:fill="CFF0FC"/>
          </w:tcPr>
          <w:p>
            <w:pPr>
              <w:spacing w:after="0"/>
              <w:rPr>
                <w:sz w:val="20"/>
                <w:szCs w:val="20"/>
                <w:color w:val="auto"/>
              </w:rPr>
            </w:pPr>
            <w:r>
              <w:rPr>
                <w:rFonts w:ascii="Arial" w:cs="Arial" w:eastAsia="Arial" w:hAnsi="Arial"/>
                <w:sz w:val="16"/>
                <w:szCs w:val="16"/>
                <w:color w:val="auto"/>
              </w:rPr>
              <w:t>Net income</w:t>
            </w:r>
          </w:p>
        </w:tc>
        <w:tc>
          <w:tcPr>
            <w:tcW w:w="86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2,410</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spacing w:after="0"/>
              <w:rPr>
                <w:sz w:val="20"/>
                <w:szCs w:val="20"/>
                <w:color w:val="auto"/>
              </w:rPr>
            </w:pPr>
            <w:r>
              <w:rPr>
                <w:rFonts w:ascii="Arial" w:cs="Arial" w:eastAsia="Arial" w:hAnsi="Arial"/>
                <w:sz w:val="16"/>
                <w:szCs w:val="16"/>
                <w:color w:val="auto"/>
              </w:rPr>
              <w:t>Gain on sale of Liberty shares</w:t>
            </w: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(242)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FF0FC"/>
          </w:tcPr>
          <w:p>
            <w:pPr>
              <w:spacing w:after="0"/>
              <w:rPr>
                <w:sz w:val="20"/>
                <w:szCs w:val="20"/>
                <w:color w:val="auto"/>
              </w:rPr>
            </w:pPr>
            <w:r>
              <w:rPr>
                <w:rFonts w:ascii="Arial" w:cs="Arial" w:eastAsia="Arial" w:hAnsi="Arial"/>
                <w:sz w:val="16"/>
                <w:szCs w:val="16"/>
                <w:color w:val="auto"/>
              </w:rPr>
              <w:t>Gain on sale of real estate</w:t>
            </w:r>
          </w:p>
        </w:tc>
        <w:tc>
          <w:tcPr>
            <w:tcW w:w="8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(43)</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spacing w:after="0"/>
              <w:rPr>
                <w:sz w:val="20"/>
                <w:szCs w:val="20"/>
                <w:color w:val="auto"/>
              </w:rPr>
            </w:pPr>
            <w:r>
              <w:rPr>
                <w:rFonts w:ascii="Arial" w:cs="Arial" w:eastAsia="Arial" w:hAnsi="Arial"/>
                <w:sz w:val="16"/>
                <w:szCs w:val="16"/>
                <w:color w:val="auto"/>
              </w:rPr>
              <w:t>Gain on marketable securities</w:t>
            </w: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3"/>
        </w:trPr>
        <w:tc>
          <w:tcPr>
            <w:tcW w:w="6820" w:type="dxa"/>
            <w:vAlign w:val="bottom"/>
            <w:shd w:val="clear" w:color="auto" w:fill="CFF0FC"/>
          </w:tcPr>
          <w:p>
            <w:pPr>
              <w:spacing w:after="0" w:line="202" w:lineRule="exact"/>
              <w:rPr>
                <w:sz w:val="20"/>
                <w:szCs w:val="20"/>
                <w:color w:val="auto"/>
              </w:rPr>
            </w:pPr>
            <w:r>
              <w:rPr>
                <w:rFonts w:ascii="Arial" w:cs="Arial" w:eastAsia="Arial" w:hAnsi="Arial"/>
                <w:sz w:val="14"/>
                <w:szCs w:val="14"/>
                <w:color w:val="auto"/>
              </w:rPr>
              <w:t xml:space="preserve">Depreciation and amortization </w:t>
            </w:r>
            <w:r>
              <w:rPr>
                <w:rFonts w:ascii="Arial" w:cs="Arial" w:eastAsia="Arial" w:hAnsi="Arial"/>
                <w:sz w:val="23"/>
                <w:szCs w:val="23"/>
                <w:color w:val="auto"/>
                <w:vertAlign w:val="superscript"/>
              </w:rPr>
              <w:t>(2)</w:t>
            </w:r>
          </w:p>
        </w:tc>
        <w:tc>
          <w:tcPr>
            <w:tcW w:w="8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1,598</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spacing w:after="0"/>
              <w:rPr>
                <w:sz w:val="20"/>
                <w:szCs w:val="20"/>
                <w:color w:val="auto"/>
              </w:rPr>
            </w:pPr>
            <w:r>
              <w:rPr>
                <w:rFonts w:ascii="Arial" w:cs="Arial" w:eastAsia="Arial" w:hAnsi="Arial"/>
                <w:sz w:val="16"/>
                <w:szCs w:val="16"/>
                <w:color w:val="auto"/>
              </w:rPr>
              <w:t>Earnings of equity method investments, less dividends received</w:t>
            </w: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(52)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FF0FC"/>
          </w:tcPr>
          <w:p>
            <w:pPr>
              <w:spacing w:after="0"/>
              <w:rPr>
                <w:sz w:val="20"/>
                <w:szCs w:val="20"/>
                <w:color w:val="auto"/>
              </w:rPr>
            </w:pPr>
            <w:r>
              <w:rPr>
                <w:rFonts w:ascii="Arial" w:cs="Arial" w:eastAsia="Arial" w:hAnsi="Arial"/>
                <w:sz w:val="16"/>
                <w:szCs w:val="16"/>
                <w:color w:val="auto"/>
              </w:rPr>
              <w:t>Deferred taxes</w:t>
            </w:r>
          </w:p>
        </w:tc>
        <w:tc>
          <w:tcPr>
            <w:tcW w:w="8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3"/>
        </w:trPr>
        <w:tc>
          <w:tcPr>
            <w:tcW w:w="682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236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FF0FC"/>
          </w:tcPr>
          <w:p>
            <w:pPr>
              <w:spacing w:after="0" w:line="202" w:lineRule="exact"/>
              <w:rPr>
                <w:sz w:val="20"/>
                <w:szCs w:val="20"/>
                <w:color w:val="auto"/>
              </w:rPr>
            </w:pPr>
            <w:r>
              <w:rPr>
                <w:rFonts w:ascii="Arial" w:cs="Arial" w:eastAsia="Arial" w:hAnsi="Arial"/>
                <w:sz w:val="14"/>
                <w:szCs w:val="14"/>
                <w:color w:val="auto"/>
              </w:rPr>
              <w:t xml:space="preserve">Increase in working capital </w:t>
            </w:r>
            <w:r>
              <w:rPr>
                <w:rFonts w:ascii="Arial" w:cs="Arial" w:eastAsia="Arial" w:hAnsi="Arial"/>
                <w:sz w:val="23"/>
                <w:szCs w:val="23"/>
                <w:color w:val="auto"/>
                <w:vertAlign w:val="superscript"/>
              </w:rPr>
              <w:t>(3)</w:t>
            </w:r>
          </w:p>
        </w:tc>
        <w:tc>
          <w:tcPr>
            <w:tcW w:w="8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(1,814)</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(798)</w:t>
            </w:r>
          </w:p>
        </w:tc>
        <w:tc>
          <w:tcPr>
            <w:tcW w:w="0" w:type="dxa"/>
            <w:vAlign w:val="bottom"/>
          </w:tcPr>
          <w:p>
            <w:pPr>
              <w:spacing w:after="0"/>
              <w:rPr>
                <w:sz w:val="1"/>
                <w:szCs w:val="1"/>
                <w:color w:val="auto"/>
              </w:rPr>
            </w:pPr>
          </w:p>
        </w:tc>
      </w:tr>
      <w:tr>
        <w:trPr>
          <w:trHeight w:val="203"/>
        </w:trPr>
        <w:tc>
          <w:tcPr>
            <w:tcW w:w="6820" w:type="dxa"/>
            <w:vAlign w:val="bottom"/>
          </w:tcPr>
          <w:p>
            <w:pPr>
              <w:spacing w:after="0"/>
              <w:rPr>
                <w:sz w:val="20"/>
                <w:szCs w:val="20"/>
                <w:color w:val="auto"/>
              </w:rPr>
            </w:pPr>
            <w:r>
              <w:rPr>
                <w:rFonts w:ascii="Arial" w:cs="Arial" w:eastAsia="Arial" w:hAnsi="Arial"/>
                <w:sz w:val="16"/>
                <w:szCs w:val="16"/>
                <w:color w:val="auto"/>
              </w:rPr>
              <w:t>US Federal tax refund</w:t>
            </w: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8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96"/>
        </w:trPr>
        <w:tc>
          <w:tcPr>
            <w:tcW w:w="682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Cash flow from operations</w:t>
            </w:r>
          </w:p>
        </w:tc>
        <w:tc>
          <w:tcPr>
            <w:tcW w:w="860" w:type="dxa"/>
            <w:vAlign w:val="bottom"/>
            <w:tcBorders>
              <w:bottom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2,106</w:t>
            </w:r>
          </w:p>
        </w:tc>
        <w:tc>
          <w:tcPr>
            <w:tcW w:w="18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2,719</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20" w:type="dxa"/>
            <w:vAlign w:val="bottom"/>
            <w:shd w:val="clear" w:color="auto" w:fill="CFF0FC"/>
          </w:tcPr>
          <w:p>
            <w:pPr>
              <w:spacing w:after="0"/>
              <w:rPr>
                <w:sz w:val="20"/>
                <w:szCs w:val="20"/>
                <w:color w:val="auto"/>
              </w:rPr>
            </w:pPr>
            <w:r>
              <w:rPr>
                <w:rFonts w:ascii="Arial" w:cs="Arial" w:eastAsia="Arial" w:hAnsi="Arial"/>
                <w:sz w:val="16"/>
                <w:szCs w:val="16"/>
                <w:color w:val="auto"/>
              </w:rPr>
              <w:t>Capital expenditures</w:t>
            </w:r>
          </w:p>
        </w:tc>
        <w:tc>
          <w:tcPr>
            <w:tcW w:w="8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(1,046)</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spacing w:after="0"/>
              <w:rPr>
                <w:sz w:val="20"/>
                <w:szCs w:val="20"/>
                <w:color w:val="auto"/>
              </w:rPr>
            </w:pPr>
            <w:r>
              <w:rPr>
                <w:rFonts w:ascii="Arial" w:cs="Arial" w:eastAsia="Arial" w:hAnsi="Arial"/>
                <w:sz w:val="16"/>
                <w:szCs w:val="16"/>
                <w:color w:val="auto"/>
              </w:rPr>
              <w:t>APS investments</w:t>
            </w: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(420)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03"/>
        </w:trPr>
        <w:tc>
          <w:tcPr>
            <w:tcW w:w="6820" w:type="dxa"/>
            <w:vAlign w:val="bottom"/>
            <w:shd w:val="clear" w:color="auto" w:fill="CFF0FC"/>
          </w:tcPr>
          <w:p>
            <w:pPr>
              <w:spacing w:after="0"/>
              <w:rPr>
                <w:sz w:val="20"/>
                <w:szCs w:val="20"/>
                <w:color w:val="auto"/>
              </w:rPr>
            </w:pPr>
            <w:r>
              <w:rPr>
                <w:rFonts w:ascii="Arial" w:cs="Arial" w:eastAsia="Arial" w:hAnsi="Arial"/>
                <w:sz w:val="16"/>
                <w:szCs w:val="16"/>
                <w:color w:val="auto"/>
              </w:rPr>
              <w:t>Exploration data costs capitalized</w:t>
            </w:r>
          </w:p>
        </w:tc>
        <w:tc>
          <w:tcPr>
            <w:tcW w:w="8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(77)</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96"/>
        </w:trPr>
        <w:tc>
          <w:tcPr>
            <w:tcW w:w="6820" w:type="dxa"/>
            <w:vAlign w:val="bottom"/>
            <w:tcBorders>
              <w:bottom w:val="single" w:sz="8" w:color="CFF0FC"/>
            </w:tcBorders>
          </w:tcPr>
          <w:p>
            <w:pPr>
              <w:spacing w:after="0" w:line="195" w:lineRule="exact"/>
              <w:rPr>
                <w:sz w:val="20"/>
                <w:szCs w:val="20"/>
                <w:color w:val="auto"/>
              </w:rPr>
            </w:pPr>
            <w:r>
              <w:rPr>
                <w:rFonts w:ascii="Arial" w:cs="Arial" w:eastAsia="Arial" w:hAnsi="Arial"/>
                <w:sz w:val="14"/>
                <w:szCs w:val="14"/>
                <w:b w:val="1"/>
                <w:bCs w:val="1"/>
                <w:color w:val="auto"/>
              </w:rPr>
              <w:t xml:space="preserve">Free cash flow </w:t>
            </w:r>
            <w:r>
              <w:rPr>
                <w:rFonts w:ascii="Arial" w:cs="Arial" w:eastAsia="Arial" w:hAnsi="Arial"/>
                <w:sz w:val="22"/>
                <w:szCs w:val="22"/>
                <w:b w:val="1"/>
                <w:bCs w:val="1"/>
                <w:color w:val="auto"/>
                <w:vertAlign w:val="superscript"/>
              </w:rPr>
              <w:t>(4)</w:t>
            </w:r>
          </w:p>
        </w:tc>
        <w:tc>
          <w:tcPr>
            <w:tcW w:w="860" w:type="dxa"/>
            <w:vAlign w:val="bottom"/>
            <w:tcBorders>
              <w:bottom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563</w:t>
            </w:r>
          </w:p>
        </w:tc>
        <w:tc>
          <w:tcPr>
            <w:tcW w:w="18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1,699</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20" w:type="dxa"/>
            <w:vAlign w:val="bottom"/>
            <w:shd w:val="clear" w:color="auto" w:fill="CFF0FC"/>
          </w:tcPr>
          <w:p>
            <w:pPr>
              <w:spacing w:after="0"/>
              <w:rPr>
                <w:sz w:val="20"/>
                <w:szCs w:val="20"/>
                <w:color w:val="auto"/>
              </w:rPr>
            </w:pPr>
            <w:r>
              <w:rPr>
                <w:rFonts w:ascii="Arial" w:cs="Arial" w:eastAsia="Arial" w:hAnsi="Arial"/>
                <w:sz w:val="16"/>
                <w:szCs w:val="16"/>
                <w:color w:val="auto"/>
              </w:rPr>
              <w:t>Dividends paid</w:t>
            </w:r>
          </w:p>
        </w:tc>
        <w:tc>
          <w:tcPr>
            <w:tcW w:w="8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(600)</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spacing w:after="0"/>
              <w:rPr>
                <w:sz w:val="20"/>
                <w:szCs w:val="20"/>
                <w:color w:val="auto"/>
              </w:rPr>
            </w:pPr>
            <w:r>
              <w:rPr>
                <w:rFonts w:ascii="Arial" w:cs="Arial" w:eastAsia="Arial" w:hAnsi="Arial"/>
                <w:sz w:val="16"/>
                <w:szCs w:val="16"/>
                <w:color w:val="auto"/>
              </w:rPr>
              <w:t>Proceeds from employee stock plans</w:t>
            </w: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142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FF0FC"/>
          </w:tcPr>
          <w:p>
            <w:pPr>
              <w:spacing w:after="0"/>
              <w:rPr>
                <w:sz w:val="20"/>
                <w:szCs w:val="20"/>
                <w:color w:val="auto"/>
              </w:rPr>
            </w:pPr>
            <w:r>
              <w:rPr>
                <w:rFonts w:ascii="Arial" w:cs="Arial" w:eastAsia="Arial" w:hAnsi="Arial"/>
                <w:sz w:val="16"/>
                <w:szCs w:val="16"/>
                <w:color w:val="auto"/>
              </w:rPr>
              <w:t>Proceeds from issuance of stock options</w:t>
            </w:r>
          </w:p>
        </w:tc>
        <w:tc>
          <w:tcPr>
            <w:tcW w:w="8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29</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spacing w:after="0"/>
              <w:rPr>
                <w:sz w:val="20"/>
                <w:szCs w:val="20"/>
                <w:color w:val="auto"/>
              </w:rPr>
            </w:pPr>
            <w:r>
              <w:rPr>
                <w:rFonts w:ascii="Arial" w:cs="Arial" w:eastAsia="Arial" w:hAnsi="Arial"/>
                <w:sz w:val="16"/>
                <w:szCs w:val="16"/>
                <w:color w:val="auto"/>
              </w:rPr>
              <w:t>Taxes paid on net settled stock-based compensation awards</w:t>
            </w: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(92)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3"/>
        </w:trPr>
        <w:tc>
          <w:tcPr>
            <w:tcW w:w="6820" w:type="dxa"/>
            <w:vAlign w:val="bottom"/>
            <w:shd w:val="clear" w:color="auto" w:fill="CFF0FC"/>
          </w:tcPr>
          <w:p>
            <w:pPr>
              <w:spacing w:after="0"/>
              <w:rPr>
                <w:sz w:val="20"/>
                <w:szCs w:val="20"/>
                <w:color w:val="auto"/>
              </w:rPr>
            </w:pPr>
            <w:r>
              <w:rPr>
                <w:rFonts w:ascii="Arial" w:cs="Arial" w:eastAsia="Arial" w:hAnsi="Arial"/>
                <w:sz w:val="16"/>
                <w:szCs w:val="16"/>
                <w:color w:val="auto"/>
              </w:rPr>
              <w:t>Business acquisitions and investments, net of cash acquired plus debt assumed</w:t>
            </w:r>
          </w:p>
        </w:tc>
        <w:tc>
          <w:tcPr>
            <w:tcW w:w="8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(45)</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03"/>
        </w:trPr>
        <w:tc>
          <w:tcPr>
            <w:tcW w:w="6820" w:type="dxa"/>
            <w:vAlign w:val="bottom"/>
          </w:tcPr>
          <w:p>
            <w:pPr>
              <w:spacing w:after="0"/>
              <w:rPr>
                <w:sz w:val="20"/>
                <w:szCs w:val="20"/>
                <w:color w:val="auto"/>
              </w:rPr>
            </w:pPr>
            <w:r>
              <w:rPr>
                <w:rFonts w:ascii="Arial" w:cs="Arial" w:eastAsia="Arial" w:hAnsi="Arial"/>
                <w:sz w:val="16"/>
                <w:szCs w:val="16"/>
                <w:color w:val="auto"/>
              </w:rPr>
              <w:t>Proceeds from sale of Liberty shares</w:t>
            </w: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513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FF0FC"/>
          </w:tcPr>
          <w:p>
            <w:pPr>
              <w:spacing w:after="0"/>
              <w:rPr>
                <w:sz w:val="20"/>
                <w:szCs w:val="20"/>
                <w:color w:val="auto"/>
              </w:rPr>
            </w:pPr>
            <w:r>
              <w:rPr>
                <w:rFonts w:ascii="Arial" w:cs="Arial" w:eastAsia="Arial" w:hAnsi="Arial"/>
                <w:sz w:val="16"/>
                <w:szCs w:val="16"/>
                <w:color w:val="auto"/>
              </w:rPr>
              <w:t>Proceeds from sale of real estate</w:t>
            </w:r>
          </w:p>
        </w:tc>
        <w:tc>
          <w:tcPr>
            <w:tcW w:w="8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120</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spacing w:after="0"/>
              <w:rPr>
                <w:sz w:val="20"/>
                <w:szCs w:val="20"/>
                <w:color w:val="auto"/>
              </w:rPr>
            </w:pPr>
            <w:r>
              <w:rPr>
                <w:rFonts w:ascii="Arial" w:cs="Arial" w:eastAsia="Arial" w:hAnsi="Arial"/>
                <w:sz w:val="16"/>
                <w:szCs w:val="16"/>
                <w:color w:val="auto"/>
              </w:rPr>
              <w:t>Other</w:t>
            </w: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(118)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196"/>
        </w:trPr>
        <w:tc>
          <w:tcPr>
            <w:tcW w:w="6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Change in net debt before impact of changes in foreign exchange rates on net debt</w:t>
            </w:r>
          </w:p>
        </w:tc>
        <w:tc>
          <w:tcPr>
            <w:tcW w:w="86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512</w:t>
            </w: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1,135</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Impact of changes in foreign exchange rates on net debt</w:t>
            </w:r>
          </w:p>
        </w:tc>
        <w:tc>
          <w:tcPr>
            <w:tcW w:w="86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802</w:t>
            </w:r>
          </w:p>
        </w:tc>
        <w:tc>
          <w:tcPr>
            <w:tcW w:w="18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20" w:type="dxa"/>
            <w:vAlign w:val="bottom"/>
            <w:shd w:val="clear" w:color="auto" w:fill="CFF0FC"/>
          </w:tcPr>
          <w:p>
            <w:pPr>
              <w:spacing w:after="0"/>
              <w:rPr>
                <w:sz w:val="20"/>
                <w:szCs w:val="20"/>
                <w:color w:val="auto"/>
              </w:rPr>
            </w:pPr>
            <w:r>
              <w:rPr>
                <w:rFonts w:ascii="Arial" w:cs="Arial" w:eastAsia="Arial" w:hAnsi="Arial"/>
                <w:sz w:val="16"/>
                <w:szCs w:val="16"/>
                <w:color w:val="auto"/>
              </w:rPr>
              <w:t>Decrease in net debt</w:t>
            </w:r>
          </w:p>
        </w:tc>
        <w:tc>
          <w:tcPr>
            <w:tcW w:w="8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1,314</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4"/>
                <w:szCs w:val="14"/>
                <w:color w:val="auto"/>
              </w:rPr>
              <w:t xml:space="preserve">Net debt, beginning of period </w:t>
            </w:r>
            <w:r>
              <w:rPr>
                <w:rFonts w:ascii="Arial" w:cs="Arial" w:eastAsia="Arial" w:hAnsi="Arial"/>
                <w:sz w:val="23"/>
                <w:szCs w:val="23"/>
                <w:color w:val="auto"/>
                <w:vertAlign w:val="superscript"/>
              </w:rPr>
              <w:t>(1)</w:t>
            </w: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(11,056)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(13,880)</w:t>
            </w:r>
          </w:p>
        </w:tc>
        <w:tc>
          <w:tcPr>
            <w:tcW w:w="0" w:type="dxa"/>
            <w:vAlign w:val="bottom"/>
          </w:tcPr>
          <w:p>
            <w:pPr>
              <w:spacing w:after="0"/>
              <w:rPr>
                <w:sz w:val="1"/>
                <w:szCs w:val="1"/>
                <w:color w:val="auto"/>
              </w:rPr>
            </w:pPr>
          </w:p>
        </w:tc>
      </w:tr>
      <w:tr>
        <w:trPr>
          <w:trHeight w:val="196"/>
        </w:trPr>
        <w:tc>
          <w:tcPr>
            <w:tcW w:w="6820" w:type="dxa"/>
            <w:vAlign w:val="bottom"/>
            <w:tcBorders>
              <w:top w:val="single" w:sz="8" w:color="CFF0FC"/>
              <w:bottom w:val="single" w:sz="8" w:color="CFF0FC"/>
            </w:tcBorders>
            <w:shd w:val="clear" w:color="auto" w:fill="CFF0FC"/>
          </w:tcPr>
          <w:p>
            <w:pPr>
              <w:spacing w:after="0" w:line="195" w:lineRule="exact"/>
              <w:rPr>
                <w:sz w:val="20"/>
                <w:szCs w:val="20"/>
                <w:color w:val="auto"/>
              </w:rPr>
            </w:pPr>
            <w:r>
              <w:rPr>
                <w:rFonts w:ascii="Arial" w:cs="Arial" w:eastAsia="Arial" w:hAnsi="Arial"/>
                <w:sz w:val="14"/>
                <w:szCs w:val="14"/>
                <w:color w:val="auto"/>
              </w:rPr>
              <w:t xml:space="preserve">Net debt, end of period </w:t>
            </w:r>
            <w:r>
              <w:rPr>
                <w:rFonts w:ascii="Arial" w:cs="Arial" w:eastAsia="Arial" w:hAnsi="Arial"/>
                <w:sz w:val="22"/>
                <w:szCs w:val="22"/>
                <w:color w:val="auto"/>
                <w:vertAlign w:val="superscript"/>
              </w:rPr>
              <w:t>(1)</w:t>
            </w:r>
          </w:p>
        </w:tc>
        <w:tc>
          <w:tcPr>
            <w:tcW w:w="860" w:type="dxa"/>
            <w:vAlign w:val="bottom"/>
            <w:tcBorders>
              <w:top w:val="single" w:sz="8" w:color="CFF0FC"/>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(9,742)</w:t>
            </w: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(12,453)</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ind w:left="380" w:hanging="372"/>
        <w:spacing w:after="0" w:line="208" w:lineRule="auto"/>
        <w:tabs>
          <w:tab w:leader="none" w:pos="380" w:val="left"/>
        </w:tabs>
        <w:numPr>
          <w:ilvl w:val="0"/>
          <w:numId w:val="17"/>
        </w:numPr>
        <w:rPr>
          <w:rFonts w:ascii="Arial" w:cs="Arial" w:eastAsia="Arial" w:hAnsi="Arial"/>
          <w:sz w:val="24"/>
          <w:szCs w:val="24"/>
          <w:color w:val="auto"/>
          <w:vertAlign w:val="superscript"/>
        </w:rPr>
      </w:pPr>
      <w:r>
        <w:rPr>
          <w:rFonts w:ascii="Arial" w:cs="Arial" w:eastAsia="Arial" w:hAnsi="Arial"/>
          <w:sz w:val="24"/>
          <w:szCs w:val="24"/>
          <w:color w:val="auto"/>
          <w:vertAlign w:val="superscript"/>
        </w:rPr>
        <w:t>“</w:t>
      </w:r>
      <w:r>
        <w:rPr>
          <w:rFonts w:ascii="Arial" w:cs="Arial" w:eastAsia="Arial" w:hAnsi="Arial"/>
          <w:sz w:val="14"/>
          <w:szCs w:val="14"/>
          <w:color w:val="auto"/>
        </w:rPr>
        <w:t>Net debt” represents gross debt less cash and short-term investments. Management believes that Net debt provides useful information regarding the level of Schlumberger’s indebtedness by reflecting cash and investments that could be used to repay debt. Net debt is a non-GAAP financial measure that should be considered in addition to, not as a substitute for or superior to, total debt.</w:t>
      </w:r>
    </w:p>
    <w:p>
      <w:pPr>
        <w:spacing w:after="0" w:line="1" w:lineRule="exact"/>
        <w:rPr>
          <w:rFonts w:ascii="Arial" w:cs="Arial" w:eastAsia="Arial" w:hAnsi="Arial"/>
          <w:sz w:val="24"/>
          <w:szCs w:val="24"/>
          <w:color w:val="auto"/>
          <w:vertAlign w:val="superscript"/>
        </w:rPr>
      </w:pPr>
    </w:p>
    <w:p>
      <w:pPr>
        <w:ind w:left="380" w:hanging="372"/>
        <w:spacing w:after="0" w:line="234" w:lineRule="auto"/>
        <w:tabs>
          <w:tab w:leader="none" w:pos="380" w:val="left"/>
        </w:tabs>
        <w:numPr>
          <w:ilvl w:val="0"/>
          <w:numId w:val="17"/>
        </w:numPr>
        <w:rPr>
          <w:rFonts w:ascii="Arial" w:cs="Arial" w:eastAsia="Arial" w:hAnsi="Arial"/>
          <w:sz w:val="24"/>
          <w:szCs w:val="24"/>
          <w:color w:val="auto"/>
          <w:vertAlign w:val="superscript"/>
        </w:rPr>
      </w:pPr>
      <w:r>
        <w:rPr>
          <w:rFonts w:ascii="Arial" w:cs="Arial" w:eastAsia="Arial" w:hAnsi="Arial"/>
          <w:sz w:val="14"/>
          <w:szCs w:val="14"/>
          <w:color w:val="auto"/>
        </w:rPr>
        <w:t>Includes depreciation of property, plant and equipment and amortization of intangible assets, exploration data costs, and APS investments.</w:t>
      </w:r>
    </w:p>
    <w:p>
      <w:pPr>
        <w:spacing w:after="0" w:line="94" w:lineRule="exact"/>
        <w:rPr>
          <w:rFonts w:ascii="Arial" w:cs="Arial" w:eastAsia="Arial" w:hAnsi="Arial"/>
          <w:sz w:val="24"/>
          <w:szCs w:val="24"/>
          <w:color w:val="auto"/>
          <w:vertAlign w:val="superscript"/>
        </w:rPr>
      </w:pPr>
    </w:p>
    <w:p>
      <w:pPr>
        <w:ind w:left="380" w:hanging="372"/>
        <w:spacing w:after="0" w:line="183" w:lineRule="auto"/>
        <w:tabs>
          <w:tab w:leader="none" w:pos="380" w:val="left"/>
        </w:tabs>
        <w:numPr>
          <w:ilvl w:val="0"/>
          <w:numId w:val="17"/>
        </w:numPr>
        <w:rPr>
          <w:rFonts w:ascii="Arial" w:cs="Arial" w:eastAsia="Arial" w:hAnsi="Arial"/>
          <w:sz w:val="20"/>
          <w:szCs w:val="20"/>
          <w:color w:val="auto"/>
          <w:vertAlign w:val="superscript"/>
        </w:rPr>
      </w:pPr>
      <w:r>
        <w:rPr>
          <w:rFonts w:ascii="Arial" w:cs="Arial" w:eastAsia="Arial" w:hAnsi="Arial"/>
          <w:sz w:val="12"/>
          <w:szCs w:val="12"/>
          <w:color w:val="auto"/>
        </w:rPr>
        <w:t>Includes severance payments of $60 million and $226 million during the nine months ended September 30, 2022 and 2021, respectively.</w:t>
      </w:r>
    </w:p>
    <w:p>
      <w:pPr>
        <w:spacing w:after="0" w:line="94" w:lineRule="exact"/>
        <w:rPr>
          <w:rFonts w:ascii="Arial" w:cs="Arial" w:eastAsia="Arial" w:hAnsi="Arial"/>
          <w:sz w:val="20"/>
          <w:szCs w:val="20"/>
          <w:color w:val="auto"/>
          <w:vertAlign w:val="superscript"/>
        </w:rPr>
      </w:pPr>
    </w:p>
    <w:p>
      <w:pPr>
        <w:jc w:val="both"/>
        <w:ind w:left="380" w:hanging="372"/>
        <w:spacing w:after="0" w:line="215" w:lineRule="auto"/>
        <w:tabs>
          <w:tab w:leader="none" w:pos="380" w:val="left"/>
        </w:tabs>
        <w:numPr>
          <w:ilvl w:val="0"/>
          <w:numId w:val="17"/>
        </w:numPr>
        <w:rPr>
          <w:rFonts w:ascii="Arial" w:cs="Arial" w:eastAsia="Arial" w:hAnsi="Arial"/>
          <w:sz w:val="24"/>
          <w:szCs w:val="24"/>
          <w:color w:val="auto"/>
          <w:vertAlign w:val="superscript"/>
        </w:rPr>
      </w:pPr>
      <w:r>
        <w:rPr>
          <w:rFonts w:ascii="Arial" w:cs="Arial" w:eastAsia="Arial" w:hAnsi="Arial"/>
          <w:sz w:val="14"/>
          <w:szCs w:val="14"/>
          <w:color w:val="auto"/>
        </w:rPr>
        <w:t>“Free cash flow” represents cash flow from operations less capital expenditures, APS investments and exploration data costs capitalized. Management believes that free cash flow is an important liquidity measure for the company and that it is useful to investors and management as a measure of our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a substitute for or superior to, cash flow from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Key liquidity events during the first nine months of 2022 and 2021 included:</w:t>
      </w:r>
    </w:p>
    <w:p>
      <w:pPr>
        <w:spacing w:after="0" w:line="113" w:lineRule="exact"/>
        <w:rPr>
          <w:sz w:val="20"/>
          <w:szCs w:val="20"/>
          <w:color w:val="auto"/>
        </w:rPr>
      </w:pPr>
    </w:p>
    <w:p>
      <w:pPr>
        <w:jc w:val="both"/>
        <w:ind w:left="380" w:hanging="372"/>
        <w:spacing w:after="0" w:line="261" w:lineRule="auto"/>
        <w:tabs>
          <w:tab w:leader="none" w:pos="38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Capital investments (consisting of capital expenditures, APS investments and exploration data capitalized) were $1.5 billion during the first nine months of 2022 compared to $1.0 billion during the first nine months of 2021. Capital investments for the full year 2022 are expected to be approximately $2.2 billion as compared to $1.7 billion for the full year 2021 as Schlumberger continues to support the strong revenue growth that is expected to continue in 2023.</w:t>
      </w:r>
    </w:p>
    <w:p>
      <w:pPr>
        <w:spacing w:after="0" w:line="262" w:lineRule="exact"/>
        <w:rPr>
          <w:rFonts w:ascii="Times New Roman" w:cs="Times New Roman" w:eastAsia="Times New Roman" w:hAnsi="Times New Roman"/>
          <w:sz w:val="16"/>
          <w:szCs w:val="16"/>
          <w:color w:val="auto"/>
        </w:rPr>
      </w:pPr>
    </w:p>
    <w:p>
      <w:pPr>
        <w:jc w:val="both"/>
        <w:ind w:left="380" w:hanging="372"/>
        <w:spacing w:after="0" w:line="266" w:lineRule="auto"/>
        <w:tabs>
          <w:tab w:leader="none" w:pos="38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During the first nine months of 2022 working capital consumed $1.8 billion of liquidity as compared to $0.8 billion during the same period of 2021. The year-on-year increase in working capital consumption was primarily driven by an increase in receivables due to the significant revenue growth. Inventory also increased as lead times were managed in anticipation of continued growth.</w:t>
      </w:r>
    </w:p>
    <w:p>
      <w:pPr>
        <w:spacing w:after="0" w:line="62"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During the first nine months of 2022, Schlumberger sold 33.8 million of its shares in Liberty and received proceeds of $513 million.</w:t>
      </w:r>
    </w:p>
    <w:p>
      <w:pPr>
        <w:spacing w:after="0" w:line="125"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During the second quarter of 2022, Schlumberger sold certain real estate and received proceeds of $120 million.</w:t>
      </w:r>
    </w:p>
    <w:p>
      <w:pPr>
        <w:spacing w:after="0" w:line="125" w:lineRule="exact"/>
        <w:rPr>
          <w:rFonts w:ascii="Times New Roman" w:cs="Times New Roman" w:eastAsia="Times New Roman" w:hAnsi="Times New Roman"/>
          <w:sz w:val="16"/>
          <w:szCs w:val="16"/>
          <w:color w:val="auto"/>
        </w:rPr>
      </w:pPr>
    </w:p>
    <w:p>
      <w:pPr>
        <w:ind w:left="380" w:right="20" w:hanging="372"/>
        <w:spacing w:after="0" w:line="285" w:lineRule="auto"/>
        <w:tabs>
          <w:tab w:leader="none" w:pos="38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In April 2022, Schlumberger announced a 40% increase to its quarterly cash dividend from $0.125 per share of outstanding common stock to $0.175 per share.</w:t>
      </w:r>
    </w:p>
    <w:p>
      <w:pPr>
        <w:spacing w:after="0" w:line="48" w:lineRule="exact"/>
        <w:rPr>
          <w:rFonts w:ascii="Times New Roman" w:cs="Times New Roman" w:eastAsia="Times New Roman" w:hAnsi="Times New Roman"/>
          <w:sz w:val="16"/>
          <w:szCs w:val="16"/>
          <w:color w:val="auto"/>
        </w:rPr>
      </w:pPr>
    </w:p>
    <w:p>
      <w:pPr>
        <w:jc w:val="both"/>
        <w:ind w:left="380" w:hanging="372"/>
        <w:spacing w:after="0" w:line="266" w:lineRule="auto"/>
        <w:tabs>
          <w:tab w:leader="none" w:pos="38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On January 21, 2016, the Board approved a $10 billion share repurchase program for Schlumberger common stock. Schlumberger had repurchased $1.0 billion of Schlumberger common stock under this program as of September 30, 2022. Schlumberger did not repurchase any of its common stock during the first nine months of 2022.</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0" w:name="page21"/>
    <w:bookmarkEnd w:id="20"/>
    <w:p>
      <w:pPr>
        <w:jc w:val="both"/>
        <w:spacing w:after="0" w:line="266" w:lineRule="auto"/>
        <w:rPr>
          <w:sz w:val="20"/>
          <w:szCs w:val="20"/>
          <w:color w:val="auto"/>
        </w:rPr>
      </w:pPr>
      <w:r>
        <w:rPr>
          <w:rFonts w:ascii="Arial" w:cs="Arial" w:eastAsia="Arial" w:hAnsi="Arial"/>
          <w:sz w:val="16"/>
          <w:szCs w:val="16"/>
          <w:color w:val="auto"/>
        </w:rPr>
        <w:t>As of September 30, 2022, Schlumberger had $3.61 billion of cash and short-term investments on hand. Schlumberger had committed debt facility agreements aggregating $6.47 billion, all of which was available and unused. Schlumberger believes these amounts are sufficient to meet future business requirements for at least the next 12 months.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There were no borrowings under the commercial paper programs at September 30, 2022.</w:t>
      </w:r>
    </w:p>
    <w:p>
      <w:pPr>
        <w:spacing w:after="0" w:line="22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Schlumberger maintains an allowance for doubtful accounts in order to record accounts receivable at their net realizable value. Judgment is involved in recording and making adjustments to this reserve. Allowances have been recorded for receivables believed to be uncollectible, including amounts for the resolution of potential credit and other collection issues such as disputed invoices. Adjustments to the allowance may be required in future periods depending on how such potential issues are resolved, or if the financial condition of Schlumberger’s customers were to deteriorate resulting in an impairment of their ability to make payments. As a large multinational company with a long history of operating in a cyclical industry, Schlumberger has extensive experience in working with its customers during difficult times to manage its accounts receivable.</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Schlumberger generates revenue in more than 120 countries. As of September 30, 2022, only four of those countries individually accounted for greater than 5% of Schlumberger’s net receivable balance, of which two (the United States and Mexico) accounted for greater than 10% of such receivables.</w:t>
      </w:r>
    </w:p>
    <w:p>
      <w:pPr>
        <w:spacing w:after="0" w:line="15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 xml:space="preserve">Included in </w:t>
      </w:r>
      <w:r>
        <w:rPr>
          <w:rFonts w:ascii="Arial" w:cs="Arial" w:eastAsia="Arial" w:hAnsi="Arial"/>
          <w:sz w:val="16"/>
          <w:szCs w:val="16"/>
          <w:i w:val="1"/>
          <w:iCs w:val="1"/>
          <w:color w:val="auto"/>
        </w:rPr>
        <w:t>Receivables, less allowance for doubtful accounts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as of September 30, 2022 is approximately $0.9 billion of receivables relating to Mexico. Schlumberger’s receivables from its primary customer in Mexico are not in dispute and Schlumberger has not historically had any material write-offs due to uncollectible accounts receivable relating to this customer.</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During the third quarter of 2022, Schlumberger, Aker Solutions and Subsea 7 announced an agreement to form a joint venture to drive innovation and efficiency in subsea production by helping customers unlock reserves and reduce cycle time. The agreement will bring together a portfolio of innovative technologies such as subsea gas compression, all-electric subsea production systems and other electrification capabilities that help customers meet their decarbonization goals. The proposed joint venture will combine Schlumberger’s and Aker Solutions’ subsea businesses. Subsea 7 will be an equity partner in the new joint venture.</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addition to contributing its subsea business to the joint venture, at closing Schlumberger will issue to Aker Solutions shares of Schlumberger common stock valued at $306.5 million. Concurrently, Subsea 7 will purchase its 10% interest in exchange for $306.5 million in cash to Aker Solutions. The joint venture also will issue a promissory note to Aker Solutions for $87.5 million. At closing of the joint venture, Schlumberger will own 70%, with Aker Solutions owning 20% and Subsea 7 owning 10%. The transaction is subject to regulatory approvals and other customary closing conditions and is expected to close in the second half of 2023.</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Additional Information</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March 2022, Schlumberger decided to immediately suspend new investment and technology deployment to its Russia operations. Russia represented approximately 6% of Schlumberger’s worldwide revenue during the first nine months of 2022. The carrying value of Schlumberger’s net assets in Russia was approximately $0.9 billion as of September 30, 2022. This consisted of $0.4 billion of receivables, $0.5 billion of other current assets, $0.4 billion of fixed assets and $0.4 billion of current liabilities.</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Schlumberger continues to actively monitor the dynamic situation in Ukraine and comply with applicable international laws and sanctions. The extent to which Schlumberger’s operations and financial results may be affected by the ongoing conflict in Ukraine will depend on various factors, including the extent and duration of the conflict; the effects of the conflict on regional and global economic and geopolitical conditions; the effect of further international sanctions and trade control restrictions on Schlumberger’s business, the global economy and global supply chains; and the impact of fluctuations in the exchange rate of the ruble. Continuation or escalation of the conflict may also aggravate the risk factors that Schlumberger identified in its Annual Report on Form 10-K for the year ended December 31, 2021, including cybersecurity risks.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11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This third-quarter 2022 Form 10-Q, as well as other statements we make, contains “forward-looking statements” within the meaning of the federal securities laws, which include any statements that are not historical facts. Such statements often contain words such as “expect,” “may,” “can,” “believe,” “predict,” “plan,” “potential,” “projected,” “projections,” “precursor,” “forecast,” “outlook,” “expectations,” “estimate,” “intend,” “anticipate,” “ambition,” “goal,” “target,” “scheduled,” “think,” “should,” “could,” “would,” “will,” “see,” “likely,” and other similar words. Forward-looking statements address matters that are, to varying degrees, uncertain, such as statements about Schlumberger’s financial and performance targets and other forecasts or expectations regarding, or dependent on, its business outlook; growth for Schlumberger as a whole and for each of its Divisions (and for specified business lines, geographic areas or technologies within each Division); oil and natural gas demand and production growth; oil and natural gas prices; forecasts or expectations regarding energy transition and global climate change; improvements in operating procedures and technology; capital expenditures by Schlumberger and the oil and gas industry; the business strategies of Schlumberger, including digital and “fit for basin,” as well as the strategies of Schlumberger’s customers; Schlumberger’s effective tax rate; Schlumberger’s APS projects, joint ventures, and other alliances; Schlumberger’s response to the COVID-19 pandemic and its preparedness for other widespread health emergencies; the impact of the ongoing conflict in Ukraine on global energy supply; access to raw materials; future global economic and geopolitical conditions; future liquidity; and future results of operations, such as margin levels. These statements are subject to risks and</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1" w:name="page22"/>
    <w:bookmarkEnd w:id="21"/>
    <w:p>
      <w:pPr>
        <w:jc w:val="both"/>
        <w:spacing w:after="0" w:line="248" w:lineRule="auto"/>
        <w:rPr>
          <w:sz w:val="20"/>
          <w:szCs w:val="20"/>
          <w:color w:val="auto"/>
        </w:rPr>
      </w:pPr>
      <w:r>
        <w:rPr>
          <w:rFonts w:ascii="Arial" w:cs="Arial" w:eastAsia="Arial" w:hAnsi="Arial"/>
          <w:sz w:val="16"/>
          <w:szCs w:val="16"/>
          <w:color w:val="auto"/>
        </w:rPr>
        <w:t>uncertainties, including, but not limited to, changing global economic and geopolitical conditions; changes in exploration and production spending by Schlumberger’s customers and changes in the level of oil and natural gas exploration and development; the results of operations and financial condition of Schlumberger’s customers and suppliers; Schlumberger’s inability to achieve its financial and performance targets and other forecasts and expectations; Schlumberger’s inability to achieve net-zero carbon emissions goals or interim emissions reduction goals; general economic, geopolitical and business conditions in key regions of the world; the ongoing conflict in Ukraine; foreign currency risk; inflation; changes in monetary policy by governments; pricing pressure; weather and seasonal factors; unfavorable effects of health pandemics; availability and cost of raw materials; operational modifications, delays or cancellations; challenges in Schlumberger’s supply chain; production declines; the extent of future charges; Schlumberger’s inability to recognize efficiencies and other intended benefits from its business strategies and initiatives, such as digital or Schlumberger New Energy, as well as its cost reduction strategies;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and other risks and uncertainties detailed in this Form 10-Q and our most recent Form 10-K and Forms 8-K filed with or furnished to the SEC. If one or more of these or other risks or uncertainties materialize (or the consequences of any such development changes), or should our underlying assumptions prove incorrect, actual results or outcomes may vary materially from those reflected in our forward-looking statements. Forward-looking and other statements in this Form 10-Q regarding our environmental, social and other sustainability plans and goals are not an indication that these statements are necessarily material to investors or required to be disclosed in our filings with the SEC. In addition, historical, current, and forward-looking environmental, social and sustainability-related statements may be based on standards for measuring progress that are still developing, internal controls and processes that continue to evolve, and assumptions that are subject to change in the future. Statements in this third-quarter 2022 Form 10-Q are made as of October 26, 2022, and Schlumberger disclaims any intention or obligation to update publicly or revise such statements, whether as a result of new information, future events or otherwise.</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3. Quantitative and Qualitative Disclosures about Market Risk.</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For quantitative and qualitative disclosures about market risk affecting Schlumberger, see Item 7A, “Quantitative and Qualitative Disclosures about Market Risk,” of the Schlumberger Annual Report on Form 10-K for the fiscal year ended December 31, 2021. Schlumberger’s exposure to market risk has not changed materially since December 31, 2021.</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4. Controls and Procedures.</w:t>
      </w:r>
    </w:p>
    <w:p>
      <w:pPr>
        <w:spacing w:after="0" w:line="11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Schlumberger has carried out an evaluation under the supervision and with the participation of Schlumberger’s management, including the Chief Executive Officer (“CEO”) and the Chief Financial Officer (“CFO”), of the effectiveness of Schlumberger’s “disclosure controls and procedures” (as such term is defined in Rules 13a-15(e) and 15d-15(e) under the Securities Exchange Act of 1934 (the “Exchange Act”)) as of the end of the period covered by this report. Based on this evaluation, the CEO and the CFO have concluded that, as of the end of the period covered by this report, Schlumberger’s disclosure controls and procedures were effective to provide reasonable assurance that information required to be disclosed in the reports that Schlumberger files or submits under the Exchange Act is recorded, processed, summarized and reported within the time periods specified in the Securities and Exchange Commission’s rules and forms. Schlumberger’s disclosure controls and procedures include controls and procedures designed to ensure that information required to be disclosed in reports filed or submitted under the Exchange Act is accumulated and communicated to its management, including the CEO and the CFO, as appropriate, to allow timely decisions regarding required disclosure. There was no change in Schlumberger’s internal control over financial reporting during the quarter to which this report relates that has materially affected, or is reasonably likely to materially affect, Schlumberger’s internal control over financial reporting.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auto"/>
        </w:rPr>
        <w:t>PART II. OTHER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1. Legal Proceedings.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with respect to this Item 1 is set forth under Note 9—Contingencies, in the accompanying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1A. Risk Factors.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of the date of this filing, there have been no material changes from the risk factors disclosed in Part 1, Item 1A, of Schlumberger’s Annual Report on Form 10-K for the fiscal year ended December 31, 2021.</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2. Unregistered Sales of Equity Securities and Use of Proceeds.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Unregistered Sales of Equity Securities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Issuer Repurchases of Equity Securities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2022, Schlumberger had repurchased $1.0 billion of Schlumberger common stock under its $10 billion share repurchase program.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Schlumberger did not repurchase any of its common stock during the first nine months of 2022.</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3. Defaults Upon Senior Securities.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None</w:t>
      </w:r>
      <w:r>
        <w:rPr>
          <w:rFonts w:ascii="Arial" w:cs="Arial" w:eastAsia="Arial" w:hAnsi="Arial"/>
          <w:sz w:val="16"/>
          <w:szCs w:val="16"/>
          <w:b w:val="1"/>
          <w:bCs w:val="1"/>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4. Mine Safety Disclosures.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mining operations are subject to regulation by the federal Mine Safety and Health Administration under the Federal Mine Safety and Health Act of 1977. Information concerning mine safety violations or other regulatory matters required by section 1503(a) of the Dodd-Frank Wall Street Reform and Consumer Protection Act and Item 104 of Regulation S-K is included in Exhibit 95 to this report.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5. Other Information.</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2013, Schlumberger completed the wind down of its service operations in Iran. Prior to this, certain non-US subsidiaries provided oilfield services to the National Iranian Oil Company and certain of its affiliates (“NIOC”).</w:t>
      </w:r>
    </w:p>
    <w:p>
      <w:pPr>
        <w:spacing w:after="0" w:line="156"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Schlumberger’s residual transactions or dealings with the government of Iran during the third quarter of 2022 consisted of payments of taxes and other typical governmental charges. Certain non-US subsidiaries of Schlumberger maintain depository accounts at the Dubai branch of Bank Saderat Iran (“Saderat”), and at Bank Tejarat (“Tejarat”) in Tehran and in Kish for the deposit by NIOC of amounts owed to non-US subsidiaries of Schlumberger for prior services rendered in Iran and for the maintenance of such amounts previously received. One non-US subsidiary also maintained an account at Tejarat for payment of local expenses such as taxes. Schlumberger anticipates that it will discontinue dealings with Saderat and Tejarat following the receipt of all amounts owed to Schlumberger for prior services rendered in Iran.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auto"/>
        </w:rPr>
        <w:t>Item 6. Exhibits.</w:t>
      </w:r>
    </w:p>
    <w:p>
      <w:pPr>
        <w:spacing w:after="0" w:line="221" w:lineRule="exact"/>
        <w:rPr>
          <w:sz w:val="20"/>
          <w:szCs w:val="20"/>
          <w:color w:val="auto"/>
        </w:rPr>
      </w:pPr>
    </w:p>
    <w:p>
      <w:pPr>
        <w:ind w:left="440"/>
        <w:spacing w:after="0" w:line="286" w:lineRule="auto"/>
        <w:rPr>
          <w:rFonts w:ascii="Arial" w:cs="Arial" w:eastAsia="Arial" w:hAnsi="Arial"/>
          <w:sz w:val="16"/>
          <w:szCs w:val="16"/>
          <w:u w:val="single" w:color="auto"/>
          <w:color w:val="0000EE"/>
        </w:rPr>
      </w:pPr>
      <w:hyperlink r:id="rId36">
        <w:r>
          <w:rPr>
            <w:rFonts w:ascii="Arial" w:cs="Arial" w:eastAsia="Arial" w:hAnsi="Arial"/>
            <w:sz w:val="16"/>
            <w:szCs w:val="16"/>
            <w:color w:val="auto"/>
          </w:rPr>
          <w:t>Exhibit 3.1—</w:t>
        </w:r>
        <w:r>
          <w:rPr>
            <w:rFonts w:ascii="Arial" w:cs="Arial" w:eastAsia="Arial" w:hAnsi="Arial"/>
            <w:sz w:val="16"/>
            <w:szCs w:val="16"/>
            <w:u w:val="single" w:color="auto"/>
            <w:color w:val="0000EE"/>
          </w:rPr>
          <w:t>Articles of Incorporation of Schlumberger Limited (Schlumberger N.V.) (incorporated by reference to Exhibit 3.1 to Schlumberger’s</w:t>
        </w:r>
      </w:hyperlink>
      <w:r>
        <w:rPr>
          <w:rFonts w:ascii="Arial" w:cs="Arial" w:eastAsia="Arial" w:hAnsi="Arial"/>
          <w:sz w:val="16"/>
          <w:szCs w:val="16"/>
          <w:color w:val="auto"/>
        </w:rPr>
        <w:t xml:space="preserve"> </w:t>
      </w:r>
      <w:hyperlink r:id="rId36">
        <w:r>
          <w:rPr>
            <w:rFonts w:ascii="Arial" w:cs="Arial" w:eastAsia="Arial" w:hAnsi="Arial"/>
            <w:sz w:val="16"/>
            <w:szCs w:val="16"/>
            <w:u w:val="single" w:color="auto"/>
            <w:color w:val="0000EE"/>
          </w:rPr>
          <w:t>Current Report on Form 8-K filed on April 6, 2016)</w:t>
        </w:r>
      </w:hyperlink>
    </w:p>
    <w:p>
      <w:pPr>
        <w:spacing w:after="0" w:line="156" w:lineRule="exact"/>
        <w:rPr>
          <w:sz w:val="20"/>
          <w:szCs w:val="20"/>
          <w:color w:val="auto"/>
        </w:rPr>
      </w:pPr>
    </w:p>
    <w:p>
      <w:pPr>
        <w:ind w:left="440" w:right="20"/>
        <w:spacing w:after="0" w:line="286" w:lineRule="auto"/>
        <w:rPr>
          <w:rFonts w:ascii="Arial" w:cs="Arial" w:eastAsia="Arial" w:hAnsi="Arial"/>
          <w:sz w:val="16"/>
          <w:szCs w:val="16"/>
          <w:u w:val="single" w:color="auto"/>
          <w:color w:val="0000EE"/>
        </w:rPr>
      </w:pPr>
      <w:hyperlink r:id="rId37">
        <w:r>
          <w:rPr>
            <w:rFonts w:ascii="Arial" w:cs="Arial" w:eastAsia="Arial" w:hAnsi="Arial"/>
            <w:sz w:val="16"/>
            <w:szCs w:val="16"/>
            <w:color w:val="auto"/>
          </w:rPr>
          <w:t>Exhibit 3.2—</w:t>
        </w:r>
        <w:r>
          <w:rPr>
            <w:rFonts w:ascii="Arial" w:cs="Arial" w:eastAsia="Arial" w:hAnsi="Arial"/>
            <w:sz w:val="16"/>
            <w:szCs w:val="16"/>
            <w:u w:val="single" w:color="auto"/>
            <w:color w:val="0000EE"/>
          </w:rPr>
          <w:t>Amended and Restated By-laws of Schlumberger Limited (Schlumberger N.V.) (incorporated by reference to Exhibit 3 to Schlumberger’s</w:t>
        </w:r>
      </w:hyperlink>
      <w:r>
        <w:rPr>
          <w:rFonts w:ascii="Arial" w:cs="Arial" w:eastAsia="Arial" w:hAnsi="Arial"/>
          <w:sz w:val="16"/>
          <w:szCs w:val="16"/>
          <w:color w:val="auto"/>
        </w:rPr>
        <w:t xml:space="preserve"> </w:t>
      </w:r>
      <w:hyperlink r:id="rId37">
        <w:r>
          <w:rPr>
            <w:rFonts w:ascii="Arial" w:cs="Arial" w:eastAsia="Arial" w:hAnsi="Arial"/>
            <w:sz w:val="16"/>
            <w:szCs w:val="16"/>
            <w:u w:val="single" w:color="auto"/>
            <w:color w:val="0000EE"/>
          </w:rPr>
          <w:t>Current Report on Form 8-K filed on July 22, 2019)</w:t>
        </w:r>
      </w:hyperlink>
    </w:p>
    <w:p>
      <w:pPr>
        <w:spacing w:after="0" w:line="156" w:lineRule="exact"/>
        <w:rPr>
          <w:sz w:val="20"/>
          <w:szCs w:val="20"/>
          <w:color w:val="auto"/>
        </w:rPr>
      </w:pPr>
    </w:p>
    <w:p>
      <w:pPr>
        <w:ind w:left="560" w:hanging="111"/>
        <w:spacing w:after="0"/>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Exhibit 22—</w:t>
      </w:r>
      <w:r>
        <w:rPr>
          <w:rFonts w:ascii="Arial" w:cs="Arial" w:eastAsia="Arial" w:hAnsi="Arial"/>
          <w:sz w:val="16"/>
          <w:szCs w:val="16"/>
          <w:u w:val="single" w:color="auto"/>
          <w:color w:val="0000EE"/>
        </w:rPr>
        <w:t>Issuers of Registered Guaranteed Debt Securities</w:t>
      </w:r>
    </w:p>
    <w:p>
      <w:pPr>
        <w:spacing w:after="0" w:line="221" w:lineRule="exact"/>
        <w:rPr>
          <w:rFonts w:ascii="Arial" w:cs="Arial" w:eastAsia="Arial" w:hAnsi="Arial"/>
          <w:sz w:val="16"/>
          <w:szCs w:val="16"/>
          <w:color w:val="auto"/>
        </w:rPr>
      </w:pPr>
    </w:p>
    <w:p>
      <w:pPr>
        <w:ind w:left="440" w:firstLine="9"/>
        <w:spacing w:after="0" w:line="286" w:lineRule="auto"/>
        <w:tabs>
          <w:tab w:leader="none" w:pos="555"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Exhibit 31.1—</w:t>
      </w:r>
      <w:r>
        <w:rPr>
          <w:rFonts w:ascii="Arial" w:cs="Arial" w:eastAsia="Arial" w:hAnsi="Arial"/>
          <w:sz w:val="16"/>
          <w:szCs w:val="16"/>
          <w:u w:val="single" w:color="auto"/>
          <w:color w:val="0000EE"/>
        </w:rPr>
        <w:t>Certification of Chief Executive Officer pursuant to Rule 13a-14(a) of the Securities Exchange Act of 1934, as amended, as adopted</w:t>
      </w:r>
      <w:r>
        <w:rPr>
          <w:rFonts w:ascii="Arial" w:cs="Arial" w:eastAsia="Arial" w:hAnsi="Arial"/>
          <w:sz w:val="16"/>
          <w:szCs w:val="16"/>
          <w:color w:val="auto"/>
        </w:rPr>
        <w:t xml:space="preserve"> </w:t>
      </w:r>
      <w:r>
        <w:rPr>
          <w:rFonts w:ascii="Arial" w:cs="Arial" w:eastAsia="Arial" w:hAnsi="Arial"/>
          <w:sz w:val="16"/>
          <w:szCs w:val="16"/>
          <w:u w:val="single" w:color="auto"/>
          <w:color w:val="0000EE"/>
        </w:rPr>
        <w:t>pursuant to Section 302 of the Sarbanes-Oxley Act of 2002</w:t>
      </w:r>
    </w:p>
    <w:p>
      <w:pPr>
        <w:spacing w:after="0" w:line="155" w:lineRule="exact"/>
        <w:rPr>
          <w:rFonts w:ascii="Arial" w:cs="Arial" w:eastAsia="Arial" w:hAnsi="Arial"/>
          <w:sz w:val="16"/>
          <w:szCs w:val="16"/>
          <w:color w:val="auto"/>
        </w:rPr>
      </w:pPr>
    </w:p>
    <w:p>
      <w:pPr>
        <w:ind w:left="440" w:firstLine="9"/>
        <w:spacing w:after="0" w:line="286" w:lineRule="auto"/>
        <w:tabs>
          <w:tab w:leader="none" w:pos="562"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Exhibit 31.2—</w:t>
      </w:r>
      <w:r>
        <w:rPr>
          <w:rFonts w:ascii="Arial" w:cs="Arial" w:eastAsia="Arial" w:hAnsi="Arial"/>
          <w:sz w:val="16"/>
          <w:szCs w:val="16"/>
          <w:u w:val="single" w:color="auto"/>
          <w:color w:val="0000EE"/>
        </w:rPr>
        <w:t>Certification of Chief Financial Officer pursuant to Rule 13a-14(a) of the Securities Exchange Act of 1934, as amended, as adopted</w:t>
      </w:r>
      <w:r>
        <w:rPr>
          <w:rFonts w:ascii="Arial" w:cs="Arial" w:eastAsia="Arial" w:hAnsi="Arial"/>
          <w:sz w:val="16"/>
          <w:szCs w:val="16"/>
          <w:color w:val="auto"/>
        </w:rPr>
        <w:t xml:space="preserve"> </w:t>
      </w:r>
      <w:r>
        <w:rPr>
          <w:rFonts w:ascii="Arial" w:cs="Arial" w:eastAsia="Arial" w:hAnsi="Arial"/>
          <w:sz w:val="16"/>
          <w:szCs w:val="16"/>
          <w:u w:val="single" w:color="auto"/>
          <w:color w:val="0000EE"/>
        </w:rPr>
        <w:t>pursuant to Section 302 of the Sarbanes-Oxley Act of 2002</w:t>
      </w:r>
    </w:p>
    <w:p>
      <w:pPr>
        <w:spacing w:after="0" w:line="156" w:lineRule="exact"/>
        <w:rPr>
          <w:sz w:val="20"/>
          <w:szCs w:val="20"/>
          <w:color w:val="auto"/>
        </w:rPr>
      </w:pPr>
    </w:p>
    <w:p>
      <w:pPr>
        <w:ind w:left="440" w:right="20" w:firstLine="9"/>
        <w:spacing w:after="0" w:line="286" w:lineRule="auto"/>
        <w:tabs>
          <w:tab w:leader="none" w:pos="625"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Exhibit 32.1—</w:t>
      </w:r>
      <w:r>
        <w:rPr>
          <w:rFonts w:ascii="Arial" w:cs="Arial" w:eastAsia="Arial" w:hAnsi="Arial"/>
          <w:sz w:val="16"/>
          <w:szCs w:val="16"/>
          <w:u w:val="single" w:color="auto"/>
          <w:color w:val="0000EE"/>
        </w:rPr>
        <w:t>Certification of Chief Executive Officer pursuant to 18 U.S.C. Section 1350, as adopted pursuant to Section 906 of the Sarbanes-Oxley Act of 2002</w:t>
      </w:r>
    </w:p>
    <w:p>
      <w:pPr>
        <w:spacing w:after="0" w:line="155" w:lineRule="exact"/>
        <w:rPr>
          <w:rFonts w:ascii="Arial" w:cs="Arial" w:eastAsia="Arial" w:hAnsi="Arial"/>
          <w:sz w:val="16"/>
          <w:szCs w:val="16"/>
          <w:color w:val="auto"/>
        </w:rPr>
      </w:pPr>
    </w:p>
    <w:p>
      <w:pPr>
        <w:ind w:left="440" w:firstLine="9"/>
        <w:spacing w:after="0" w:line="286" w:lineRule="auto"/>
        <w:tabs>
          <w:tab w:leader="none" w:pos="611"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Exhibit 32.2—</w:t>
      </w:r>
      <w:r>
        <w:rPr>
          <w:rFonts w:ascii="Arial" w:cs="Arial" w:eastAsia="Arial" w:hAnsi="Arial"/>
          <w:sz w:val="16"/>
          <w:szCs w:val="16"/>
          <w:u w:val="single" w:color="auto"/>
          <w:color w:val="0000EE"/>
        </w:rPr>
        <w:t>Certification of Chief Financial Officer pursuant to 18 U.S.C. Section 1350, as adopted pursuant to Section 906 of the Sarbanes-Oxley</w:t>
      </w:r>
      <w:r>
        <w:rPr>
          <w:rFonts w:ascii="Arial" w:cs="Arial" w:eastAsia="Arial" w:hAnsi="Arial"/>
          <w:sz w:val="16"/>
          <w:szCs w:val="16"/>
          <w:color w:val="auto"/>
        </w:rPr>
        <w:t xml:space="preserve"> </w:t>
      </w:r>
      <w:r>
        <w:rPr>
          <w:rFonts w:ascii="Arial" w:cs="Arial" w:eastAsia="Arial" w:hAnsi="Arial"/>
          <w:sz w:val="16"/>
          <w:szCs w:val="16"/>
          <w:u w:val="single" w:color="auto"/>
          <w:color w:val="0000EE"/>
        </w:rPr>
        <w:t>Act of 2002</w:t>
      </w:r>
    </w:p>
    <w:p>
      <w:pPr>
        <w:spacing w:after="0" w:line="156" w:lineRule="exact"/>
        <w:rPr>
          <w:sz w:val="20"/>
          <w:szCs w:val="20"/>
          <w:color w:val="auto"/>
        </w:rPr>
      </w:pPr>
    </w:p>
    <w:p>
      <w:pPr>
        <w:ind w:left="560" w:hanging="111"/>
        <w:spacing w:after="0"/>
        <w:tabs>
          <w:tab w:leader="none" w:pos="5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Exhibit 95—</w:t>
      </w:r>
      <w:r>
        <w:rPr>
          <w:rFonts w:ascii="Arial" w:cs="Arial" w:eastAsia="Arial" w:hAnsi="Arial"/>
          <w:sz w:val="16"/>
          <w:szCs w:val="16"/>
          <w:u w:val="single" w:color="auto"/>
          <w:color w:val="0000EE"/>
        </w:rPr>
        <w:t>Mine Safety Disclosures</w:t>
      </w:r>
    </w:p>
    <w:p>
      <w:pPr>
        <w:spacing w:after="0" w:line="221" w:lineRule="exact"/>
        <w:rPr>
          <w:rFonts w:ascii="Arial" w:cs="Arial" w:eastAsia="Arial" w:hAnsi="Arial"/>
          <w:sz w:val="16"/>
          <w:szCs w:val="16"/>
          <w:color w:val="auto"/>
        </w:rPr>
      </w:pPr>
    </w:p>
    <w:p>
      <w:pPr>
        <w:ind w:left="440" w:firstLine="9"/>
        <w:spacing w:after="0" w:line="286" w:lineRule="auto"/>
        <w:tabs>
          <w:tab w:leader="none" w:pos="567"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Exhibit 101.INS—Inline XBRL Instance Document – the instance document does not appear in the Interactive Data File because XBRL tags are embedded within the Inline XBRL document</w:t>
      </w:r>
    </w:p>
    <w:p>
      <w:pPr>
        <w:spacing w:after="0" w:line="155" w:lineRule="exact"/>
        <w:rPr>
          <w:rFonts w:ascii="Arial" w:cs="Arial" w:eastAsia="Arial" w:hAnsi="Arial"/>
          <w:sz w:val="16"/>
          <w:szCs w:val="16"/>
          <w:color w:val="auto"/>
        </w:rPr>
      </w:pPr>
    </w:p>
    <w:p>
      <w:pPr>
        <w:ind w:left="560" w:hanging="111"/>
        <w:spacing w:after="0"/>
        <w:tabs>
          <w:tab w:leader="none" w:pos="5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Exhibit 101.SCH—Inline XBRL Taxonomy Extension Schema Document</w:t>
      </w:r>
    </w:p>
    <w:p>
      <w:pPr>
        <w:spacing w:after="0" w:line="221" w:lineRule="exact"/>
        <w:rPr>
          <w:rFonts w:ascii="Arial" w:cs="Arial" w:eastAsia="Arial" w:hAnsi="Arial"/>
          <w:sz w:val="16"/>
          <w:szCs w:val="16"/>
          <w:color w:val="auto"/>
        </w:rPr>
      </w:pPr>
    </w:p>
    <w:p>
      <w:pPr>
        <w:ind w:left="560" w:hanging="111"/>
        <w:spacing w:after="0"/>
        <w:tabs>
          <w:tab w:leader="none" w:pos="5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Exhibit 101.CAL—Inline XBRL Taxonomy Extension Calculation Linkbase Document</w:t>
      </w:r>
    </w:p>
    <w:p>
      <w:pPr>
        <w:spacing w:after="0" w:line="221" w:lineRule="exact"/>
        <w:rPr>
          <w:rFonts w:ascii="Arial" w:cs="Arial" w:eastAsia="Arial" w:hAnsi="Arial"/>
          <w:sz w:val="16"/>
          <w:szCs w:val="16"/>
          <w:color w:val="auto"/>
        </w:rPr>
      </w:pPr>
    </w:p>
    <w:p>
      <w:pPr>
        <w:ind w:left="560" w:hanging="111"/>
        <w:spacing w:after="0"/>
        <w:tabs>
          <w:tab w:leader="none" w:pos="5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Exhibit 101.DEF—Inline XBRL Taxonomy Extension Definition Linkbase Document</w:t>
      </w:r>
    </w:p>
    <w:p>
      <w:pPr>
        <w:spacing w:after="0" w:line="221" w:lineRule="exact"/>
        <w:rPr>
          <w:rFonts w:ascii="Arial" w:cs="Arial" w:eastAsia="Arial" w:hAnsi="Arial"/>
          <w:sz w:val="16"/>
          <w:szCs w:val="16"/>
          <w:color w:val="auto"/>
        </w:rPr>
      </w:pPr>
    </w:p>
    <w:p>
      <w:pPr>
        <w:ind w:left="560" w:hanging="111"/>
        <w:spacing w:after="0"/>
        <w:tabs>
          <w:tab w:leader="none" w:pos="5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Exhibit 101.LAB—Inline XBRL Taxonomy Extension Label Linkbase Document</w:t>
      </w:r>
    </w:p>
    <w:p>
      <w:pPr>
        <w:spacing w:after="0" w:line="221" w:lineRule="exact"/>
        <w:rPr>
          <w:rFonts w:ascii="Arial" w:cs="Arial" w:eastAsia="Arial" w:hAnsi="Arial"/>
          <w:sz w:val="16"/>
          <w:szCs w:val="16"/>
          <w:color w:val="auto"/>
        </w:rPr>
      </w:pPr>
    </w:p>
    <w:p>
      <w:pPr>
        <w:ind w:left="560" w:hanging="111"/>
        <w:spacing w:after="0"/>
        <w:tabs>
          <w:tab w:leader="none" w:pos="5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Exhibit 101.PRE—Inline XBRL Taxonomy Extension Presentation Linkbase Document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Exhibit 104—Cover Page Interactive Data File (embedded within the Inline XBRL document)</w:t>
      </w:r>
    </w:p>
    <w:p>
      <w:pPr>
        <w:spacing w:after="0" w:line="221" w:lineRule="exact"/>
        <w:rPr>
          <w:sz w:val="20"/>
          <w:szCs w:val="20"/>
          <w:color w:val="auto"/>
        </w:rPr>
      </w:pPr>
    </w:p>
    <w:p>
      <w:pPr>
        <w:ind w:left="380" w:hanging="372"/>
        <w:spacing w:after="0"/>
        <w:tabs>
          <w:tab w:leader="none" w:pos="3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Filed with this Form 10-Q.</w:t>
      </w:r>
    </w:p>
    <w:p>
      <w:pPr>
        <w:spacing w:after="0" w:line="113" w:lineRule="exact"/>
        <w:rPr>
          <w:sz w:val="20"/>
          <w:szCs w:val="20"/>
          <w:color w:val="auto"/>
        </w:rPr>
      </w:pPr>
    </w:p>
    <w:p>
      <w:pPr>
        <w:ind w:left="380" w:hanging="372"/>
        <w:spacing w:after="0"/>
        <w:tabs>
          <w:tab w:leader="none" w:pos="3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Furnished with this Form 10-Q.</w:t>
      </w:r>
    </w:p>
    <w:p>
      <w:pPr>
        <w:spacing w:after="0" w:line="113" w:lineRule="exact"/>
        <w:rPr>
          <w:rFonts w:ascii="Arial" w:cs="Arial" w:eastAsia="Arial" w:hAnsi="Arial"/>
          <w:sz w:val="16"/>
          <w:szCs w:val="16"/>
          <w:color w:val="auto"/>
        </w:rPr>
      </w:pPr>
    </w:p>
    <w:p>
      <w:pPr>
        <w:ind w:left="260" w:hanging="240"/>
        <w:spacing w:after="0"/>
        <w:tabs>
          <w:tab w:leader="none" w:pos="2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Management contracts or compensatory plans or arrangements.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6"/>
          <w:szCs w:val="16"/>
          <w:color w:val="auto"/>
        </w:rPr>
        <w:t>SIGNATURE</w:t>
      </w:r>
    </w:p>
    <w:p>
      <w:pPr>
        <w:spacing w:after="0" w:line="2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 and in his capacity as Chief Accounting Officer.</w:t>
      </w:r>
    </w:p>
    <w:p>
      <w:pPr>
        <w:spacing w:after="0" w:line="156"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Schlumberger Limited</w:t>
      </w:r>
    </w:p>
    <w:p>
      <w:pPr>
        <w:spacing w:after="0" w:line="21"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(Registrant)</w:t>
      </w:r>
    </w:p>
    <w:p>
      <w:pPr>
        <w:spacing w:after="0" w:line="232" w:lineRule="exact"/>
        <w:rPr>
          <w:sz w:val="20"/>
          <w:szCs w:val="20"/>
          <w:color w:val="auto"/>
        </w:rPr>
      </w:pPr>
    </w:p>
    <w:p>
      <w:pPr>
        <w:spacing w:after="0"/>
        <w:tabs>
          <w:tab w:leader="none" w:pos="560" w:val="left"/>
          <w:tab w:leader="none" w:pos="5720" w:val="left"/>
        </w:tabs>
        <w:rPr>
          <w:sz w:val="20"/>
          <w:szCs w:val="20"/>
          <w:color w:val="auto"/>
        </w:rPr>
      </w:pPr>
      <w:r>
        <w:rPr>
          <w:rFonts w:ascii="Arial" w:cs="Arial" w:eastAsia="Arial" w:hAnsi="Arial"/>
          <w:sz w:val="16"/>
          <w:szCs w:val="16"/>
          <w:color w:val="auto"/>
        </w:rPr>
        <w:t>Date:</w:t>
        <w:tab/>
        <w:t>October 26, 2022</w:t>
      </w:r>
      <w:r>
        <w:rPr>
          <w:sz w:val="20"/>
          <w:szCs w:val="20"/>
          <w:color w:val="auto"/>
        </w:rPr>
        <w:tab/>
      </w:r>
      <w:r>
        <w:rPr>
          <w:rFonts w:ascii="Arial" w:cs="Arial" w:eastAsia="Arial" w:hAnsi="Arial"/>
          <w:sz w:val="16"/>
          <w:szCs w:val="16"/>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12065</wp:posOffset>
            </wp:positionV>
            <wp:extent cx="34886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6" w:lineRule="exact"/>
        <w:rPr>
          <w:sz w:val="20"/>
          <w:szCs w:val="20"/>
          <w:color w:val="auto"/>
        </w:rPr>
      </w:pPr>
    </w:p>
    <w:p>
      <w:pPr>
        <w:ind w:left="5740"/>
        <w:spacing w:after="0"/>
        <w:rPr>
          <w:sz w:val="20"/>
          <w:szCs w:val="20"/>
          <w:color w:val="auto"/>
        </w:rPr>
      </w:pPr>
      <w:r>
        <w:rPr>
          <w:rFonts w:ascii="Arial" w:cs="Arial" w:eastAsia="Arial" w:hAnsi="Arial"/>
          <w:sz w:val="16"/>
          <w:szCs w:val="16"/>
          <w:b w:val="1"/>
          <w:bCs w:val="1"/>
          <w:color w:val="auto"/>
        </w:rPr>
        <w:t>Howard Guild</w:t>
      </w:r>
    </w:p>
    <w:p>
      <w:pPr>
        <w:spacing w:after="0" w:line="39" w:lineRule="exact"/>
        <w:rPr>
          <w:sz w:val="20"/>
          <w:szCs w:val="20"/>
          <w:color w:val="auto"/>
        </w:rPr>
      </w:pPr>
    </w:p>
    <w:p>
      <w:pPr>
        <w:ind w:left="5740"/>
        <w:spacing w:after="0"/>
        <w:rPr>
          <w:sz w:val="20"/>
          <w:szCs w:val="20"/>
          <w:color w:val="auto"/>
        </w:rPr>
      </w:pPr>
      <w:r>
        <w:rPr>
          <w:rFonts w:ascii="Arial" w:cs="Arial" w:eastAsia="Arial" w:hAnsi="Arial"/>
          <w:sz w:val="16"/>
          <w:szCs w:val="16"/>
          <w:b w:val="1"/>
          <w:bCs w:val="1"/>
          <w:color w:val="auto"/>
        </w:rPr>
        <w:t>Chief Accounting Officer and Duly Authorized Signatory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341"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6"/>
          <w:szCs w:val="16"/>
          <w:b w:val="1"/>
          <w:bCs w:val="1"/>
          <w:u w:val="single" w:color="auto"/>
          <w:color w:val="auto"/>
        </w:rPr>
        <w:t>Exhibit 22</w:t>
      </w:r>
    </w:p>
    <w:p>
      <w:pPr>
        <w:spacing w:after="0" w:line="208" w:lineRule="exact"/>
        <w:rPr>
          <w:sz w:val="20"/>
          <w:szCs w:val="20"/>
          <w:color w:val="auto"/>
        </w:rPr>
      </w:pPr>
    </w:p>
    <w:p>
      <w:pPr>
        <w:ind w:left="140"/>
        <w:spacing w:after="0"/>
        <w:rPr>
          <w:sz w:val="20"/>
          <w:szCs w:val="20"/>
          <w:color w:val="auto"/>
        </w:rPr>
      </w:pPr>
      <w:r>
        <w:rPr>
          <w:rFonts w:ascii="Arial" w:cs="Arial" w:eastAsia="Arial" w:hAnsi="Arial"/>
          <w:sz w:val="16"/>
          <w:szCs w:val="16"/>
          <w:b w:val="1"/>
          <w:bCs w:val="1"/>
          <w:u w:val="single" w:color="auto"/>
          <w:color w:val="auto"/>
        </w:rPr>
        <w:t>Issuers of Registered Guaranteed Debt Securities</w:t>
      </w:r>
    </w:p>
    <w:p>
      <w:pPr>
        <w:spacing w:after="0" w:line="208"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Schlumberger Investment SA, a société anonyme incorporated under the laws of the Grand Duchy of Luxembourg (“SISA”), and Schlumberger Finance Canada Ltd., a corporation incorporated under the laws of the Province of Alberta, Canada (“SFCL”), are both indirect wholly-owned subsidiaries of Schlumberger Limited (the “Guarantor”).</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As of September 30, 2022, (i) SISA was the issuer of its 3.650% Senior Notes due 2023 and 2.650% Senior Notes due 2030 (together, the “SISA Notes”), and (ii) SFCL was the issuer of its 1.400% Senior Notes due 2025 (the “SFCL Notes”). The Guarantor fully and unconditionally guarantees the SISA Notes and the SFCL Notes on a senior unsecured basis.</w:t>
      </w:r>
    </w:p>
    <w:p>
      <w:pPr>
        <w:sectPr>
          <w:pgSz w:w="11900" w:h="16838" w:orient="portrait"/>
          <w:cols w:equalWidth="0" w:num="1">
            <w:col w:w="11240"/>
          </w:cols>
          <w:pgMar w:left="320" w:top="341"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6"/>
          <w:szCs w:val="16"/>
          <w:b w:val="1"/>
          <w:bCs w:val="1"/>
          <w:u w:val="single" w:color="auto"/>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CERTIFICATION OF CHIEF EXECUTIVE OFFICER</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 Olivier Le Peuch, certify that:</w:t>
      </w:r>
    </w:p>
    <w:p>
      <w:pPr>
        <w:spacing w:after="0" w:line="113" w:lineRule="exact"/>
        <w:rPr>
          <w:sz w:val="20"/>
          <w:szCs w:val="20"/>
          <w:color w:val="auto"/>
        </w:rPr>
      </w:pPr>
    </w:p>
    <w:p>
      <w:pPr>
        <w:ind w:left="560" w:hanging="178"/>
        <w:spacing w:after="0"/>
        <w:tabs>
          <w:tab w:leader="none" w:pos="5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Schlumberger N.V. (Schlumberger Limited);</w:t>
      </w:r>
    </w:p>
    <w:p>
      <w:pPr>
        <w:spacing w:after="0" w:line="113" w:lineRule="exact"/>
        <w:rPr>
          <w:rFonts w:ascii="Arial" w:cs="Arial" w:eastAsia="Arial" w:hAnsi="Arial"/>
          <w:sz w:val="16"/>
          <w:szCs w:val="16"/>
          <w:color w:val="auto"/>
        </w:rPr>
      </w:pPr>
    </w:p>
    <w:p>
      <w:pPr>
        <w:ind w:firstLine="382"/>
        <w:spacing w:after="0" w:line="286" w:lineRule="auto"/>
        <w:tabs>
          <w:tab w:leader="none" w:pos="562"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Arial" w:cs="Arial" w:eastAsia="Arial" w:hAnsi="Arial"/>
          <w:sz w:val="16"/>
          <w:szCs w:val="16"/>
          <w:color w:val="auto"/>
        </w:rPr>
      </w:pPr>
    </w:p>
    <w:p>
      <w:pPr>
        <w:ind w:firstLine="382"/>
        <w:spacing w:after="0" w:line="286" w:lineRule="auto"/>
        <w:tabs>
          <w:tab w:leader="none" w:pos="569"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7" w:lineRule="exact"/>
        <w:rPr>
          <w:rFonts w:ascii="Arial" w:cs="Arial" w:eastAsia="Arial" w:hAnsi="Arial"/>
          <w:sz w:val="16"/>
          <w:szCs w:val="16"/>
          <w:color w:val="auto"/>
        </w:rPr>
      </w:pPr>
    </w:p>
    <w:p>
      <w:pPr>
        <w:jc w:val="both"/>
        <w:ind w:firstLine="382"/>
        <w:spacing w:after="0" w:line="266" w:lineRule="auto"/>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3" w:lineRule="exact"/>
        <w:rPr>
          <w:rFonts w:ascii="Arial" w:cs="Arial" w:eastAsia="Arial" w:hAnsi="Arial"/>
          <w:sz w:val="16"/>
          <w:szCs w:val="16"/>
          <w:color w:val="auto"/>
        </w:rPr>
      </w:pPr>
    </w:p>
    <w:p>
      <w:pPr>
        <w:jc w:val="both"/>
        <w:ind w:left="1100" w:hanging="498"/>
        <w:spacing w:after="0" w:line="266" w:lineRule="auto"/>
        <w:tabs>
          <w:tab w:leader="none" w:pos="11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Arial" w:cs="Arial" w:eastAsia="Arial" w:hAnsi="Arial"/>
          <w:sz w:val="16"/>
          <w:szCs w:val="16"/>
          <w:color w:val="auto"/>
        </w:rPr>
      </w:pPr>
    </w:p>
    <w:p>
      <w:pPr>
        <w:jc w:val="both"/>
        <w:ind w:left="1100" w:hanging="498"/>
        <w:spacing w:after="0" w:line="266" w:lineRule="auto"/>
        <w:tabs>
          <w:tab w:leader="none" w:pos="11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3" w:lineRule="exact"/>
        <w:rPr>
          <w:rFonts w:ascii="Arial" w:cs="Arial" w:eastAsia="Arial" w:hAnsi="Arial"/>
          <w:sz w:val="16"/>
          <w:szCs w:val="16"/>
          <w:color w:val="auto"/>
        </w:rPr>
      </w:pPr>
    </w:p>
    <w:p>
      <w:pPr>
        <w:ind w:left="1100" w:hanging="498"/>
        <w:spacing w:after="0" w:line="286" w:lineRule="auto"/>
        <w:tabs>
          <w:tab w:leader="none" w:pos="11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Arial" w:cs="Arial" w:eastAsia="Arial" w:hAnsi="Arial"/>
          <w:sz w:val="16"/>
          <w:szCs w:val="16"/>
          <w:color w:val="auto"/>
        </w:rPr>
      </w:pPr>
    </w:p>
    <w:p>
      <w:pPr>
        <w:jc w:val="both"/>
        <w:ind w:left="1100" w:hanging="498"/>
        <w:spacing w:after="0" w:line="266" w:lineRule="auto"/>
        <w:tabs>
          <w:tab w:leader="none" w:pos="11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Arial" w:cs="Arial" w:eastAsia="Arial" w:hAnsi="Arial"/>
          <w:sz w:val="16"/>
          <w:szCs w:val="16"/>
          <w:color w:val="auto"/>
        </w:rPr>
      </w:pPr>
    </w:p>
    <w:p>
      <w:pPr>
        <w:ind w:firstLine="382"/>
        <w:spacing w:after="0" w:line="286" w:lineRule="auto"/>
        <w:tabs>
          <w:tab w:leader="none" w:pos="566"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rFonts w:ascii="Arial" w:cs="Arial" w:eastAsia="Arial" w:hAnsi="Arial"/>
          <w:sz w:val="16"/>
          <w:szCs w:val="16"/>
          <w:color w:val="auto"/>
        </w:rPr>
      </w:pPr>
    </w:p>
    <w:p>
      <w:pPr>
        <w:ind w:left="1100" w:hanging="498"/>
        <w:spacing w:after="0" w:line="286" w:lineRule="auto"/>
        <w:tabs>
          <w:tab w:leader="none" w:pos="11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Arial" w:cs="Arial" w:eastAsia="Arial" w:hAnsi="Arial"/>
          <w:sz w:val="16"/>
          <w:szCs w:val="16"/>
          <w:color w:val="auto"/>
        </w:rPr>
      </w:pPr>
    </w:p>
    <w:p>
      <w:pPr>
        <w:ind w:left="1100" w:hanging="498"/>
        <w:spacing w:after="0" w:line="286" w:lineRule="auto"/>
        <w:tabs>
          <w:tab w:leader="none" w:pos="11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spacing w:after="0"/>
        <w:tabs>
          <w:tab w:leader="none" w:pos="6720" w:val="left"/>
        </w:tabs>
        <w:rPr>
          <w:sz w:val="20"/>
          <w:szCs w:val="20"/>
          <w:color w:val="auto"/>
        </w:rPr>
      </w:pPr>
      <w:r>
        <w:rPr>
          <w:rFonts w:ascii="Arial" w:cs="Arial" w:eastAsia="Arial" w:hAnsi="Arial"/>
          <w:sz w:val="16"/>
          <w:szCs w:val="16"/>
          <w:color w:val="auto"/>
        </w:rPr>
        <w:t>Date: October 26, 2022</w:t>
      </w:r>
      <w:r>
        <w:rPr>
          <w:sz w:val="20"/>
          <w:szCs w:val="20"/>
          <w:color w:val="auto"/>
        </w:rPr>
        <w:tab/>
      </w:r>
      <w:r>
        <w:rPr>
          <w:rFonts w:ascii="Arial" w:cs="Arial" w:eastAsia="Arial" w:hAnsi="Arial"/>
          <w:sz w:val="16"/>
          <w:szCs w:val="16"/>
          <w:color w:val="auto"/>
        </w:rPr>
        <w:t>/s/ Olivier Le Peuch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12065</wp:posOffset>
            </wp:positionV>
            <wp:extent cx="28543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11"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Olivier Le Peuch</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1">
            <w:col w:w="11240"/>
          </w:cols>
          <w:pgMar w:left="320" w:top="557"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6"/>
          <w:szCs w:val="16"/>
          <w:b w:val="1"/>
          <w:bCs w:val="1"/>
          <w:u w:val="single" w:color="auto"/>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CERTIFICATION OF CHIEF FINANCIAL OFFICER</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 Stephane Biguet, certify that:</w:t>
      </w:r>
    </w:p>
    <w:p>
      <w:pPr>
        <w:spacing w:after="0" w:line="113" w:lineRule="exact"/>
        <w:rPr>
          <w:sz w:val="20"/>
          <w:szCs w:val="20"/>
          <w:color w:val="auto"/>
        </w:rPr>
      </w:pPr>
    </w:p>
    <w:p>
      <w:pPr>
        <w:ind w:left="560" w:hanging="178"/>
        <w:spacing w:after="0"/>
        <w:tabs>
          <w:tab w:leader="none" w:pos="5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Schlumberger N.V. (Schlumberger Limited);</w:t>
      </w:r>
    </w:p>
    <w:p>
      <w:pPr>
        <w:spacing w:after="0" w:line="113" w:lineRule="exact"/>
        <w:rPr>
          <w:rFonts w:ascii="Arial" w:cs="Arial" w:eastAsia="Arial" w:hAnsi="Arial"/>
          <w:sz w:val="16"/>
          <w:szCs w:val="16"/>
          <w:color w:val="auto"/>
        </w:rPr>
      </w:pPr>
    </w:p>
    <w:p>
      <w:pPr>
        <w:ind w:firstLine="382"/>
        <w:spacing w:after="0" w:line="286" w:lineRule="auto"/>
        <w:tabs>
          <w:tab w:leader="none" w:pos="562"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Arial" w:cs="Arial" w:eastAsia="Arial" w:hAnsi="Arial"/>
          <w:sz w:val="16"/>
          <w:szCs w:val="16"/>
          <w:color w:val="auto"/>
        </w:rPr>
      </w:pPr>
    </w:p>
    <w:p>
      <w:pPr>
        <w:ind w:firstLine="382"/>
        <w:spacing w:after="0" w:line="286" w:lineRule="auto"/>
        <w:tabs>
          <w:tab w:leader="none" w:pos="569"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7" w:lineRule="exact"/>
        <w:rPr>
          <w:rFonts w:ascii="Arial" w:cs="Arial" w:eastAsia="Arial" w:hAnsi="Arial"/>
          <w:sz w:val="16"/>
          <w:szCs w:val="16"/>
          <w:color w:val="auto"/>
        </w:rPr>
      </w:pPr>
    </w:p>
    <w:p>
      <w:pPr>
        <w:jc w:val="both"/>
        <w:ind w:firstLine="382"/>
        <w:spacing w:after="0" w:line="266" w:lineRule="auto"/>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3" w:lineRule="exact"/>
        <w:rPr>
          <w:rFonts w:ascii="Arial" w:cs="Arial" w:eastAsia="Arial" w:hAnsi="Arial"/>
          <w:sz w:val="16"/>
          <w:szCs w:val="16"/>
          <w:color w:val="auto"/>
        </w:rPr>
      </w:pPr>
    </w:p>
    <w:p>
      <w:pPr>
        <w:jc w:val="both"/>
        <w:ind w:left="1100" w:hanging="498"/>
        <w:spacing w:after="0" w:line="266" w:lineRule="auto"/>
        <w:tabs>
          <w:tab w:leader="none" w:pos="11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Arial" w:cs="Arial" w:eastAsia="Arial" w:hAnsi="Arial"/>
          <w:sz w:val="16"/>
          <w:szCs w:val="16"/>
          <w:color w:val="auto"/>
        </w:rPr>
      </w:pPr>
    </w:p>
    <w:p>
      <w:pPr>
        <w:jc w:val="both"/>
        <w:ind w:left="1100" w:hanging="498"/>
        <w:spacing w:after="0" w:line="266" w:lineRule="auto"/>
        <w:tabs>
          <w:tab w:leader="none" w:pos="11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3" w:lineRule="exact"/>
        <w:rPr>
          <w:rFonts w:ascii="Arial" w:cs="Arial" w:eastAsia="Arial" w:hAnsi="Arial"/>
          <w:sz w:val="16"/>
          <w:szCs w:val="16"/>
          <w:color w:val="auto"/>
        </w:rPr>
      </w:pPr>
    </w:p>
    <w:p>
      <w:pPr>
        <w:ind w:left="1100" w:hanging="498"/>
        <w:spacing w:after="0" w:line="286" w:lineRule="auto"/>
        <w:tabs>
          <w:tab w:leader="none" w:pos="11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Arial" w:cs="Arial" w:eastAsia="Arial" w:hAnsi="Arial"/>
          <w:sz w:val="16"/>
          <w:szCs w:val="16"/>
          <w:color w:val="auto"/>
        </w:rPr>
      </w:pPr>
    </w:p>
    <w:p>
      <w:pPr>
        <w:jc w:val="both"/>
        <w:ind w:left="1100" w:hanging="498"/>
        <w:spacing w:after="0" w:line="266" w:lineRule="auto"/>
        <w:tabs>
          <w:tab w:leader="none" w:pos="11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Arial" w:cs="Arial" w:eastAsia="Arial" w:hAnsi="Arial"/>
          <w:sz w:val="16"/>
          <w:szCs w:val="16"/>
          <w:color w:val="auto"/>
        </w:rPr>
      </w:pPr>
    </w:p>
    <w:p>
      <w:pPr>
        <w:ind w:firstLine="382"/>
        <w:spacing w:after="0" w:line="286" w:lineRule="auto"/>
        <w:tabs>
          <w:tab w:leader="none" w:pos="566"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rFonts w:ascii="Arial" w:cs="Arial" w:eastAsia="Arial" w:hAnsi="Arial"/>
          <w:sz w:val="16"/>
          <w:szCs w:val="16"/>
          <w:color w:val="auto"/>
        </w:rPr>
      </w:pPr>
    </w:p>
    <w:p>
      <w:pPr>
        <w:ind w:left="1100" w:hanging="498"/>
        <w:spacing w:after="0" w:line="286" w:lineRule="auto"/>
        <w:tabs>
          <w:tab w:leader="none" w:pos="11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Arial" w:cs="Arial" w:eastAsia="Arial" w:hAnsi="Arial"/>
          <w:sz w:val="16"/>
          <w:szCs w:val="16"/>
          <w:color w:val="auto"/>
        </w:rPr>
      </w:pPr>
    </w:p>
    <w:p>
      <w:pPr>
        <w:ind w:left="1100" w:hanging="498"/>
        <w:spacing w:after="0" w:line="286" w:lineRule="auto"/>
        <w:tabs>
          <w:tab w:leader="none" w:pos="11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spacing w:after="0"/>
        <w:tabs>
          <w:tab w:leader="none" w:pos="6740" w:val="left"/>
        </w:tabs>
        <w:rPr>
          <w:sz w:val="20"/>
          <w:szCs w:val="20"/>
          <w:color w:val="auto"/>
        </w:rPr>
      </w:pPr>
      <w:r>
        <w:rPr>
          <w:rFonts w:ascii="Arial" w:cs="Arial" w:eastAsia="Arial" w:hAnsi="Arial"/>
          <w:sz w:val="16"/>
          <w:szCs w:val="16"/>
          <w:color w:val="auto"/>
        </w:rPr>
        <w:t>Date: October 26, 2022</w:t>
      </w:r>
      <w:r>
        <w:rPr>
          <w:sz w:val="20"/>
          <w:szCs w:val="20"/>
          <w:color w:val="auto"/>
        </w:rPr>
        <w:tab/>
      </w:r>
      <w:r>
        <w:rPr>
          <w:rFonts w:ascii="Arial" w:cs="Arial" w:eastAsia="Arial" w:hAnsi="Arial"/>
          <w:sz w:val="16"/>
          <w:szCs w:val="16"/>
          <w:color w:val="auto"/>
        </w:rPr>
        <w:t>/s/ Stephane Biguet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12065</wp:posOffset>
            </wp:positionV>
            <wp:extent cx="28460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1"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Stephane Biguet</w:t>
      </w:r>
    </w:p>
    <w:p>
      <w:pPr>
        <w:spacing w:after="0" w:line="19"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Executive Vice President and Chief Financial Officer</w:t>
      </w:r>
    </w:p>
    <w:p>
      <w:pPr>
        <w:sectPr>
          <w:pgSz w:w="11900" w:h="16838" w:orient="portrait"/>
          <w:cols w:equalWidth="0" w:num="1">
            <w:col w:w="11240"/>
          </w:cols>
          <w:pgMar w:left="320" w:top="557"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6"/>
          <w:szCs w:val="16"/>
          <w:b w:val="1"/>
          <w:bCs w:val="1"/>
          <w:u w:val="single" w:color="auto"/>
          <w:color w:val="auto"/>
        </w:rPr>
        <w:t>Exhibit 32.1</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connection with the Quarterly Report on Form 10-Q of Schlumberger N.V. (Schlumberger Limited) (the “Company”) for the quarterly period ended September 30, 2022 as filed with the Securities and Exchange Commission on the date hereof (the “Report”), I, Olivier Le Peuch, Chief Executive Officer of the Company, certify, pursuant to 18 U.S.C. § 1350, as adopted pursuant to § 906 of the Sarbanes-Oxley Act of 2002, that:</w:t>
      </w:r>
    </w:p>
    <w:p>
      <w:pPr>
        <w:spacing w:after="0" w:line="63" w:lineRule="exact"/>
        <w:rPr>
          <w:sz w:val="20"/>
          <w:szCs w:val="20"/>
          <w:color w:val="auto"/>
        </w:rPr>
      </w:pPr>
    </w:p>
    <w:p>
      <w:pPr>
        <w:ind w:left="1000" w:hanging="493"/>
        <w:spacing w:after="0" w:line="286" w:lineRule="auto"/>
        <w:tabs>
          <w:tab w:leader="none" w:pos="10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(the “Exchange Act”), and</w:t>
      </w:r>
    </w:p>
    <w:p>
      <w:pPr>
        <w:spacing w:after="0" w:line="47" w:lineRule="exact"/>
        <w:rPr>
          <w:rFonts w:ascii="Arial" w:cs="Arial" w:eastAsia="Arial" w:hAnsi="Arial"/>
          <w:sz w:val="16"/>
          <w:szCs w:val="16"/>
          <w:color w:val="auto"/>
        </w:rPr>
      </w:pPr>
    </w:p>
    <w:p>
      <w:pPr>
        <w:ind w:left="1000" w:right="20" w:hanging="493"/>
        <w:spacing w:after="0" w:line="263" w:lineRule="auto"/>
        <w:tabs>
          <w:tab w:leader="none" w:pos="10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5" w:lineRule="exact"/>
        <w:rPr>
          <w:sz w:val="20"/>
          <w:szCs w:val="20"/>
          <w:color w:val="auto"/>
        </w:rPr>
      </w:pPr>
    </w:p>
    <w:p>
      <w:pPr>
        <w:spacing w:after="0"/>
        <w:tabs>
          <w:tab w:leader="none" w:pos="5320" w:val="left"/>
        </w:tabs>
        <w:rPr>
          <w:sz w:val="20"/>
          <w:szCs w:val="20"/>
          <w:color w:val="auto"/>
        </w:rPr>
      </w:pPr>
      <w:r>
        <w:rPr>
          <w:rFonts w:ascii="Arial" w:cs="Arial" w:eastAsia="Arial" w:hAnsi="Arial"/>
          <w:sz w:val="16"/>
          <w:szCs w:val="16"/>
          <w:color w:val="auto"/>
        </w:rPr>
        <w:t>Date: October 26, 2022</w:t>
      </w:r>
      <w:r>
        <w:rPr>
          <w:sz w:val="20"/>
          <w:szCs w:val="20"/>
          <w:color w:val="auto"/>
        </w:rPr>
        <w:tab/>
      </w:r>
      <w:r>
        <w:rPr>
          <w:rFonts w:ascii="Arial" w:cs="Arial" w:eastAsia="Arial" w:hAnsi="Arial"/>
          <w:sz w:val="16"/>
          <w:szCs w:val="16"/>
          <w:color w:val="auto"/>
        </w:rPr>
        <w:t>/s/ Olivier Le Peuch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12065</wp:posOffset>
            </wp:positionV>
            <wp:extent cx="307721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11"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Olivier Le Peuch</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Chief Executive Officer</w:t>
      </w:r>
    </w:p>
    <w:p>
      <w:pPr>
        <w:spacing w:after="0" w:line="23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5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240"/>
          </w:cols>
          <w:pgMar w:left="320" w:top="557"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6"/>
          <w:szCs w:val="16"/>
          <w:b w:val="1"/>
          <w:bCs w:val="1"/>
          <w:u w:val="single" w:color="auto"/>
          <w:color w:val="auto"/>
        </w:rPr>
        <w:t>Exhibit 32.2</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connection with the Quarterly Report on Form 10-Q of Schlumberger N.V. (Schlumberger Limited) (the “Company”) for the quarterly period ended September 30, 2022 as filed with the Securities and Exchange Commission on the date hereof (the “Report”), I, Stephane Biguet, Executive Vice President and Chief Financial Officer of the Company, certify, pursuant to 18 U.S.C. § 1350, as adopted pursuant to § 906 of the Sarbanes-Oxley Act of 2002, that:</w:t>
      </w:r>
    </w:p>
    <w:p>
      <w:pPr>
        <w:spacing w:after="0" w:line="63" w:lineRule="exact"/>
        <w:rPr>
          <w:sz w:val="20"/>
          <w:szCs w:val="20"/>
          <w:color w:val="auto"/>
        </w:rPr>
      </w:pPr>
    </w:p>
    <w:p>
      <w:pPr>
        <w:ind w:left="1000" w:hanging="493"/>
        <w:spacing w:after="0" w:line="286" w:lineRule="auto"/>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(the “Exchange Act”), and</w:t>
      </w:r>
    </w:p>
    <w:p>
      <w:pPr>
        <w:spacing w:after="0" w:line="47" w:lineRule="exact"/>
        <w:rPr>
          <w:rFonts w:ascii="Arial" w:cs="Arial" w:eastAsia="Arial" w:hAnsi="Arial"/>
          <w:sz w:val="16"/>
          <w:szCs w:val="16"/>
          <w:color w:val="auto"/>
        </w:rPr>
      </w:pPr>
    </w:p>
    <w:p>
      <w:pPr>
        <w:ind w:left="1000" w:right="20" w:hanging="493"/>
        <w:spacing w:after="0" w:line="263" w:lineRule="auto"/>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1" w:lineRule="exact"/>
        <w:rPr>
          <w:sz w:val="20"/>
          <w:szCs w:val="20"/>
          <w:color w:val="auto"/>
        </w:rPr>
      </w:pPr>
    </w:p>
    <w:p>
      <w:pPr>
        <w:spacing w:after="0"/>
        <w:tabs>
          <w:tab w:leader="none" w:pos="5320" w:val="left"/>
        </w:tabs>
        <w:rPr>
          <w:sz w:val="20"/>
          <w:szCs w:val="20"/>
          <w:color w:val="auto"/>
        </w:rPr>
      </w:pPr>
      <w:r>
        <w:rPr>
          <w:rFonts w:ascii="Arial" w:cs="Arial" w:eastAsia="Arial" w:hAnsi="Arial"/>
          <w:sz w:val="16"/>
          <w:szCs w:val="16"/>
          <w:color w:val="auto"/>
        </w:rPr>
        <w:t>Date: October 26, 2022</w:t>
      </w:r>
      <w:r>
        <w:rPr>
          <w:sz w:val="20"/>
          <w:szCs w:val="20"/>
          <w:color w:val="auto"/>
        </w:rPr>
        <w:tab/>
      </w:r>
      <w:r>
        <w:rPr>
          <w:rFonts w:ascii="Arial" w:cs="Arial" w:eastAsia="Arial" w:hAnsi="Arial"/>
          <w:sz w:val="16"/>
          <w:szCs w:val="16"/>
          <w:color w:val="auto"/>
        </w:rPr>
        <w:t>/s/ Stephane Biguet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12065</wp:posOffset>
            </wp:positionV>
            <wp:extent cx="30772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1"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Stephane Biguet</w:t>
      </w:r>
    </w:p>
    <w:p>
      <w:pPr>
        <w:spacing w:after="0" w:line="19"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Executive Vice President and Chief Financial Officer</w:t>
      </w:r>
    </w:p>
    <w:p>
      <w:pPr>
        <w:spacing w:after="0" w:line="23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5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240"/>
          </w:cols>
          <w:pgMar w:left="320" w:top="557" w:right="339" w:bottom="1440" w:gutter="0" w:footer="0" w:header="0"/>
        </w:sectPr>
      </w:pPr>
    </w:p>
    <w:bookmarkStart w:id="30" w:name="page31"/>
    <w:bookmarkEnd w:id="30"/>
    <w:p>
      <w:pPr>
        <w:ind w:left="10480"/>
        <w:spacing w:after="0"/>
        <w:rPr>
          <w:sz w:val="20"/>
          <w:szCs w:val="20"/>
          <w:color w:val="auto"/>
        </w:rPr>
      </w:pPr>
      <w:r>
        <w:rPr>
          <w:rFonts w:ascii="Arial" w:cs="Arial" w:eastAsia="Arial" w:hAnsi="Arial"/>
          <w:sz w:val="16"/>
          <w:szCs w:val="16"/>
          <w:b w:val="1"/>
          <w:bCs w:val="1"/>
          <w:u w:val="single" w:color="auto"/>
          <w:color w:val="auto"/>
        </w:rPr>
        <w:t>Exhibit 95</w:t>
      </w:r>
    </w:p>
    <w:p>
      <w:pPr>
        <w:spacing w:after="0" w:line="113"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Mine Safety Disclosure</w:t>
      </w:r>
    </w:p>
    <w:p>
      <w:pPr>
        <w:spacing w:after="0" w:line="200" w:lineRule="exact"/>
        <w:rPr>
          <w:sz w:val="20"/>
          <w:szCs w:val="20"/>
          <w:color w:val="auto"/>
        </w:rPr>
      </w:pPr>
    </w:p>
    <w:p>
      <w:pPr>
        <w:spacing w:after="0" w:line="210" w:lineRule="exact"/>
        <w:rPr>
          <w:sz w:val="20"/>
          <w:szCs w:val="20"/>
          <w:color w:val="auto"/>
        </w:rPr>
      </w:pPr>
    </w:p>
    <w:p>
      <w:pPr>
        <w:jc w:val="both"/>
        <w:ind w:right="100" w:firstLine="510"/>
        <w:spacing w:after="0" w:line="266" w:lineRule="auto"/>
        <w:rPr>
          <w:sz w:val="20"/>
          <w:szCs w:val="20"/>
          <w:color w:val="auto"/>
        </w:rPr>
      </w:pPr>
      <w:r>
        <w:rPr>
          <w:rFonts w:ascii="Arial" w:cs="Arial" w:eastAsia="Arial" w:hAnsi="Arial"/>
          <w:sz w:val="16"/>
          <w:szCs w:val="16"/>
          <w:color w:val="auto"/>
        </w:rPr>
        <w:t>The following disclosure is provided pursuant to Section 1503(a) of the Dodd-Frank Wall Street Reform and Consumer Protection Act, which requires certain disclosures by companies required to file periodic reports under the Securities Exchange Act of 1934, as amended, that operate mines regulated under the Federal Mine Safety and Health Act of 1977.</w:t>
      </w:r>
    </w:p>
    <w:p>
      <w:pPr>
        <w:spacing w:after="0" w:line="171" w:lineRule="exact"/>
        <w:rPr>
          <w:sz w:val="20"/>
          <w:szCs w:val="20"/>
          <w:color w:val="auto"/>
        </w:rPr>
      </w:pPr>
    </w:p>
    <w:p>
      <w:pPr>
        <w:jc w:val="both"/>
        <w:ind w:right="80" w:firstLine="510"/>
        <w:spacing w:after="0" w:line="266" w:lineRule="auto"/>
        <w:rPr>
          <w:sz w:val="20"/>
          <w:szCs w:val="20"/>
          <w:color w:val="auto"/>
        </w:rPr>
      </w:pPr>
      <w:r>
        <w:rPr>
          <w:rFonts w:ascii="Arial" w:cs="Arial" w:eastAsia="Arial" w:hAnsi="Arial"/>
          <w:sz w:val="16"/>
          <w:szCs w:val="16"/>
          <w:color w:val="auto"/>
        </w:rPr>
        <w:t>The table that follows reflects citations, orders, violations and proposed assessments issued by the Mine Safety and Health Administration (the “MSHA”) to indirect subsidiaries of Schlumberger. The disclosure is with respect to the three months ended September 30, 2022. Due to timing and other factors, the data may not agree with the mine data retrieval system maintained by the MSHA at www.MSHA.gov.</w:t>
      </w:r>
    </w:p>
    <w:p>
      <w:pPr>
        <w:spacing w:after="0" w:line="171"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u w:val="single" w:color="auto"/>
          <w:color w:val="auto"/>
        </w:rPr>
        <w:t>Three Months Ended September 30, 2022</w:t>
      </w:r>
    </w:p>
    <w:p>
      <w:pPr>
        <w:spacing w:after="0" w:line="21"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whole dollars</w:t>
      </w:r>
      <w:r>
        <w:rPr>
          <w:rFonts w:ascii="Arial" w:cs="Arial" w:eastAsia="Arial" w:hAnsi="Arial"/>
          <w:sz w:val="16"/>
          <w:szCs w:val="16"/>
          <w:color w:val="auto"/>
        </w:rPr>
        <w: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Received</w:t>
            </w: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Received</w:t>
            </w:r>
          </w:p>
        </w:tc>
        <w:tc>
          <w:tcPr>
            <w:tcW w:w="860" w:type="dxa"/>
            <w:vAlign w:val="bottom"/>
          </w:tcPr>
          <w:p>
            <w:pPr>
              <w:jc w:val="center"/>
              <w:spacing w:after="0"/>
              <w:rPr>
                <w:sz w:val="20"/>
                <w:szCs w:val="20"/>
                <w:color w:val="auto"/>
              </w:rPr>
            </w:pPr>
            <w:r>
              <w:rPr>
                <w:rFonts w:ascii="Arial" w:cs="Arial" w:eastAsia="Arial" w:hAnsi="Arial"/>
                <w:sz w:val="14"/>
                <w:szCs w:val="14"/>
                <w:color w:val="auto"/>
              </w:rPr>
              <w:t>Notice of</w:t>
            </w: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Notice of</w:t>
            </w:r>
          </w:p>
        </w:tc>
        <w:tc>
          <w:tcPr>
            <w:tcW w:w="860" w:type="dxa"/>
            <w:vAlign w:val="bottom"/>
          </w:tcPr>
          <w:p>
            <w:pPr>
              <w:jc w:val="center"/>
              <w:spacing w:after="0"/>
              <w:rPr>
                <w:sz w:val="20"/>
                <w:szCs w:val="20"/>
                <w:color w:val="auto"/>
              </w:rPr>
            </w:pPr>
            <w:r>
              <w:rPr>
                <w:rFonts w:ascii="Arial" w:cs="Arial" w:eastAsia="Arial" w:hAnsi="Arial"/>
                <w:sz w:val="14"/>
                <w:szCs w:val="14"/>
                <w:color w:val="auto"/>
              </w:rPr>
              <w:t>Potential to</w:t>
            </w: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Pattern of</w:t>
            </w:r>
          </w:p>
        </w:tc>
        <w:tc>
          <w:tcPr>
            <w:tcW w:w="860" w:type="dxa"/>
            <w:vAlign w:val="bottom"/>
          </w:tcPr>
          <w:p>
            <w:pPr>
              <w:jc w:val="center"/>
              <w:spacing w:after="0"/>
              <w:rPr>
                <w:sz w:val="20"/>
                <w:szCs w:val="20"/>
                <w:color w:val="auto"/>
              </w:rPr>
            </w:pPr>
            <w:r>
              <w:rPr>
                <w:rFonts w:ascii="Arial" w:cs="Arial" w:eastAsia="Arial" w:hAnsi="Arial"/>
                <w:sz w:val="14"/>
                <w:szCs w:val="14"/>
                <w:color w:val="auto"/>
                <w:w w:val="97"/>
              </w:rPr>
              <w:t>Have</w:t>
            </w: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Section</w:t>
            </w: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6"/>
              </w:rPr>
              <w:t>Total</w:t>
            </w:r>
          </w:p>
        </w:tc>
        <w:tc>
          <w:tcPr>
            <w:tcW w:w="780" w:type="dxa"/>
            <w:vAlign w:val="bottom"/>
          </w:tcPr>
          <w:p>
            <w:pPr>
              <w:jc w:val="center"/>
              <w:spacing w:after="0"/>
              <w:rPr>
                <w:sz w:val="20"/>
                <w:szCs w:val="20"/>
                <w:color w:val="auto"/>
              </w:rPr>
            </w:pPr>
            <w:r>
              <w:rPr>
                <w:rFonts w:ascii="Arial" w:cs="Arial" w:eastAsia="Arial" w:hAnsi="Arial"/>
                <w:sz w:val="14"/>
                <w:szCs w:val="14"/>
                <w:color w:val="auto"/>
              </w:rPr>
              <w:t>Violations</w:t>
            </w:r>
          </w:p>
        </w:tc>
        <w:tc>
          <w:tcPr>
            <w:tcW w:w="860" w:type="dxa"/>
            <w:vAlign w:val="bottom"/>
          </w:tcPr>
          <w:p>
            <w:pPr>
              <w:jc w:val="center"/>
              <w:spacing w:after="0"/>
              <w:rPr>
                <w:sz w:val="20"/>
                <w:szCs w:val="20"/>
                <w:color w:val="auto"/>
              </w:rPr>
            </w:pPr>
            <w:r>
              <w:rPr>
                <w:rFonts w:ascii="Arial" w:cs="Arial" w:eastAsia="Arial" w:hAnsi="Arial"/>
                <w:sz w:val="14"/>
                <w:szCs w:val="14"/>
                <w:color w:val="auto"/>
              </w:rPr>
              <w:t>Pattern</w:t>
            </w:r>
          </w:p>
        </w:tc>
        <w:tc>
          <w:tcPr>
            <w:tcW w:w="860" w:type="dxa"/>
            <w:vAlign w:val="bottom"/>
          </w:tcPr>
          <w:p>
            <w:pPr>
              <w:jc w:val="center"/>
              <w:spacing w:after="0"/>
              <w:rPr>
                <w:sz w:val="20"/>
                <w:szCs w:val="20"/>
                <w:color w:val="auto"/>
              </w:rPr>
            </w:pPr>
            <w:r>
              <w:rPr>
                <w:rFonts w:ascii="Arial" w:cs="Arial" w:eastAsia="Arial" w:hAnsi="Arial"/>
                <w:sz w:val="14"/>
                <w:szCs w:val="14"/>
                <w:color w:val="auto"/>
              </w:rPr>
              <w:t>Legal</w:t>
            </w:r>
          </w:p>
        </w:tc>
        <w:tc>
          <w:tcPr>
            <w:tcW w:w="620" w:type="dxa"/>
            <w:vAlign w:val="bottom"/>
          </w:tcPr>
          <w:p>
            <w:pPr>
              <w:jc w:val="center"/>
              <w:spacing w:after="0"/>
              <w:rPr>
                <w:sz w:val="20"/>
                <w:szCs w:val="20"/>
                <w:color w:val="auto"/>
              </w:rPr>
            </w:pPr>
            <w:r>
              <w:rPr>
                <w:rFonts w:ascii="Arial" w:cs="Arial" w:eastAsia="Arial" w:hAnsi="Arial"/>
                <w:sz w:val="14"/>
                <w:szCs w:val="14"/>
                <w:color w:val="auto"/>
                <w:w w:val="99"/>
              </w:rPr>
              <w:t>Legal</w:t>
            </w:r>
          </w:p>
        </w:tc>
        <w:tc>
          <w:tcPr>
            <w:tcW w:w="740" w:type="dxa"/>
            <w:vAlign w:val="bottom"/>
          </w:tcPr>
          <w:p>
            <w:pPr>
              <w:jc w:val="center"/>
              <w:spacing w:after="0"/>
              <w:rPr>
                <w:sz w:val="20"/>
                <w:szCs w:val="20"/>
                <w:color w:val="auto"/>
              </w:rPr>
            </w:pPr>
            <w:r>
              <w:rPr>
                <w:rFonts w:ascii="Arial" w:cs="Arial" w:eastAsia="Arial" w:hAnsi="Arial"/>
                <w:sz w:val="14"/>
                <w:szCs w:val="14"/>
                <w:color w:val="auto"/>
              </w:rPr>
              <w:t>Legal</w:t>
            </w:r>
          </w:p>
        </w:tc>
        <w:tc>
          <w:tcPr>
            <w:tcW w:w="0" w:type="dxa"/>
            <w:vAlign w:val="bottom"/>
          </w:tcPr>
          <w:p>
            <w:pPr>
              <w:spacing w:after="0"/>
              <w:rPr>
                <w:sz w:val="1"/>
                <w:szCs w:val="1"/>
                <w:color w:val="auto"/>
              </w:rPr>
            </w:pPr>
          </w:p>
        </w:tc>
      </w:tr>
      <w:tr>
        <w:trPr>
          <w:trHeight w:val="162"/>
        </w:trPr>
        <w:tc>
          <w:tcPr>
            <w:tcW w:w="2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104(d)</w:t>
            </w: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Total Dollar</w:t>
            </w:r>
          </w:p>
        </w:tc>
        <w:tc>
          <w:tcPr>
            <w:tcW w:w="740" w:type="dxa"/>
            <w:vAlign w:val="bottom"/>
          </w:tcPr>
          <w:p>
            <w:pPr>
              <w:jc w:val="center"/>
              <w:spacing w:after="0"/>
              <w:rPr>
                <w:sz w:val="20"/>
                <w:szCs w:val="20"/>
                <w:color w:val="auto"/>
              </w:rPr>
            </w:pPr>
            <w:r>
              <w:rPr>
                <w:rFonts w:ascii="Arial" w:cs="Arial" w:eastAsia="Arial" w:hAnsi="Arial"/>
                <w:sz w:val="14"/>
                <w:szCs w:val="14"/>
                <w:color w:val="auto"/>
              </w:rPr>
              <w:t>Number</w:t>
            </w:r>
          </w:p>
        </w:tc>
        <w:tc>
          <w:tcPr>
            <w:tcW w:w="780" w:type="dxa"/>
            <w:vAlign w:val="bottom"/>
          </w:tcPr>
          <w:p>
            <w:pPr>
              <w:jc w:val="center"/>
              <w:spacing w:after="0"/>
              <w:rPr>
                <w:sz w:val="20"/>
                <w:szCs w:val="20"/>
                <w:color w:val="auto"/>
              </w:rPr>
            </w:pPr>
            <w:r>
              <w:rPr>
                <w:rFonts w:ascii="Arial" w:cs="Arial" w:eastAsia="Arial" w:hAnsi="Arial"/>
                <w:sz w:val="14"/>
                <w:szCs w:val="14"/>
                <w:color w:val="auto"/>
              </w:rPr>
              <w:t>Under</w:t>
            </w:r>
          </w:p>
        </w:tc>
        <w:tc>
          <w:tcPr>
            <w:tcW w:w="860" w:type="dxa"/>
            <w:vAlign w:val="bottom"/>
          </w:tcPr>
          <w:p>
            <w:pPr>
              <w:jc w:val="center"/>
              <w:spacing w:after="0"/>
              <w:rPr>
                <w:sz w:val="20"/>
                <w:szCs w:val="20"/>
                <w:color w:val="auto"/>
              </w:rPr>
            </w:pPr>
            <w:r>
              <w:rPr>
                <w:rFonts w:ascii="Arial" w:cs="Arial" w:eastAsia="Arial" w:hAnsi="Arial"/>
                <w:sz w:val="14"/>
                <w:szCs w:val="14"/>
                <w:color w:val="auto"/>
              </w:rPr>
              <w:t>Under</w:t>
            </w:r>
          </w:p>
        </w:tc>
        <w:tc>
          <w:tcPr>
            <w:tcW w:w="860" w:type="dxa"/>
            <w:vAlign w:val="bottom"/>
          </w:tcPr>
          <w:p>
            <w:pPr>
              <w:jc w:val="center"/>
              <w:spacing w:after="0"/>
              <w:rPr>
                <w:sz w:val="20"/>
                <w:szCs w:val="20"/>
                <w:color w:val="auto"/>
              </w:rPr>
            </w:pPr>
            <w:r>
              <w:rPr>
                <w:rFonts w:ascii="Arial" w:cs="Arial" w:eastAsia="Arial" w:hAnsi="Arial"/>
                <w:sz w:val="14"/>
                <w:szCs w:val="14"/>
                <w:color w:val="auto"/>
              </w:rPr>
              <w:t>Actions</w:t>
            </w:r>
          </w:p>
        </w:tc>
        <w:tc>
          <w:tcPr>
            <w:tcW w:w="620" w:type="dxa"/>
            <w:vAlign w:val="bottom"/>
          </w:tcPr>
          <w:p>
            <w:pPr>
              <w:jc w:val="center"/>
              <w:spacing w:after="0"/>
              <w:rPr>
                <w:sz w:val="20"/>
                <w:szCs w:val="20"/>
                <w:color w:val="auto"/>
              </w:rPr>
            </w:pPr>
            <w:r>
              <w:rPr>
                <w:rFonts w:ascii="Arial" w:cs="Arial" w:eastAsia="Arial" w:hAnsi="Arial"/>
                <w:sz w:val="14"/>
                <w:szCs w:val="14"/>
                <w:color w:val="auto"/>
              </w:rPr>
              <w:t>Actions</w:t>
            </w:r>
          </w:p>
        </w:tc>
        <w:tc>
          <w:tcPr>
            <w:tcW w:w="740" w:type="dxa"/>
            <w:vAlign w:val="bottom"/>
          </w:tcPr>
          <w:p>
            <w:pPr>
              <w:jc w:val="center"/>
              <w:spacing w:after="0"/>
              <w:rPr>
                <w:sz w:val="20"/>
                <w:szCs w:val="20"/>
                <w:color w:val="auto"/>
              </w:rPr>
            </w:pPr>
            <w:r>
              <w:rPr>
                <w:rFonts w:ascii="Arial" w:cs="Arial" w:eastAsia="Arial" w:hAnsi="Arial"/>
                <w:sz w:val="14"/>
                <w:szCs w:val="14"/>
                <w:color w:val="auto"/>
              </w:rPr>
              <w:t>Actions</w:t>
            </w:r>
          </w:p>
        </w:tc>
        <w:tc>
          <w:tcPr>
            <w:tcW w:w="0" w:type="dxa"/>
            <w:vAlign w:val="bottom"/>
          </w:tcPr>
          <w:p>
            <w:pPr>
              <w:spacing w:after="0"/>
              <w:rPr>
                <w:sz w:val="1"/>
                <w:szCs w:val="1"/>
                <w:color w:val="auto"/>
              </w:rPr>
            </w:pPr>
          </w:p>
        </w:tc>
      </w:tr>
      <w:tr>
        <w:trPr>
          <w:trHeight w:val="162"/>
        </w:trPr>
        <w:tc>
          <w:tcPr>
            <w:tcW w:w="2000" w:type="dxa"/>
            <w:vAlign w:val="bottom"/>
          </w:tcPr>
          <w:p>
            <w:pPr>
              <w:spacing w:after="0"/>
              <w:rPr>
                <w:sz w:val="14"/>
                <w:szCs w:val="14"/>
                <w:color w:val="auto"/>
              </w:rPr>
            </w:pPr>
          </w:p>
        </w:tc>
        <w:tc>
          <w:tcPr>
            <w:tcW w:w="800" w:type="dxa"/>
            <w:vAlign w:val="bottom"/>
          </w:tcPr>
          <w:p>
            <w:pPr>
              <w:jc w:val="center"/>
              <w:ind w:left="8"/>
              <w:spacing w:after="0"/>
              <w:rPr>
                <w:sz w:val="20"/>
                <w:szCs w:val="20"/>
                <w:color w:val="auto"/>
              </w:rPr>
            </w:pPr>
            <w:r>
              <w:rPr>
                <w:rFonts w:ascii="Arial" w:cs="Arial" w:eastAsia="Arial" w:hAnsi="Arial"/>
                <w:sz w:val="14"/>
                <w:szCs w:val="14"/>
                <w:color w:val="auto"/>
              </w:rPr>
              <w:t>Section</w:t>
            </w:r>
          </w:p>
        </w:tc>
        <w:tc>
          <w:tcPr>
            <w:tcW w:w="660" w:type="dxa"/>
            <w:vAlign w:val="bottom"/>
          </w:tcPr>
          <w:p>
            <w:pPr>
              <w:ind w:left="100"/>
              <w:spacing w:after="0"/>
              <w:rPr>
                <w:sz w:val="20"/>
                <w:szCs w:val="20"/>
                <w:color w:val="auto"/>
              </w:rPr>
            </w:pPr>
            <w:r>
              <w:rPr>
                <w:rFonts w:ascii="Arial" w:cs="Arial" w:eastAsia="Arial" w:hAnsi="Arial"/>
                <w:sz w:val="14"/>
                <w:szCs w:val="14"/>
                <w:color w:val="auto"/>
              </w:rPr>
              <w:t>Section</w:t>
            </w:r>
          </w:p>
        </w:tc>
        <w:tc>
          <w:tcPr>
            <w:tcW w:w="720" w:type="dxa"/>
            <w:vAlign w:val="bottom"/>
          </w:tcPr>
          <w:p>
            <w:pPr>
              <w:jc w:val="center"/>
              <w:spacing w:after="0"/>
              <w:rPr>
                <w:sz w:val="20"/>
                <w:szCs w:val="20"/>
                <w:color w:val="auto"/>
              </w:rPr>
            </w:pPr>
            <w:r>
              <w:rPr>
                <w:rFonts w:ascii="Arial" w:cs="Arial" w:eastAsia="Arial" w:hAnsi="Arial"/>
                <w:sz w:val="14"/>
                <w:szCs w:val="14"/>
                <w:color w:val="auto"/>
              </w:rPr>
              <w:t>Citations</w:t>
            </w:r>
          </w:p>
        </w:tc>
        <w:tc>
          <w:tcPr>
            <w:tcW w:w="760" w:type="dxa"/>
            <w:vAlign w:val="bottom"/>
          </w:tcPr>
          <w:p>
            <w:pPr>
              <w:jc w:val="center"/>
              <w:spacing w:after="0"/>
              <w:rPr>
                <w:sz w:val="20"/>
                <w:szCs w:val="20"/>
                <w:color w:val="auto"/>
              </w:rPr>
            </w:pPr>
            <w:r>
              <w:rPr>
                <w:rFonts w:ascii="Arial" w:cs="Arial" w:eastAsia="Arial" w:hAnsi="Arial"/>
                <w:sz w:val="14"/>
                <w:szCs w:val="14"/>
                <w:color w:val="auto"/>
              </w:rPr>
              <w:t>Section</w:t>
            </w:r>
          </w:p>
        </w:tc>
        <w:tc>
          <w:tcPr>
            <w:tcW w:w="640" w:type="dxa"/>
            <w:vAlign w:val="bottom"/>
          </w:tcPr>
          <w:p>
            <w:pPr>
              <w:ind w:left="80"/>
              <w:spacing w:after="0"/>
              <w:rPr>
                <w:sz w:val="20"/>
                <w:szCs w:val="20"/>
                <w:color w:val="auto"/>
              </w:rPr>
            </w:pPr>
            <w:r>
              <w:rPr>
                <w:rFonts w:ascii="Arial" w:cs="Arial" w:eastAsia="Arial" w:hAnsi="Arial"/>
                <w:sz w:val="14"/>
                <w:szCs w:val="14"/>
                <w:color w:val="auto"/>
              </w:rPr>
              <w:t>Section</w:t>
            </w:r>
          </w:p>
        </w:tc>
        <w:tc>
          <w:tcPr>
            <w:tcW w:w="1140" w:type="dxa"/>
            <w:vAlign w:val="bottom"/>
          </w:tcPr>
          <w:p>
            <w:pPr>
              <w:jc w:val="center"/>
              <w:spacing w:after="0"/>
              <w:rPr>
                <w:sz w:val="20"/>
                <w:szCs w:val="20"/>
                <w:color w:val="auto"/>
              </w:rPr>
            </w:pPr>
            <w:r>
              <w:rPr>
                <w:rFonts w:ascii="Arial" w:cs="Arial" w:eastAsia="Arial" w:hAnsi="Arial"/>
                <w:sz w:val="14"/>
                <w:szCs w:val="14"/>
                <w:color w:val="auto"/>
              </w:rPr>
              <w:t>Value of MSHA</w:t>
            </w:r>
          </w:p>
        </w:tc>
        <w:tc>
          <w:tcPr>
            <w:tcW w:w="740" w:type="dxa"/>
            <w:vAlign w:val="bottom"/>
          </w:tcPr>
          <w:p>
            <w:pPr>
              <w:jc w:val="center"/>
              <w:spacing w:after="0"/>
              <w:rPr>
                <w:sz w:val="20"/>
                <w:szCs w:val="20"/>
                <w:color w:val="auto"/>
              </w:rPr>
            </w:pPr>
            <w:r>
              <w:rPr>
                <w:rFonts w:ascii="Arial" w:cs="Arial" w:eastAsia="Arial" w:hAnsi="Arial"/>
                <w:sz w:val="14"/>
                <w:szCs w:val="14"/>
                <w:color w:val="auto"/>
              </w:rPr>
              <w:t>of Mining</w:t>
            </w:r>
          </w:p>
        </w:tc>
        <w:tc>
          <w:tcPr>
            <w:tcW w:w="780" w:type="dxa"/>
            <w:vAlign w:val="bottom"/>
          </w:tcPr>
          <w:p>
            <w:pPr>
              <w:jc w:val="center"/>
              <w:spacing w:after="0"/>
              <w:rPr>
                <w:sz w:val="20"/>
                <w:szCs w:val="20"/>
                <w:color w:val="auto"/>
              </w:rPr>
            </w:pPr>
            <w:r>
              <w:rPr>
                <w:rFonts w:ascii="Arial" w:cs="Arial" w:eastAsia="Arial" w:hAnsi="Arial"/>
                <w:sz w:val="14"/>
                <w:szCs w:val="14"/>
                <w:color w:val="auto"/>
              </w:rPr>
              <w:t>Section</w:t>
            </w:r>
          </w:p>
        </w:tc>
        <w:tc>
          <w:tcPr>
            <w:tcW w:w="860" w:type="dxa"/>
            <w:vAlign w:val="bottom"/>
          </w:tcPr>
          <w:p>
            <w:pPr>
              <w:jc w:val="center"/>
              <w:spacing w:after="0"/>
              <w:rPr>
                <w:sz w:val="20"/>
                <w:szCs w:val="20"/>
                <w:color w:val="auto"/>
              </w:rPr>
            </w:pPr>
            <w:r>
              <w:rPr>
                <w:rFonts w:ascii="Arial" w:cs="Arial" w:eastAsia="Arial" w:hAnsi="Arial"/>
                <w:sz w:val="14"/>
                <w:szCs w:val="14"/>
                <w:color w:val="auto"/>
              </w:rPr>
              <w:t>Section</w:t>
            </w:r>
          </w:p>
        </w:tc>
        <w:tc>
          <w:tcPr>
            <w:tcW w:w="860" w:type="dxa"/>
            <w:vAlign w:val="bottom"/>
          </w:tcPr>
          <w:p>
            <w:pPr>
              <w:jc w:val="center"/>
              <w:spacing w:after="0"/>
              <w:rPr>
                <w:sz w:val="20"/>
                <w:szCs w:val="20"/>
                <w:color w:val="auto"/>
              </w:rPr>
            </w:pPr>
            <w:r>
              <w:rPr>
                <w:rFonts w:ascii="Arial" w:cs="Arial" w:eastAsia="Arial" w:hAnsi="Arial"/>
                <w:sz w:val="14"/>
                <w:szCs w:val="14"/>
                <w:color w:val="auto"/>
              </w:rPr>
              <w:t>Pending as</w:t>
            </w:r>
          </w:p>
        </w:tc>
        <w:tc>
          <w:tcPr>
            <w:tcW w:w="620" w:type="dxa"/>
            <w:vAlign w:val="bottom"/>
          </w:tcPr>
          <w:p>
            <w:pPr>
              <w:jc w:val="center"/>
              <w:spacing w:after="0"/>
              <w:rPr>
                <w:sz w:val="20"/>
                <w:szCs w:val="20"/>
                <w:color w:val="auto"/>
              </w:rPr>
            </w:pPr>
            <w:r>
              <w:rPr>
                <w:rFonts w:ascii="Arial" w:cs="Arial" w:eastAsia="Arial" w:hAnsi="Arial"/>
                <w:sz w:val="14"/>
                <w:szCs w:val="14"/>
                <w:color w:val="auto"/>
              </w:rPr>
              <w:t>Initiated</w:t>
            </w:r>
          </w:p>
        </w:tc>
        <w:tc>
          <w:tcPr>
            <w:tcW w:w="740" w:type="dxa"/>
            <w:vAlign w:val="bottom"/>
          </w:tcPr>
          <w:p>
            <w:pPr>
              <w:jc w:val="center"/>
              <w:spacing w:after="0"/>
              <w:rPr>
                <w:sz w:val="20"/>
                <w:szCs w:val="20"/>
                <w:color w:val="auto"/>
              </w:rPr>
            </w:pPr>
            <w:r>
              <w:rPr>
                <w:rFonts w:ascii="Arial" w:cs="Arial" w:eastAsia="Arial" w:hAnsi="Arial"/>
                <w:sz w:val="14"/>
                <w:szCs w:val="14"/>
                <w:color w:val="auto"/>
              </w:rPr>
              <w:t>Resolved</w:t>
            </w:r>
          </w:p>
        </w:tc>
        <w:tc>
          <w:tcPr>
            <w:tcW w:w="0" w:type="dxa"/>
            <w:vAlign w:val="bottom"/>
          </w:tcPr>
          <w:p>
            <w:pPr>
              <w:spacing w:after="0"/>
              <w:rPr>
                <w:sz w:val="1"/>
                <w:szCs w:val="1"/>
                <w:color w:val="auto"/>
              </w:rPr>
            </w:pPr>
          </w:p>
        </w:tc>
      </w:tr>
      <w:tr>
        <w:trPr>
          <w:trHeight w:val="157"/>
        </w:trPr>
        <w:tc>
          <w:tcPr>
            <w:tcW w:w="2000" w:type="dxa"/>
            <w:vAlign w:val="bottom"/>
          </w:tcPr>
          <w:p>
            <w:pPr>
              <w:spacing w:after="0" w:line="157" w:lineRule="exact"/>
              <w:rPr>
                <w:sz w:val="20"/>
                <w:szCs w:val="20"/>
                <w:color w:val="auto"/>
              </w:rPr>
            </w:pPr>
            <w:r>
              <w:rPr>
                <w:rFonts w:ascii="Arial" w:cs="Arial" w:eastAsia="Arial" w:hAnsi="Arial"/>
                <w:sz w:val="14"/>
                <w:szCs w:val="14"/>
                <w:color w:val="auto"/>
              </w:rPr>
              <w:t>Mine or Operating Name/</w:t>
            </w:r>
          </w:p>
        </w:tc>
        <w:tc>
          <w:tcPr>
            <w:tcW w:w="800" w:type="dxa"/>
            <w:vAlign w:val="bottom"/>
          </w:tcPr>
          <w:p>
            <w:pPr>
              <w:jc w:val="center"/>
              <w:ind w:left="8"/>
              <w:spacing w:after="0" w:line="157" w:lineRule="exact"/>
              <w:rPr>
                <w:sz w:val="20"/>
                <w:szCs w:val="20"/>
                <w:color w:val="auto"/>
              </w:rPr>
            </w:pPr>
            <w:r>
              <w:rPr>
                <w:rFonts w:ascii="Arial" w:cs="Arial" w:eastAsia="Arial" w:hAnsi="Arial"/>
                <w:sz w:val="14"/>
                <w:szCs w:val="14"/>
                <w:color w:val="auto"/>
              </w:rPr>
              <w:t>104 S&amp;S</w:t>
            </w:r>
          </w:p>
        </w:tc>
        <w:tc>
          <w:tcPr>
            <w:tcW w:w="660" w:type="dxa"/>
            <w:vAlign w:val="bottom"/>
          </w:tcPr>
          <w:p>
            <w:pPr>
              <w:jc w:val="center"/>
              <w:spacing w:after="0" w:line="157" w:lineRule="exact"/>
              <w:rPr>
                <w:sz w:val="20"/>
                <w:szCs w:val="20"/>
                <w:color w:val="auto"/>
              </w:rPr>
            </w:pPr>
            <w:r>
              <w:rPr>
                <w:rFonts w:ascii="Arial" w:cs="Arial" w:eastAsia="Arial" w:hAnsi="Arial"/>
                <w:sz w:val="14"/>
                <w:szCs w:val="14"/>
                <w:color w:val="auto"/>
              </w:rPr>
              <w:t>104(b)</w:t>
            </w:r>
          </w:p>
        </w:tc>
        <w:tc>
          <w:tcPr>
            <w:tcW w:w="720" w:type="dxa"/>
            <w:vAlign w:val="bottom"/>
          </w:tcPr>
          <w:p>
            <w:pPr>
              <w:jc w:val="center"/>
              <w:spacing w:after="0" w:line="157" w:lineRule="exact"/>
              <w:rPr>
                <w:sz w:val="20"/>
                <w:szCs w:val="20"/>
                <w:color w:val="auto"/>
              </w:rPr>
            </w:pPr>
            <w:r>
              <w:rPr>
                <w:rFonts w:ascii="Arial" w:cs="Arial" w:eastAsia="Arial" w:hAnsi="Arial"/>
                <w:sz w:val="14"/>
                <w:szCs w:val="14"/>
                <w:color w:val="auto"/>
              </w:rPr>
              <w:t>and</w:t>
            </w:r>
          </w:p>
        </w:tc>
        <w:tc>
          <w:tcPr>
            <w:tcW w:w="760" w:type="dxa"/>
            <w:vAlign w:val="bottom"/>
          </w:tcPr>
          <w:p>
            <w:pPr>
              <w:jc w:val="center"/>
              <w:spacing w:after="0" w:line="157" w:lineRule="exact"/>
              <w:rPr>
                <w:sz w:val="20"/>
                <w:szCs w:val="20"/>
                <w:color w:val="auto"/>
              </w:rPr>
            </w:pPr>
            <w:r>
              <w:rPr>
                <w:rFonts w:ascii="Arial" w:cs="Arial" w:eastAsia="Arial" w:hAnsi="Arial"/>
                <w:sz w:val="14"/>
                <w:szCs w:val="14"/>
                <w:color w:val="auto"/>
              </w:rPr>
              <w:t>110(b)(2)</w:t>
            </w:r>
          </w:p>
        </w:tc>
        <w:tc>
          <w:tcPr>
            <w:tcW w:w="640" w:type="dxa"/>
            <w:vAlign w:val="bottom"/>
          </w:tcPr>
          <w:p>
            <w:pPr>
              <w:jc w:val="center"/>
              <w:spacing w:after="0" w:line="157" w:lineRule="exact"/>
              <w:rPr>
                <w:sz w:val="20"/>
                <w:szCs w:val="20"/>
                <w:color w:val="auto"/>
              </w:rPr>
            </w:pPr>
            <w:r>
              <w:rPr>
                <w:rFonts w:ascii="Arial" w:cs="Arial" w:eastAsia="Arial" w:hAnsi="Arial"/>
                <w:sz w:val="14"/>
                <w:szCs w:val="14"/>
                <w:color w:val="auto"/>
                <w:w w:val="98"/>
              </w:rPr>
              <w:t>107(a)</w:t>
            </w: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rPr>
              <w:t>Assessments</w:t>
            </w:r>
          </w:p>
        </w:tc>
        <w:tc>
          <w:tcPr>
            <w:tcW w:w="740" w:type="dxa"/>
            <w:vAlign w:val="bottom"/>
          </w:tcPr>
          <w:p>
            <w:pPr>
              <w:jc w:val="center"/>
              <w:spacing w:after="0" w:line="157" w:lineRule="exact"/>
              <w:rPr>
                <w:sz w:val="20"/>
                <w:szCs w:val="20"/>
                <w:color w:val="auto"/>
              </w:rPr>
            </w:pPr>
            <w:r>
              <w:rPr>
                <w:rFonts w:ascii="Arial" w:cs="Arial" w:eastAsia="Arial" w:hAnsi="Arial"/>
                <w:sz w:val="14"/>
                <w:szCs w:val="14"/>
                <w:color w:val="auto"/>
              </w:rPr>
              <w:t>Related</w:t>
            </w:r>
          </w:p>
        </w:tc>
        <w:tc>
          <w:tcPr>
            <w:tcW w:w="780" w:type="dxa"/>
            <w:vAlign w:val="bottom"/>
          </w:tcPr>
          <w:p>
            <w:pPr>
              <w:jc w:val="center"/>
              <w:spacing w:after="0" w:line="157" w:lineRule="exact"/>
              <w:rPr>
                <w:sz w:val="20"/>
                <w:szCs w:val="20"/>
                <w:color w:val="auto"/>
              </w:rPr>
            </w:pPr>
            <w:r>
              <w:rPr>
                <w:rFonts w:ascii="Arial" w:cs="Arial" w:eastAsia="Arial" w:hAnsi="Arial"/>
                <w:sz w:val="14"/>
                <w:szCs w:val="14"/>
                <w:color w:val="auto"/>
                <w:w w:val="98"/>
              </w:rPr>
              <w:t>104(e)</w:t>
            </w:r>
          </w:p>
        </w:tc>
        <w:tc>
          <w:tcPr>
            <w:tcW w:w="860" w:type="dxa"/>
            <w:vAlign w:val="bottom"/>
          </w:tcPr>
          <w:p>
            <w:pPr>
              <w:jc w:val="center"/>
              <w:spacing w:after="0" w:line="157" w:lineRule="exact"/>
              <w:rPr>
                <w:sz w:val="20"/>
                <w:szCs w:val="20"/>
                <w:color w:val="auto"/>
              </w:rPr>
            </w:pPr>
            <w:r>
              <w:rPr>
                <w:rFonts w:ascii="Arial" w:cs="Arial" w:eastAsia="Arial" w:hAnsi="Arial"/>
                <w:sz w:val="14"/>
                <w:szCs w:val="14"/>
                <w:color w:val="auto"/>
                <w:w w:val="98"/>
              </w:rPr>
              <w:t>104(e)</w:t>
            </w:r>
          </w:p>
        </w:tc>
        <w:tc>
          <w:tcPr>
            <w:tcW w:w="860" w:type="dxa"/>
            <w:vAlign w:val="bottom"/>
          </w:tcPr>
          <w:p>
            <w:pPr>
              <w:jc w:val="center"/>
              <w:spacing w:after="0" w:line="157" w:lineRule="exact"/>
              <w:rPr>
                <w:sz w:val="20"/>
                <w:szCs w:val="20"/>
                <w:color w:val="auto"/>
              </w:rPr>
            </w:pPr>
            <w:r>
              <w:rPr>
                <w:rFonts w:ascii="Arial" w:cs="Arial" w:eastAsia="Arial" w:hAnsi="Arial"/>
                <w:sz w:val="14"/>
                <w:szCs w:val="14"/>
                <w:color w:val="auto"/>
              </w:rPr>
              <w:t>of Last Day</w:t>
            </w:r>
          </w:p>
        </w:tc>
        <w:tc>
          <w:tcPr>
            <w:tcW w:w="620" w:type="dxa"/>
            <w:vAlign w:val="bottom"/>
          </w:tcPr>
          <w:p>
            <w:pPr>
              <w:jc w:val="center"/>
              <w:spacing w:after="0" w:line="157" w:lineRule="exact"/>
              <w:rPr>
                <w:sz w:val="20"/>
                <w:szCs w:val="20"/>
                <w:color w:val="auto"/>
              </w:rPr>
            </w:pPr>
            <w:r>
              <w:rPr>
                <w:rFonts w:ascii="Arial" w:cs="Arial" w:eastAsia="Arial" w:hAnsi="Arial"/>
                <w:sz w:val="14"/>
                <w:szCs w:val="14"/>
                <w:color w:val="auto"/>
              </w:rPr>
              <w:t>During</w:t>
            </w:r>
          </w:p>
        </w:tc>
        <w:tc>
          <w:tcPr>
            <w:tcW w:w="740" w:type="dxa"/>
            <w:vAlign w:val="bottom"/>
          </w:tcPr>
          <w:p>
            <w:pPr>
              <w:jc w:val="center"/>
              <w:spacing w:after="0" w:line="157" w:lineRule="exact"/>
              <w:rPr>
                <w:sz w:val="20"/>
                <w:szCs w:val="20"/>
                <w:color w:val="auto"/>
              </w:rPr>
            </w:pPr>
            <w:r>
              <w:rPr>
                <w:rFonts w:ascii="Arial" w:cs="Arial" w:eastAsia="Arial" w:hAnsi="Arial"/>
                <w:sz w:val="14"/>
                <w:szCs w:val="14"/>
                <w:color w:val="auto"/>
              </w:rPr>
              <w:t>During</w:t>
            </w:r>
          </w:p>
        </w:tc>
        <w:tc>
          <w:tcPr>
            <w:tcW w:w="0" w:type="dxa"/>
            <w:vAlign w:val="bottom"/>
          </w:tcPr>
          <w:p>
            <w:pPr>
              <w:spacing w:after="0"/>
              <w:rPr>
                <w:sz w:val="1"/>
                <w:szCs w:val="1"/>
                <w:color w:val="auto"/>
              </w:rPr>
            </w:pPr>
          </w:p>
        </w:tc>
      </w:tr>
      <w:tr>
        <w:trPr>
          <w:trHeight w:val="177"/>
        </w:trPr>
        <w:tc>
          <w:tcPr>
            <w:tcW w:w="2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MSHA Identification Number</w:t>
            </w:r>
          </w:p>
        </w:tc>
        <w:tc>
          <w:tcPr>
            <w:tcW w:w="80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rPr>
              <w:t>Citations</w:t>
            </w:r>
          </w:p>
        </w:tc>
        <w:tc>
          <w:tcPr>
            <w:tcW w:w="6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Orders</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Orders</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Violations</w:t>
            </w: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Orders</w:t>
            </w:r>
          </w:p>
        </w:tc>
        <w:tc>
          <w:tcPr>
            <w:tcW w:w="1140" w:type="dxa"/>
            <w:vAlign w:val="bottom"/>
            <w:tcBorders>
              <w:bottom w:val="single" w:sz="8" w:color="auto"/>
            </w:tcBorders>
          </w:tcPr>
          <w:p>
            <w:pPr>
              <w:jc w:val="center"/>
              <w:spacing w:after="0" w:line="177" w:lineRule="exact"/>
              <w:rPr>
                <w:sz w:val="20"/>
                <w:szCs w:val="20"/>
                <w:color w:val="auto"/>
              </w:rPr>
            </w:pPr>
            <w:r>
              <w:rPr>
                <w:rFonts w:ascii="Arial" w:cs="Arial" w:eastAsia="Arial" w:hAnsi="Arial"/>
                <w:sz w:val="12"/>
                <w:szCs w:val="12"/>
                <w:color w:val="auto"/>
              </w:rPr>
              <w:t xml:space="preserve">Proposed </w:t>
            </w:r>
            <w:r>
              <w:rPr>
                <w:rFonts w:ascii="Arial" w:cs="Arial" w:eastAsia="Arial" w:hAnsi="Arial"/>
                <w:sz w:val="20"/>
                <w:szCs w:val="20"/>
                <w:color w:val="auto"/>
                <w:vertAlign w:val="superscript"/>
              </w:rPr>
              <w:t>(1)</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Fatalities</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(yes/no)</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(yes/no)</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of Period</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Period</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Period</w:t>
            </w:r>
          </w:p>
        </w:tc>
        <w:tc>
          <w:tcPr>
            <w:tcW w:w="0" w:type="dxa"/>
            <w:vAlign w:val="bottom"/>
          </w:tcPr>
          <w:p>
            <w:pPr>
              <w:spacing w:after="0"/>
              <w:rPr>
                <w:sz w:val="1"/>
                <w:szCs w:val="1"/>
                <w:color w:val="auto"/>
              </w:rPr>
            </w:pPr>
          </w:p>
        </w:tc>
      </w:tr>
      <w:tr>
        <w:trPr>
          <w:trHeight w:val="323"/>
        </w:trPr>
        <w:tc>
          <w:tcPr>
            <w:tcW w:w="2000" w:type="dxa"/>
            <w:vAlign w:val="bottom"/>
          </w:tcPr>
          <w:p>
            <w:pPr>
              <w:spacing w:after="0"/>
              <w:rPr>
                <w:sz w:val="20"/>
                <w:szCs w:val="20"/>
                <w:color w:val="auto"/>
              </w:rPr>
            </w:pPr>
            <w:r>
              <w:rPr>
                <w:rFonts w:ascii="Arial" w:cs="Arial" w:eastAsia="Arial" w:hAnsi="Arial"/>
                <w:sz w:val="14"/>
                <w:szCs w:val="14"/>
                <w:color w:val="auto"/>
              </w:rPr>
              <w:t>Amelia Barite Plant/1600825</w:t>
            </w:r>
          </w:p>
        </w:tc>
        <w:tc>
          <w:tcPr>
            <w:tcW w:w="800" w:type="dxa"/>
            <w:vAlign w:val="bottom"/>
          </w:tcPr>
          <w:p>
            <w:pPr>
              <w:jc w:val="center"/>
              <w:ind w:left="8"/>
              <w:spacing w:after="0"/>
              <w:rPr>
                <w:sz w:val="20"/>
                <w:szCs w:val="20"/>
                <w:color w:val="auto"/>
              </w:rPr>
            </w:pPr>
            <w:r>
              <w:rPr>
                <w:rFonts w:ascii="Arial" w:cs="Arial" w:eastAsia="Arial" w:hAnsi="Arial"/>
                <w:sz w:val="14"/>
                <w:szCs w:val="14"/>
                <w:color w:val="auto"/>
              </w:rPr>
              <w:t>1</w:t>
            </w:r>
          </w:p>
        </w:tc>
        <w:tc>
          <w:tcPr>
            <w:tcW w:w="660" w:type="dxa"/>
            <w:vAlign w:val="bottom"/>
          </w:tcPr>
          <w:p>
            <w:pPr>
              <w:jc w:val="center"/>
              <w:spacing w:after="0"/>
              <w:rPr>
                <w:sz w:val="20"/>
                <w:szCs w:val="20"/>
                <w:color w:val="auto"/>
              </w:rPr>
            </w:pPr>
            <w:r>
              <w:rPr>
                <w:rFonts w:ascii="Arial" w:cs="Arial" w:eastAsia="Arial" w:hAnsi="Arial"/>
                <w:sz w:val="14"/>
                <w:szCs w:val="14"/>
                <w:color w:val="auto"/>
              </w:rPr>
              <w:t>─</w:t>
            </w: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c>
          <w:tcPr>
            <w:tcW w:w="760" w:type="dxa"/>
            <w:vAlign w:val="bottom"/>
          </w:tcPr>
          <w:p>
            <w:pPr>
              <w:jc w:val="center"/>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1140" w:type="dxa"/>
            <w:vAlign w:val="bottom"/>
          </w:tcPr>
          <w:p>
            <w:pPr>
              <w:jc w:val="center"/>
              <w:spacing w:after="0"/>
              <w:rPr>
                <w:sz w:val="20"/>
                <w:szCs w:val="20"/>
                <w:color w:val="auto"/>
              </w:rPr>
            </w:pPr>
            <w:r>
              <w:rPr>
                <w:rFonts w:ascii="Arial" w:cs="Arial" w:eastAsia="Arial" w:hAnsi="Arial"/>
                <w:sz w:val="14"/>
                <w:szCs w:val="14"/>
                <w:color w:val="auto"/>
              </w:rPr>
              <w:t>$696</w:t>
            </w: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N</w:t>
            </w:r>
          </w:p>
        </w:tc>
        <w:tc>
          <w:tcPr>
            <w:tcW w:w="860" w:type="dxa"/>
            <w:vAlign w:val="bottom"/>
          </w:tcPr>
          <w:p>
            <w:pPr>
              <w:jc w:val="center"/>
              <w:spacing w:after="0"/>
              <w:rPr>
                <w:sz w:val="20"/>
                <w:szCs w:val="20"/>
                <w:color w:val="auto"/>
              </w:rPr>
            </w:pPr>
            <w:r>
              <w:rPr>
                <w:rFonts w:ascii="Arial" w:cs="Arial" w:eastAsia="Arial" w:hAnsi="Arial"/>
                <w:sz w:val="14"/>
                <w:szCs w:val="14"/>
                <w:color w:val="auto"/>
              </w:rPr>
              <w:t>N</w:t>
            </w: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c>
          <w:tcPr>
            <w:tcW w:w="620" w:type="dxa"/>
            <w:vAlign w:val="bottom"/>
          </w:tcPr>
          <w:p>
            <w:pPr>
              <w:jc w:val="center"/>
              <w:spacing w:after="0"/>
              <w:rPr>
                <w:sz w:val="20"/>
                <w:szCs w:val="20"/>
                <w:color w:val="auto"/>
              </w:rPr>
            </w:pPr>
            <w:r>
              <w:rPr>
                <w:rFonts w:ascii="Arial" w:cs="Arial" w:eastAsia="Arial" w:hAnsi="Arial"/>
                <w:sz w:val="14"/>
                <w:szCs w:val="14"/>
                <w:color w:val="auto"/>
              </w:rPr>
              <w:t>─</w:t>
            </w: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Arial" w:cs="Arial" w:eastAsia="Arial" w:hAnsi="Arial"/>
                <w:sz w:val="14"/>
                <w:szCs w:val="14"/>
                <w:color w:val="auto"/>
              </w:rPr>
              <w:t>Battle Mountain</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rPr>
              <w:t>N</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N</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9"/>
        </w:trPr>
        <w:tc>
          <w:tcPr>
            <w:tcW w:w="2000" w:type="dxa"/>
            <w:vAlign w:val="bottom"/>
            <w:vMerge w:val="restart"/>
          </w:tcPr>
          <w:p>
            <w:pPr>
              <w:spacing w:after="0"/>
              <w:rPr>
                <w:sz w:val="20"/>
                <w:szCs w:val="20"/>
                <w:color w:val="auto"/>
              </w:rPr>
            </w:pPr>
            <w:r>
              <w:rPr>
                <w:rFonts w:ascii="Arial" w:cs="Arial" w:eastAsia="Arial" w:hAnsi="Arial"/>
                <w:sz w:val="14"/>
                <w:szCs w:val="14"/>
                <w:color w:val="auto"/>
              </w:rPr>
              <w:t>Grinding Plant/2600828</w:t>
            </w:r>
          </w:p>
        </w:tc>
        <w:tc>
          <w:tcPr>
            <w:tcW w:w="80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00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60" w:type="dxa"/>
            <w:vAlign w:val="bottom"/>
          </w:tcPr>
          <w:p>
            <w:pPr>
              <w:spacing w:after="0"/>
              <w:rPr>
                <w:sz w:val="7"/>
                <w:szCs w:val="7"/>
                <w:color w:val="auto"/>
              </w:rPr>
            </w:pPr>
          </w:p>
        </w:tc>
        <w:tc>
          <w:tcPr>
            <w:tcW w:w="86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Arial" w:cs="Arial" w:eastAsia="Arial" w:hAnsi="Arial"/>
                <w:sz w:val="14"/>
                <w:szCs w:val="14"/>
                <w:color w:val="auto"/>
              </w:rPr>
              <w:t>Greybull Milling</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rPr>
              <w:t>N</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N</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9"/>
        </w:trPr>
        <w:tc>
          <w:tcPr>
            <w:tcW w:w="2000" w:type="dxa"/>
            <w:vAlign w:val="bottom"/>
            <w:vMerge w:val="restart"/>
          </w:tcPr>
          <w:p>
            <w:pPr>
              <w:spacing w:after="0"/>
              <w:rPr>
                <w:sz w:val="20"/>
                <w:szCs w:val="20"/>
                <w:color w:val="auto"/>
              </w:rPr>
            </w:pPr>
            <w:r>
              <w:rPr>
                <w:rFonts w:ascii="Arial" w:cs="Arial" w:eastAsia="Arial" w:hAnsi="Arial"/>
                <w:sz w:val="14"/>
                <w:szCs w:val="14"/>
                <w:color w:val="auto"/>
              </w:rPr>
              <w:t>Operation/4800602</w:t>
            </w:r>
          </w:p>
        </w:tc>
        <w:tc>
          <w:tcPr>
            <w:tcW w:w="80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00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60" w:type="dxa"/>
            <w:vAlign w:val="bottom"/>
          </w:tcPr>
          <w:p>
            <w:pPr>
              <w:spacing w:after="0"/>
              <w:rPr>
                <w:sz w:val="7"/>
                <w:szCs w:val="7"/>
                <w:color w:val="auto"/>
              </w:rPr>
            </w:pPr>
          </w:p>
        </w:tc>
        <w:tc>
          <w:tcPr>
            <w:tcW w:w="86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Arial" w:cs="Arial" w:eastAsia="Arial" w:hAnsi="Arial"/>
                <w:sz w:val="14"/>
                <w:szCs w:val="14"/>
                <w:color w:val="auto"/>
              </w:rPr>
              <w:t>Greybull Mining</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rPr>
              <w:t>N</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N</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9"/>
        </w:trPr>
        <w:tc>
          <w:tcPr>
            <w:tcW w:w="2000" w:type="dxa"/>
            <w:vAlign w:val="bottom"/>
            <w:vMerge w:val="restart"/>
          </w:tcPr>
          <w:p>
            <w:pPr>
              <w:spacing w:after="0"/>
              <w:rPr>
                <w:sz w:val="20"/>
                <w:szCs w:val="20"/>
                <w:color w:val="auto"/>
              </w:rPr>
            </w:pPr>
            <w:r>
              <w:rPr>
                <w:rFonts w:ascii="Arial" w:cs="Arial" w:eastAsia="Arial" w:hAnsi="Arial"/>
                <w:sz w:val="14"/>
                <w:szCs w:val="14"/>
                <w:color w:val="auto"/>
              </w:rPr>
              <w:t>Operation/4800603</w:t>
            </w:r>
          </w:p>
        </w:tc>
        <w:tc>
          <w:tcPr>
            <w:tcW w:w="80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00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60" w:type="dxa"/>
            <w:vAlign w:val="bottom"/>
          </w:tcPr>
          <w:p>
            <w:pPr>
              <w:spacing w:after="0"/>
              <w:rPr>
                <w:sz w:val="7"/>
                <w:szCs w:val="7"/>
                <w:color w:val="auto"/>
              </w:rPr>
            </w:pPr>
          </w:p>
        </w:tc>
        <w:tc>
          <w:tcPr>
            <w:tcW w:w="86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2000" w:type="dxa"/>
            <w:vAlign w:val="bottom"/>
          </w:tcPr>
          <w:p>
            <w:pPr>
              <w:spacing w:after="0"/>
              <w:rPr>
                <w:sz w:val="20"/>
                <w:szCs w:val="20"/>
                <w:color w:val="auto"/>
              </w:rPr>
            </w:pPr>
            <w:r>
              <w:rPr>
                <w:rFonts w:ascii="Arial" w:cs="Arial" w:eastAsia="Arial" w:hAnsi="Arial"/>
                <w:sz w:val="14"/>
                <w:szCs w:val="14"/>
                <w:color w:val="auto"/>
              </w:rPr>
              <w:t>Greystone Mine/2600411</w:t>
            </w:r>
          </w:p>
        </w:tc>
        <w:tc>
          <w:tcPr>
            <w:tcW w:w="800" w:type="dxa"/>
            <w:vAlign w:val="bottom"/>
          </w:tcPr>
          <w:p>
            <w:pPr>
              <w:jc w:val="center"/>
              <w:spacing w:after="0"/>
              <w:rPr>
                <w:sz w:val="20"/>
                <w:szCs w:val="20"/>
                <w:color w:val="auto"/>
              </w:rPr>
            </w:pPr>
            <w:r>
              <w:rPr>
                <w:rFonts w:ascii="Arial" w:cs="Arial" w:eastAsia="Arial" w:hAnsi="Arial"/>
                <w:sz w:val="14"/>
                <w:szCs w:val="14"/>
                <w:color w:val="auto"/>
              </w:rPr>
              <w:t>─</w:t>
            </w:r>
          </w:p>
        </w:tc>
        <w:tc>
          <w:tcPr>
            <w:tcW w:w="660" w:type="dxa"/>
            <w:vAlign w:val="bottom"/>
          </w:tcPr>
          <w:p>
            <w:pPr>
              <w:jc w:val="center"/>
              <w:spacing w:after="0"/>
              <w:rPr>
                <w:sz w:val="20"/>
                <w:szCs w:val="20"/>
                <w:color w:val="auto"/>
              </w:rPr>
            </w:pPr>
            <w:r>
              <w:rPr>
                <w:rFonts w:ascii="Arial" w:cs="Arial" w:eastAsia="Arial" w:hAnsi="Arial"/>
                <w:sz w:val="14"/>
                <w:szCs w:val="14"/>
                <w:color w:val="auto"/>
              </w:rPr>
              <w:t>─</w:t>
            </w: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c>
          <w:tcPr>
            <w:tcW w:w="760" w:type="dxa"/>
            <w:vAlign w:val="bottom"/>
          </w:tcPr>
          <w:p>
            <w:pPr>
              <w:jc w:val="center"/>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1140" w:type="dxa"/>
            <w:vAlign w:val="bottom"/>
          </w:tcPr>
          <w:p>
            <w:pPr>
              <w:jc w:val="center"/>
              <w:spacing w:after="0"/>
              <w:rPr>
                <w:sz w:val="20"/>
                <w:szCs w:val="20"/>
                <w:color w:val="auto"/>
              </w:rPr>
            </w:pPr>
            <w:r>
              <w:rPr>
                <w:rFonts w:ascii="Arial" w:cs="Arial" w:eastAsia="Arial" w:hAnsi="Arial"/>
                <w:sz w:val="14"/>
                <w:szCs w:val="14"/>
                <w:color w:val="auto"/>
              </w:rPr>
              <w:t>─</w:t>
            </w: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N</w:t>
            </w:r>
          </w:p>
        </w:tc>
        <w:tc>
          <w:tcPr>
            <w:tcW w:w="860" w:type="dxa"/>
            <w:vAlign w:val="bottom"/>
          </w:tcPr>
          <w:p>
            <w:pPr>
              <w:jc w:val="center"/>
              <w:spacing w:after="0"/>
              <w:rPr>
                <w:sz w:val="20"/>
                <w:szCs w:val="20"/>
                <w:color w:val="auto"/>
              </w:rPr>
            </w:pPr>
            <w:r>
              <w:rPr>
                <w:rFonts w:ascii="Arial" w:cs="Arial" w:eastAsia="Arial" w:hAnsi="Arial"/>
                <w:sz w:val="14"/>
                <w:szCs w:val="14"/>
                <w:color w:val="auto"/>
              </w:rPr>
              <w:t>N</w:t>
            </w: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c>
          <w:tcPr>
            <w:tcW w:w="620" w:type="dxa"/>
            <w:vAlign w:val="bottom"/>
          </w:tcPr>
          <w:p>
            <w:pPr>
              <w:jc w:val="center"/>
              <w:spacing w:after="0"/>
              <w:rPr>
                <w:sz w:val="20"/>
                <w:szCs w:val="20"/>
                <w:color w:val="auto"/>
              </w:rPr>
            </w:pPr>
            <w:r>
              <w:rPr>
                <w:rFonts w:ascii="Arial" w:cs="Arial" w:eastAsia="Arial" w:hAnsi="Arial"/>
                <w:sz w:val="14"/>
                <w:szCs w:val="14"/>
                <w:color w:val="auto"/>
              </w:rPr>
              <w:t>─</w:t>
            </w: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Arial" w:cs="Arial" w:eastAsia="Arial" w:hAnsi="Arial"/>
                <w:sz w:val="14"/>
                <w:szCs w:val="14"/>
                <w:color w:val="auto"/>
              </w:rPr>
              <w:t>Mountain Springs</w:t>
            </w:r>
          </w:p>
        </w:tc>
        <w:tc>
          <w:tcPr>
            <w:tcW w:w="800" w:type="dxa"/>
            <w:vAlign w:val="bottom"/>
            <w:vMerge w:val="restart"/>
          </w:tcPr>
          <w:p>
            <w:pPr>
              <w:jc w:val="center"/>
              <w:ind w:left="8"/>
              <w:spacing w:after="0"/>
              <w:rPr>
                <w:sz w:val="20"/>
                <w:szCs w:val="20"/>
                <w:color w:val="auto"/>
              </w:rPr>
            </w:pPr>
            <w:r>
              <w:rPr>
                <w:rFonts w:ascii="Arial" w:cs="Arial" w:eastAsia="Arial" w:hAnsi="Arial"/>
                <w:sz w:val="14"/>
                <w:szCs w:val="14"/>
                <w:color w:val="auto"/>
              </w:rPr>
              <w:t>1</w:t>
            </w:r>
          </w:p>
        </w:tc>
        <w:tc>
          <w:tcPr>
            <w:tcW w:w="66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$1,737</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rPr>
              <w:t>N</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N</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9"/>
        </w:trPr>
        <w:tc>
          <w:tcPr>
            <w:tcW w:w="2000" w:type="dxa"/>
            <w:vAlign w:val="bottom"/>
            <w:vMerge w:val="restart"/>
          </w:tcPr>
          <w:p>
            <w:pPr>
              <w:spacing w:after="0"/>
              <w:rPr>
                <w:sz w:val="20"/>
                <w:szCs w:val="20"/>
                <w:color w:val="auto"/>
              </w:rPr>
            </w:pPr>
            <w:r>
              <w:rPr>
                <w:rFonts w:ascii="Arial" w:cs="Arial" w:eastAsia="Arial" w:hAnsi="Arial"/>
                <w:sz w:val="14"/>
                <w:szCs w:val="14"/>
                <w:color w:val="auto"/>
              </w:rPr>
              <w:t>Beneficiation Plant/2601390</w:t>
            </w:r>
          </w:p>
        </w:tc>
        <w:tc>
          <w:tcPr>
            <w:tcW w:w="80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00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60" w:type="dxa"/>
            <w:vAlign w:val="bottom"/>
          </w:tcPr>
          <w:p>
            <w:pPr>
              <w:spacing w:after="0"/>
              <w:rPr>
                <w:sz w:val="7"/>
                <w:szCs w:val="7"/>
                <w:color w:val="auto"/>
              </w:rPr>
            </w:pPr>
          </w:p>
        </w:tc>
        <w:tc>
          <w:tcPr>
            <w:tcW w:w="86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ind w:left="460" w:right="100" w:hanging="371"/>
        <w:spacing w:after="0" w:line="213" w:lineRule="auto"/>
        <w:tabs>
          <w:tab w:leader="none" w:pos="460" w:val="left"/>
        </w:tabs>
        <w:numPr>
          <w:ilvl w:val="0"/>
          <w:numId w:val="28"/>
        </w:numPr>
        <w:rPr>
          <w:rFonts w:ascii="Arial" w:cs="Arial" w:eastAsia="Arial" w:hAnsi="Arial"/>
          <w:sz w:val="24"/>
          <w:szCs w:val="24"/>
          <w:color w:val="auto"/>
          <w:vertAlign w:val="superscript"/>
        </w:rPr>
      </w:pPr>
      <w:r>
        <w:rPr>
          <w:rFonts w:ascii="Arial" w:cs="Arial" w:eastAsia="Arial" w:hAnsi="Arial"/>
          <w:sz w:val="14"/>
          <w:szCs w:val="14"/>
          <w:color w:val="auto"/>
        </w:rPr>
        <w:t>Amounts included are the total dollar value of proposed assessments received from MSHA on or before September 30, 2022, regardless of whether the assessment has been challenged or appealed, for citations and orders occurring during the quarter ended September 30, 2022. Citations and orders can be contested and appealed, and as part of that process, are sometimes reduced in severity and amount, and sometimes dismissed. The number of citations, orders, and proposed assessments vary by inspector and vary depending on the size and type of the operation.</w:t>
      </w:r>
    </w:p>
    <w:sectPr>
      <w:pgSz w:w="11900" w:h="16838" w:orient="portrait"/>
      <w:cols w:equalWidth="0" w:num="1">
        <w:col w:w="11320"/>
      </w:cols>
      <w:pgMar w:left="320" w:top="55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2"/>
    </w:lvl>
  </w:abstractNum>
  <w:abstractNum w:abstractNumId="5">
    <w:nsid w:val="25E45D32"/>
    <w:multiLevelType w:val="hybridMultilevel"/>
    <w:lvl w:ilvl="0">
      <w:lvlJc w:val="left"/>
      <w:lvlText w:val="%1."/>
      <w:numFmt w:val="decimal"/>
      <w:start w:val="3"/>
    </w:lvl>
  </w:abstractNum>
  <w:abstractNum w:abstractNumId="6">
    <w:nsid w:val="519B500D"/>
    <w:multiLevelType w:val="hybridMultilevel"/>
    <w:lvl w:ilvl="0">
      <w:lvlJc w:val="left"/>
      <w:lvlText w:val="%1."/>
      <w:numFmt w:val="decimal"/>
      <w:start w:val="4"/>
    </w:lvl>
  </w:abstractNum>
  <w:abstractNum w:abstractNumId="7">
    <w:nsid w:val="431BD7B7"/>
    <w:multiLevelType w:val="hybridMultilevel"/>
    <w:lvl w:ilvl="0">
      <w:lvlJc w:val="left"/>
      <w:lvlText w:val="%1."/>
      <w:numFmt w:val="decimal"/>
      <w:start w:val="6"/>
    </w:lvl>
  </w:abstractNum>
  <w:abstractNum w:abstractNumId="8">
    <w:nsid w:val="3F2DBA31"/>
    <w:multiLevelType w:val="hybridMultilevel"/>
    <w:lvl w:ilvl="0">
      <w:lvlJc w:val="left"/>
      <w:lvlText w:val="%1."/>
      <w:numFmt w:val="decimal"/>
      <w:start w:val="7"/>
    </w:lvl>
  </w:abstractNum>
  <w:abstractNum w:abstractNumId="9">
    <w:nsid w:val="7C83E458"/>
    <w:multiLevelType w:val="hybridMultilevel"/>
    <w:lvl w:ilvl="0">
      <w:lvlJc w:val="left"/>
      <w:lvlText w:val="%1."/>
      <w:numFmt w:val="decimal"/>
      <w:start w:val="8"/>
    </w:lvl>
  </w:abstractNum>
  <w:abstractNum w:abstractNumId="10">
    <w:nsid w:val="257130A3"/>
    <w:multiLevelType w:val="hybridMultilevel"/>
    <w:lvl w:ilvl="0">
      <w:lvlJc w:val="left"/>
      <w:lvlText w:val="%1."/>
      <w:numFmt w:val="decimal"/>
      <w:start w:val="9"/>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3"/>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lvl w:ilvl="1">
      <w:lvlJc w:val="left"/>
      <w:lvlText w:val="(+)"/>
      <w:numFmt w:val="bullet"/>
      <w:start w:val="1"/>
    </w:lvl>
  </w:abstractNum>
  <w:abstractNum w:abstractNumId="23">
    <w:nsid w:val="B03E0C6"/>
    <w:multiLevelType w:val="hybridMultilevel"/>
    <w:lvl w:ilvl="0">
      <w:lvlJc w:val="left"/>
      <w:lvlText w:val="%1."/>
      <w:numFmt w:val="decimal"/>
      <w:start w:val="1"/>
    </w:lvl>
    <w:lvl w:ilvl="1">
      <w:lvlJc w:val="left"/>
      <w:lvlText w:val="%2)"/>
      <w:numFmt w:val="lowerLetter"/>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36" Type="http://schemas.openxmlformats.org/officeDocument/2006/relationships/hyperlink" Target="http://www.sec.gov/Archives/edgar/data/87347/000119312516532046/d176097dex31.htm" TargetMode="External"/><Relationship Id="rId37" Type="http://schemas.openxmlformats.org/officeDocument/2006/relationships/hyperlink" Target="http://www.sec.gov/Archives/edgar/data/87347/000119312519198989/d763655dex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2022-10-26T09:26:42Z</dcterms:created>
  <dcterms:modified xsi:type="dcterms:W3CDTF">2022-10-26T09:26:42Z</dcterms:modified>
</cp:coreProperties>
</file>