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line="281" w:lineRule="auto"/>
        <w:rPr>
          <w:sz w:val="20"/>
          <w:szCs w:val="20"/>
          <w:color w:val="auto"/>
        </w:rPr>
      </w:pPr>
      <w:r>
        <w:rPr>
          <w:rFonts w:ascii="Arial" w:cs="Arial" w:eastAsia="Arial" w:hAnsi="Arial"/>
          <w:sz w:val="24"/>
          <w:szCs w:val="24"/>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71120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4560" w:type="dxa"/>
            <w:vAlign w:val="bottom"/>
          </w:tcPr>
          <w:p>
            <w:pPr>
              <w:jc w:val="center"/>
              <w:ind w:right="1898"/>
              <w:spacing w:after="0"/>
              <w:rPr>
                <w:sz w:val="20"/>
                <w:szCs w:val="20"/>
                <w:color w:val="auto"/>
              </w:rPr>
            </w:pPr>
            <w:r>
              <w:rPr>
                <w:rFonts w:ascii="Arial" w:cs="Arial" w:eastAsia="Arial" w:hAnsi="Arial"/>
                <w:sz w:val="18"/>
                <w:szCs w:val="18"/>
                <w:b w:val="1"/>
                <w:bCs w:val="1"/>
                <w:color w:val="auto"/>
                <w:w w:val="97"/>
              </w:rPr>
              <w:t>CURAÇAO</w:t>
            </w:r>
          </w:p>
        </w:tc>
        <w:tc>
          <w:tcPr>
            <w:tcW w:w="306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560" w:type="dxa"/>
            <w:vAlign w:val="bottom"/>
          </w:tcPr>
          <w:p>
            <w:pPr>
              <w:jc w:val="center"/>
              <w:ind w:right="1918"/>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60" w:type="dxa"/>
            <w:vAlign w:val="bottom"/>
          </w:tcPr>
          <w:p>
            <w:pPr>
              <w:jc w:val="center"/>
              <w:ind w:left="194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560" w:type="dxa"/>
            <w:vAlign w:val="bottom"/>
          </w:tcPr>
          <w:p>
            <w:pPr>
              <w:jc w:val="center"/>
              <w:ind w:right="1918"/>
              <w:spacing w:after="0"/>
              <w:rPr>
                <w:sz w:val="20"/>
                <w:szCs w:val="20"/>
                <w:color w:val="auto"/>
              </w:rPr>
            </w:pPr>
            <w:r>
              <w:rPr>
                <w:rFonts w:ascii="Arial" w:cs="Arial" w:eastAsia="Arial" w:hAnsi="Arial"/>
                <w:sz w:val="14"/>
                <w:szCs w:val="14"/>
                <w:b w:val="1"/>
                <w:bCs w:val="1"/>
                <w:color w:val="auto"/>
                <w:w w:val="88"/>
              </w:rPr>
              <w:t>incorporation or organization)</w:t>
            </w:r>
          </w:p>
        </w:tc>
        <w:tc>
          <w:tcPr>
            <w:tcW w:w="3060" w:type="dxa"/>
            <w:vAlign w:val="bottom"/>
          </w:tcPr>
          <w:p>
            <w:pPr>
              <w:jc w:val="center"/>
              <w:ind w:left="1921"/>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8"/>
              </w:rPr>
              <w:t>42 RUE SAINT-DOMINIQUE</w:t>
            </w:r>
          </w:p>
        </w:tc>
        <w:tc>
          <w:tcPr>
            <w:tcW w:w="3060" w:type="dxa"/>
            <w:vAlign w:val="bottom"/>
          </w:tcPr>
          <w:p>
            <w:pPr>
              <w:spacing w:after="0"/>
              <w:rPr>
                <w:sz w:val="24"/>
                <w:szCs w:val="24"/>
                <w:color w:val="auto"/>
              </w:rPr>
            </w:pPr>
          </w:p>
        </w:tc>
      </w:tr>
      <w:tr>
        <w:trPr>
          <w:trHeight w:val="242"/>
        </w:trPr>
        <w:tc>
          <w:tcPr>
            <w:tcW w:w="4560" w:type="dxa"/>
            <w:vAlign w:val="bottom"/>
          </w:tcPr>
          <w:p>
            <w:pPr>
              <w:jc w:val="center"/>
              <w:ind w:right="1898"/>
              <w:spacing w:after="0"/>
              <w:rPr>
                <w:sz w:val="20"/>
                <w:szCs w:val="20"/>
                <w:color w:val="auto"/>
              </w:rPr>
            </w:pPr>
            <w:r>
              <w:rPr>
                <w:rFonts w:ascii="Arial" w:cs="Arial" w:eastAsia="Arial" w:hAnsi="Arial"/>
                <w:sz w:val="18"/>
                <w:szCs w:val="18"/>
                <w:b w:val="1"/>
                <w:bCs w:val="1"/>
                <w:color w:val="auto"/>
                <w:w w:val="95"/>
              </w:rPr>
              <w:t>PARIS, FRANCE</w:t>
            </w:r>
          </w:p>
        </w:tc>
        <w:tc>
          <w:tcPr>
            <w:tcW w:w="306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4"/>
              </w:rPr>
              <w:t>5599 SAN FELIPE, 17th FLOOR</w:t>
            </w:r>
          </w:p>
        </w:tc>
        <w:tc>
          <w:tcPr>
            <w:tcW w:w="3060" w:type="dxa"/>
            <w:vAlign w:val="bottom"/>
          </w:tcPr>
          <w:p>
            <w:pPr>
              <w:spacing w:after="0"/>
              <w:rPr>
                <w:sz w:val="24"/>
                <w:szCs w:val="24"/>
                <w:color w:val="auto"/>
              </w:rPr>
            </w:pPr>
          </w:p>
        </w:tc>
      </w:tr>
      <w:tr>
        <w:trPr>
          <w:trHeight w:val="242"/>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5"/>
              </w:rPr>
              <w:t>HOUSTON, TEXAS, U.S.A.</w:t>
            </w:r>
          </w:p>
        </w:tc>
        <w:tc>
          <w:tcPr>
            <w:tcW w:w="306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77056</w:t>
            </w:r>
          </w:p>
        </w:tc>
      </w:tr>
      <w:tr>
        <w:trPr>
          <w:trHeight w:val="420"/>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6"/>
              </w:rPr>
              <w:t>PARKSTRAAT 83 THE HAGUE,</w:t>
            </w:r>
          </w:p>
        </w:tc>
        <w:tc>
          <w:tcPr>
            <w:tcW w:w="3060" w:type="dxa"/>
            <w:vAlign w:val="bottom"/>
          </w:tcPr>
          <w:p>
            <w:pPr>
              <w:spacing w:after="0"/>
              <w:rPr>
                <w:sz w:val="24"/>
                <w:szCs w:val="24"/>
                <w:color w:val="auto"/>
              </w:rPr>
            </w:pPr>
          </w:p>
        </w:tc>
      </w:tr>
      <w:tr>
        <w:trPr>
          <w:trHeight w:val="231"/>
        </w:trPr>
        <w:tc>
          <w:tcPr>
            <w:tcW w:w="4560" w:type="dxa"/>
            <w:vAlign w:val="bottom"/>
          </w:tcPr>
          <w:p>
            <w:pPr>
              <w:jc w:val="center"/>
              <w:ind w:right="1918"/>
              <w:spacing w:after="0"/>
              <w:rPr>
                <w:sz w:val="20"/>
                <w:szCs w:val="20"/>
                <w:color w:val="auto"/>
              </w:rPr>
            </w:pPr>
            <w:r>
              <w:rPr>
                <w:rFonts w:ascii="Arial" w:cs="Arial" w:eastAsia="Arial" w:hAnsi="Arial"/>
                <w:sz w:val="18"/>
                <w:szCs w:val="18"/>
                <w:b w:val="1"/>
                <w:bCs w:val="1"/>
                <w:color w:val="auto"/>
                <w:w w:val="99"/>
              </w:rPr>
              <w:t>THE NETHERLANDS</w:t>
            </w:r>
          </w:p>
        </w:tc>
        <w:tc>
          <w:tcPr>
            <w:tcW w:w="3060" w:type="dxa"/>
            <w:vAlign w:val="bottom"/>
          </w:tcPr>
          <w:p>
            <w:pPr>
              <w:jc w:val="center"/>
              <w:ind w:left="192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560" w:type="dxa"/>
            <w:vAlign w:val="bottom"/>
          </w:tcPr>
          <w:p>
            <w:pPr>
              <w:jc w:val="center"/>
              <w:ind w:right="189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060" w:type="dxa"/>
            <w:vAlign w:val="bottom"/>
          </w:tcPr>
          <w:p>
            <w:pPr>
              <w:jc w:val="center"/>
              <w:ind w:left="1941"/>
              <w:spacing w:after="0"/>
              <w:rPr>
                <w:sz w:val="20"/>
                <w:szCs w:val="20"/>
                <w:color w:val="auto"/>
              </w:rPr>
            </w:pPr>
            <w:r>
              <w:rPr>
                <w:rFonts w:ascii="Arial" w:cs="Arial" w:eastAsia="Arial" w:hAnsi="Arial"/>
                <w:sz w:val="14"/>
                <w:szCs w:val="14"/>
                <w:b w:val="1"/>
                <w:bCs w:val="1"/>
                <w:color w:val="auto"/>
                <w:w w:val="88"/>
              </w:rPr>
              <w:t>(Zip Codes)</w:t>
            </w:r>
          </w:p>
        </w:tc>
      </w:tr>
    </w:tbl>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22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80" w:space="720"/>
            <w:col w:w="5340" w:space="720"/>
            <w:col w:w="2120" w:space="720"/>
            <w:col w:w="22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4">
            <w:col w:w="7980" w:space="160"/>
            <w:col w:w="340" w:space="80"/>
            <w:col w:w="160" w:space="180"/>
            <w:col w:w="2520"/>
          </w:cols>
          <w:pgMar w:left="240" w:top="23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4780" w:type="dxa"/>
            <w:vAlign w:val="bottom"/>
            <w:gridSpan w:val="2"/>
          </w:tcPr>
          <w:p>
            <w:pPr>
              <w:jc w:val="right"/>
              <w:ind w:right="4372"/>
              <w:spacing w:after="0"/>
              <w:rPr>
                <w:sz w:val="20"/>
                <w:szCs w:val="20"/>
                <w:color w:val="auto"/>
              </w:rPr>
            </w:pPr>
            <w:r>
              <w:rPr>
                <w:rFonts w:ascii="Arial" w:cs="Arial" w:eastAsia="Arial" w:hAnsi="Arial"/>
                <w:sz w:val="14"/>
                <w:szCs w:val="14"/>
                <w:b w:val="1"/>
                <w:bCs w:val="1"/>
                <w:color w:val="auto"/>
                <w:w w:val="80"/>
              </w:rPr>
              <w:t>Class</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w w:val="86"/>
              </w:rPr>
              <w:t>Outstanding at March 31, 2013</w:t>
            </w:r>
          </w:p>
        </w:tc>
        <w:tc>
          <w:tcPr>
            <w:tcW w:w="1020" w:type="dxa"/>
            <w:vAlign w:val="bottom"/>
          </w:tcPr>
          <w:p>
            <w:pPr>
              <w:spacing w:after="0"/>
              <w:rPr>
                <w:sz w:val="15"/>
                <w:szCs w:val="15"/>
                <w:color w:val="auto"/>
              </w:rPr>
            </w:pPr>
          </w:p>
        </w:tc>
      </w:tr>
      <w:tr>
        <w:trPr>
          <w:trHeight w:val="209"/>
        </w:trPr>
        <w:tc>
          <w:tcPr>
            <w:tcW w:w="3840" w:type="dxa"/>
            <w:vAlign w:val="bottom"/>
          </w:tcPr>
          <w:p>
            <w:pPr>
              <w:ind w:left="920"/>
              <w:spacing w:after="0" w:line="188" w:lineRule="exact"/>
              <w:rPr>
                <w:sz w:val="20"/>
                <w:szCs w:val="20"/>
                <w:color w:val="auto"/>
              </w:rPr>
            </w:pPr>
            <w:r>
              <w:rPr>
                <w:rFonts w:ascii="Arial" w:cs="Arial" w:eastAsia="Arial" w:hAnsi="Arial"/>
                <w:sz w:val="18"/>
                <w:szCs w:val="18"/>
                <w:color w:val="auto"/>
                <w:w w:val="92"/>
              </w:rPr>
              <w:t>COMMON STOCK, $0.01 PAR VALUE</w:t>
            </w:r>
          </w:p>
        </w:tc>
        <w:tc>
          <w:tcPr>
            <w:tcW w:w="3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w w:val="80"/>
              </w:rPr>
              <w:t>PER</w:t>
            </w:r>
          </w:p>
        </w:tc>
        <w:tc>
          <w:tcPr>
            <w:tcW w:w="4460" w:type="dxa"/>
            <w:vAlign w:val="bottom"/>
          </w:tcPr>
          <w:p>
            <w:pPr>
              <w:ind w:left="80"/>
              <w:spacing w:after="0" w:line="188" w:lineRule="exact"/>
              <w:rPr>
                <w:sz w:val="20"/>
                <w:szCs w:val="20"/>
                <w:color w:val="auto"/>
              </w:rPr>
            </w:pPr>
            <w:r>
              <w:rPr>
                <w:rFonts w:ascii="Arial" w:cs="Arial" w:eastAsia="Arial" w:hAnsi="Arial"/>
                <w:sz w:val="18"/>
                <w:szCs w:val="18"/>
                <w:color w:val="auto"/>
              </w:rPr>
              <w:t>SHARE</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1,329,450,082</w:t>
            </w:r>
          </w:p>
        </w:tc>
        <w:tc>
          <w:tcPr>
            <w:tcW w:w="1020" w:type="dxa"/>
            <w:vAlign w:val="bottom"/>
          </w:tcPr>
          <w:p>
            <w:pPr>
              <w:spacing w:after="0"/>
              <w:rPr>
                <w:sz w:val="18"/>
                <w:szCs w:val="18"/>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34"/>
        </w:trPr>
        <w:tc>
          <w:tcPr>
            <w:tcW w:w="3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First Quarter 2013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w w:val="94"/>
              </w:rPr>
              <w:t>PART I</w:t>
            </w:r>
          </w:p>
        </w:tc>
        <w:tc>
          <w:tcPr>
            <w:tcW w:w="540" w:type="dxa"/>
            <w:vAlign w:val="bottom"/>
            <w:gridSpan w:val="2"/>
            <w:vMerge w:val="restart"/>
          </w:tcPr>
          <w:p>
            <w:pPr>
              <w:spacing w:after="0"/>
              <w:rPr>
                <w:sz w:val="14"/>
                <w:szCs w:val="14"/>
                <w:color w:val="auto"/>
              </w:rPr>
            </w:pPr>
          </w:p>
        </w:tc>
        <w:tc>
          <w:tcPr>
            <w:tcW w:w="1660" w:type="dxa"/>
            <w:vAlign w:val="bottom"/>
            <w:gridSpan w:val="7"/>
            <w:vMerge w:val="restart"/>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260" w:type="dxa"/>
            <w:vAlign w:val="bottom"/>
            <w:gridSpan w:val="6"/>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auto"/>
            </w:tcBorders>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660" w:type="dxa"/>
            <w:vAlign w:val="bottom"/>
            <w:tcBorders>
              <w:bottom w:val="single" w:sz="8" w:color="0000EE"/>
            </w:tcBorders>
            <w:gridSpan w:val="7"/>
            <w:vMerge w:val="continue"/>
          </w:tcPr>
          <w:p>
            <w:pPr>
              <w:spacing w:after="0"/>
              <w:rPr>
                <w:sz w:val="13"/>
                <w:szCs w:val="13"/>
                <w:color w:val="auto"/>
              </w:rPr>
            </w:pPr>
          </w:p>
        </w:tc>
        <w:tc>
          <w:tcPr>
            <w:tcW w:w="826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Financial Condition and Results of Operations</w:t>
              </w:r>
            </w:hyperlink>
          </w:p>
        </w:tc>
        <w:tc>
          <w:tcPr>
            <w:tcW w:w="36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Quantitative and Qualitative Disclosures about Market Risk</w:t>
              </w:r>
            </w:hyperlink>
          </w:p>
        </w:tc>
        <w:tc>
          <w:tcPr>
            <w:tcW w:w="57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1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Other Information</w:t>
              </w:r>
            </w:hyperlink>
          </w:p>
        </w:tc>
        <w:tc>
          <w:tcPr>
            <w:tcW w:w="820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w:t>
            </w:r>
          </w:p>
        </w:tc>
        <w:tc>
          <w:tcPr>
            <w:tcW w:w="48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24"/>
                <w:szCs w:val="24"/>
                <w:color w:val="auto"/>
              </w:rPr>
            </w:pPr>
          </w:p>
        </w:tc>
        <w:tc>
          <w:tcPr>
            <w:tcW w:w="84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Risk Factors</w:t>
              </w:r>
            </w:hyperlink>
          </w:p>
        </w:tc>
        <w:tc>
          <w:tcPr>
            <w:tcW w:w="90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26">
              <w:r>
                <w:rPr>
                  <w:rFonts w:ascii="Arial" w:cs="Arial" w:eastAsia="Arial" w:hAnsi="Arial"/>
                  <w:sz w:val="18"/>
                  <w:szCs w:val="18"/>
                  <w:color w:val="0000EE"/>
                  <w:w w:val="86"/>
                </w:rPr>
                <w:t>Unregistered Sales of Equity Securities and Use of Proceeds</w:t>
              </w:r>
            </w:hyperlink>
          </w:p>
        </w:tc>
        <w:tc>
          <w:tcPr>
            <w:tcW w:w="56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92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76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82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96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Certifications</w:t>
            </w:r>
          </w:p>
        </w:tc>
        <w:tc>
          <w:tcPr>
            <w:tcW w:w="896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00" w:type="dxa"/>
            <w:vAlign w:val="bottom"/>
            <w:gridSpan w:val="12"/>
          </w:tcPr>
          <w:p>
            <w:pPr>
              <w:ind w:left="4560"/>
              <w:spacing w:after="0"/>
              <w:rPr>
                <w:sz w:val="20"/>
                <w:szCs w:val="20"/>
                <w:color w:val="auto"/>
              </w:rPr>
            </w:pPr>
            <w:r>
              <w:rPr>
                <w:rFonts w:ascii="Arial" w:cs="Arial" w:eastAsia="Arial" w:hAnsi="Arial"/>
                <w:sz w:val="18"/>
                <w:szCs w:val="18"/>
                <w:color w:val="auto"/>
              </w:rPr>
              <w:t>2</w:t>
            </w: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u w:val="single" w:color="auto"/>
          <w:color w:val="auto"/>
        </w:rPr>
        <w:t>PART I.</w:t>
        <w:tab/>
        <w:t>FINANCIAL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ind w:left="20"/>
              <w:spacing w:after="0"/>
              <w:rPr>
                <w:sz w:val="20"/>
                <w:szCs w:val="20"/>
                <w:color w:val="auto"/>
              </w:rPr>
            </w:pPr>
            <w:r>
              <w:rPr>
                <w:rFonts w:ascii="Arial" w:cs="Arial" w:eastAsia="Arial" w:hAnsi="Arial"/>
                <w:sz w:val="14"/>
                <w:szCs w:val="14"/>
                <w:i w:val="1"/>
                <w:iCs w:val="1"/>
                <w:color w:val="auto"/>
                <w:w w:val="89"/>
              </w:rPr>
              <w:t>(Stated in millions, except per share amounts)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9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10,668</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i w:val="1"/>
                <w:iCs w:val="1"/>
                <w:color w:val="auto"/>
              </w:rPr>
              <w:t>Interest &amp; other income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8,442</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Merger &amp; integration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Restructuring &amp; other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20" w:type="dxa"/>
            <w:vAlign w:val="bottom"/>
            <w:gridSpan w:val="3"/>
          </w:tcPr>
          <w:p>
            <w:pPr>
              <w:spacing w:after="0"/>
              <w:rPr>
                <w:sz w:val="20"/>
                <w:szCs w:val="20"/>
                <w:color w:val="auto"/>
              </w:rPr>
            </w:pPr>
            <w:r>
              <w:rPr>
                <w:rFonts w:ascii="Arial" w:cs="Arial" w:eastAsia="Arial" w:hAnsi="Arial"/>
                <w:sz w:val="18"/>
                <w:szCs w:val="18"/>
                <w:i w:val="1"/>
                <w:iCs w:val="1"/>
                <w:color w:val="auto"/>
              </w:rPr>
              <w:t>Income before taxes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1,679</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on income</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gridSpan w:val="3"/>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1,267</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20" w:type="dxa"/>
            <w:vAlign w:val="bottom"/>
            <w:gridSpan w:val="3"/>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1,267</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20" w:type="dxa"/>
            <w:vAlign w:val="bottom"/>
            <w:gridSpan w:val="3"/>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40" w:type="dxa"/>
            <w:vAlign w:val="bottom"/>
          </w:tcPr>
          <w:p>
            <w:pPr>
              <w:ind w:left="60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40" w:type="dxa"/>
            <w:vAlign w:val="bottom"/>
          </w:tcPr>
          <w:p>
            <w:pPr>
              <w:ind w:left="6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40" w:type="dxa"/>
            <w:vAlign w:val="bottom"/>
          </w:tcPr>
          <w:p>
            <w:pPr>
              <w:ind w:left="60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0.95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40" w:type="dxa"/>
            <w:vAlign w:val="bottom"/>
          </w:tcPr>
          <w:p>
            <w:pPr>
              <w:ind w:left="60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0.95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40" w:type="dxa"/>
            <w:vAlign w:val="bottom"/>
          </w:tcPr>
          <w:p>
            <w:pPr>
              <w:ind w:left="60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40" w:type="dxa"/>
            <w:vAlign w:val="bottom"/>
          </w:tcPr>
          <w:p>
            <w:pPr>
              <w:ind w:left="60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1,330</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Assuming dilution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1,340</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80" w:type="dxa"/>
            <w:vAlign w:val="bottom"/>
            <w:gridSpan w:val="2"/>
          </w:tcPr>
          <w:p>
            <w:pPr>
              <w:spacing w:after="0"/>
              <w:rPr>
                <w:sz w:val="20"/>
                <w:szCs w:val="20"/>
                <w:color w:val="auto"/>
              </w:rPr>
            </w:pPr>
            <w:r>
              <w:rPr>
                <w:rFonts w:ascii="Arial" w:cs="Arial" w:eastAsia="Arial" w:hAnsi="Arial"/>
                <w:sz w:val="11"/>
                <w:szCs w:val="11"/>
                <w:color w:val="auto"/>
              </w:rPr>
              <w:t>(1)</w:t>
            </w:r>
          </w:p>
        </w:tc>
        <w:tc>
          <w:tcPr>
            <w:tcW w:w="8440" w:type="dxa"/>
            <w:vAlign w:val="bottom"/>
            <w:vMerge w:val="restart"/>
          </w:tcPr>
          <w:p>
            <w:pPr>
              <w:ind w:left="180"/>
              <w:spacing w:after="0"/>
              <w:rPr>
                <w:sz w:val="20"/>
                <w:szCs w:val="20"/>
                <w:color w:val="auto"/>
              </w:rPr>
            </w:pPr>
            <w:r>
              <w:rPr>
                <w:rFonts w:ascii="Arial" w:cs="Arial" w:eastAsia="Arial" w:hAnsi="Arial"/>
                <w:sz w:val="18"/>
                <w:szCs w:val="18"/>
                <w:color w:val="auto"/>
              </w:rPr>
              <w:t>Amounts may not add due to rounding.</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161"/>
        </w:trPr>
        <w:tc>
          <w:tcPr>
            <w:tcW w:w="8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8"/>
              </w:rPr>
              <w:t>Three Months Ending March 31,</w:t>
            </w:r>
          </w:p>
        </w:tc>
      </w:tr>
      <w:tr>
        <w:trPr>
          <w:trHeight w:val="142"/>
        </w:trPr>
        <w:tc>
          <w:tcPr>
            <w:tcW w:w="86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Net income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1,267</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net change arising during the period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866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arising during the period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tcPr>
          <w:p>
            <w:pPr>
              <w:spacing w:after="0"/>
              <w:rPr>
                <w:sz w:val="20"/>
                <w:szCs w:val="20"/>
                <w:color w:val="auto"/>
              </w:rPr>
            </w:pPr>
            <w:r>
              <w:rPr>
                <w:rFonts w:ascii="Arial" w:cs="Arial" w:eastAsia="Arial" w:hAnsi="Arial"/>
                <w:sz w:val="18"/>
                <w:szCs w:val="18"/>
                <w:i w:val="1"/>
                <w:iCs w:val="1"/>
                <w:color w:val="auto"/>
              </w:rPr>
              <w:t>Derivatives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derivatives (loss) gain on hedge transactions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(154)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Reclassification to net income of net realized loss (gain) (</w:t>
            </w:r>
            <w:r>
              <w:rPr>
                <w:rFonts w:ascii="Arial" w:cs="Arial" w:eastAsia="Arial" w:hAnsi="Arial"/>
                <w:sz w:val="18"/>
                <w:szCs w:val="18"/>
                <w:i w:val="1"/>
                <w:iCs w:val="1"/>
                <w:color w:val="auto"/>
              </w:rPr>
              <w:t>see Note 10</w:t>
            </w:r>
            <w:r>
              <w:rPr>
                <w:rFonts w:ascii="Arial" w:cs="Arial" w:eastAsia="Arial" w:hAnsi="Arial"/>
                <w:sz w:val="18"/>
                <w:szCs w:val="18"/>
                <w:color w:val="auto"/>
              </w:rPr>
              <w:t xml:space="preserve">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Actuarial loss arising during the period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8660" w:type="dxa"/>
            <w:vAlign w:val="bottom"/>
          </w:tcPr>
          <w:p>
            <w:pPr>
              <w:ind w:left="880"/>
              <w:spacing w:after="0"/>
              <w:rPr>
                <w:sz w:val="20"/>
                <w:szCs w:val="20"/>
                <w:color w:val="auto"/>
              </w:rPr>
            </w:pPr>
            <w:r>
              <w:rPr>
                <w:rFonts w:ascii="Arial" w:cs="Arial" w:eastAsia="Arial" w:hAnsi="Arial"/>
                <w:sz w:val="18"/>
                <w:szCs w:val="18"/>
                <w:color w:val="auto"/>
              </w:rPr>
              <w:t xml:space="preserve">Amortization to net income of net actuarial loss ( </w:t>
            </w:r>
            <w:r>
              <w:rPr>
                <w:rFonts w:ascii="Arial" w:cs="Arial" w:eastAsia="Arial" w:hAnsi="Arial"/>
                <w:sz w:val="18"/>
                <w:szCs w:val="18"/>
                <w:i w:val="1"/>
                <w:iCs w:val="1"/>
                <w:color w:val="auto"/>
              </w:rPr>
              <w:t>see Note 14</w:t>
            </w:r>
            <w:r>
              <w:rPr>
                <w:rFonts w:ascii="Arial" w:cs="Arial" w:eastAsia="Arial" w:hAnsi="Arial"/>
                <w:sz w:val="18"/>
                <w:szCs w:val="18"/>
                <w:color w:val="auto"/>
              </w:rPr>
              <w:t xml:space="preserve">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service cost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880"/>
              <w:spacing w:after="0"/>
              <w:rPr>
                <w:sz w:val="20"/>
                <w:szCs w:val="20"/>
                <w:color w:val="auto"/>
              </w:rPr>
            </w:pPr>
            <w:r>
              <w:rPr>
                <w:rFonts w:ascii="Arial" w:cs="Arial" w:eastAsia="Arial" w:hAnsi="Arial"/>
                <w:sz w:val="18"/>
                <w:szCs w:val="18"/>
                <w:color w:val="auto"/>
              </w:rPr>
              <w:t xml:space="preserve">Amortization to net income of net prior service cost </w:t>
            </w:r>
            <w:r>
              <w:rPr>
                <w:rFonts w:ascii="Arial" w:cs="Arial" w:eastAsia="Arial" w:hAnsi="Arial"/>
                <w:sz w:val="18"/>
                <w:szCs w:val="18"/>
                <w:i w:val="1"/>
                <w:iCs w:val="1"/>
                <w:color w:val="auto"/>
              </w:rPr>
              <w:t>(see Note 14)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on pension and other postretirement benefit plans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8660" w:type="dxa"/>
            <w:vAlign w:val="bottom"/>
          </w:tcPr>
          <w:p>
            <w:pPr>
              <w:spacing w:after="0"/>
              <w:rPr>
                <w:sz w:val="20"/>
                <w:szCs w:val="20"/>
                <w:color w:val="auto"/>
              </w:rPr>
            </w:pPr>
            <w:r>
              <w:rPr>
                <w:rFonts w:ascii="Arial" w:cs="Arial" w:eastAsia="Arial" w:hAnsi="Arial"/>
                <w:sz w:val="18"/>
                <w:szCs w:val="18"/>
                <w:i w:val="1"/>
                <w:iCs w:val="1"/>
                <w:color w:val="auto"/>
              </w:rPr>
              <w:t>Comprehensive income</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1,279</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r>
      <w:tr>
        <w:trPr>
          <w:trHeight w:val="217"/>
        </w:trPr>
        <w:tc>
          <w:tcPr>
            <w:tcW w:w="8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1,271</w:t>
            </w:r>
          </w:p>
        </w:tc>
        <w:tc>
          <w:tcPr>
            <w:tcW w:w="420" w:type="dxa"/>
            <w:vAlign w:val="bottom"/>
          </w:tcPr>
          <w:p>
            <w:pPr>
              <w:spacing w:after="0"/>
              <w:rPr>
                <w:sz w:val="19"/>
                <w:szCs w:val="19"/>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r>
      <w:tr>
        <w:trPr>
          <w:trHeight w:val="20"/>
        </w:trPr>
        <w:tc>
          <w:tcPr>
            <w:tcW w:w="8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 31, 2013</w:t>
            </w:r>
          </w:p>
        </w:tc>
        <w:tc>
          <w:tcPr>
            <w:tcW w:w="122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3"/>
          </w:tcPr>
          <w:p>
            <w:pPr>
              <w:jc w:val="right"/>
              <w:ind w:right="180"/>
              <w:spacing w:after="0" w:line="147"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(Unaudited)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ASSETS</w:t>
            </w:r>
          </w:p>
        </w:tc>
        <w:tc>
          <w:tcPr>
            <w:tcW w:w="1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920" w:type="dxa"/>
            <w:vAlign w:val="bottom"/>
            <w:gridSpan w:val="2"/>
            <w:shd w:val="clear" w:color="auto" w:fill="CCEEFF"/>
          </w:tcPr>
          <w:p>
            <w:pPr>
              <w:ind w:left="17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2,129</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3,432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less allowance for doubtful accounts (2013 - $207; 2012 - $202)</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11,502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4,973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1,385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23,727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1,620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14,805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14,580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4,734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1,114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7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61,428</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61,547</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1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58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920" w:type="dxa"/>
            <w:vAlign w:val="bottom"/>
            <w:gridSpan w:val="2"/>
          </w:tcPr>
          <w:p>
            <w:pPr>
              <w:ind w:left="17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7,842</w:t>
            </w:r>
          </w:p>
        </w:tc>
        <w:tc>
          <w:tcPr>
            <w:tcW w:w="620" w:type="dxa"/>
            <w:vAlign w:val="bottom"/>
            <w:gridSpan w:val="2"/>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1,548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Long-term debt—current portion</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1,996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966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Dividends payable</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12,771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8,138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2,056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1,506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1,176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25,647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11,946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(6,139)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33,729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(3,876)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860"/>
              <w:spacing w:after="0"/>
              <w:rPr>
                <w:sz w:val="20"/>
                <w:szCs w:val="20"/>
                <w:color w:val="auto"/>
              </w:rPr>
            </w:pPr>
            <w:r>
              <w:rPr>
                <w:rFonts w:ascii="Arial" w:cs="Arial" w:eastAsia="Arial" w:hAnsi="Arial"/>
                <w:sz w:val="18"/>
                <w:szCs w:val="18"/>
                <w:color w:val="auto"/>
              </w:rPr>
              <w:t>Schlumberger stockholders’ equity</w:t>
            </w:r>
          </w:p>
        </w:tc>
        <w:tc>
          <w:tcPr>
            <w:tcW w:w="17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35,660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35,781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34,858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7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61,428</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61,547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Three Months Ended Mar.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6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1,267</w:t>
            </w:r>
          </w:p>
        </w:tc>
        <w:tc>
          <w:tcPr>
            <w:tcW w:w="3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Less: Income from discontinued operations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896</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20" w:type="dxa"/>
            <w:vAlign w:val="bottom"/>
          </w:tcPr>
          <w:p>
            <w:pPr>
              <w:ind w:left="1020"/>
              <w:spacing w:after="0"/>
              <w:rPr>
                <w:sz w:val="20"/>
                <w:szCs w:val="20"/>
                <w:color w:val="auto"/>
              </w:rPr>
            </w:pPr>
            <w:r>
              <w:rPr>
                <w:rFonts w:ascii="Arial" w:cs="Arial" w:eastAsia="Arial" w:hAnsi="Arial"/>
                <w:sz w:val="18"/>
                <w:szCs w:val="18"/>
                <w:color w:val="auto"/>
              </w:rPr>
              <w:t>Earnings of companies carried at equity, less dividends received</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20" w:type="dxa"/>
            <w:vAlign w:val="bottom"/>
          </w:tcPr>
          <w:p>
            <w:pPr>
              <w:ind w:left="10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Pension and other postretirement benefits expense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20" w:type="dxa"/>
            <w:vAlign w:val="bottom"/>
          </w:tcPr>
          <w:p>
            <w:pPr>
              <w:ind w:left="1020"/>
              <w:spacing w:after="0"/>
              <w:rPr>
                <w:sz w:val="20"/>
                <w:szCs w:val="20"/>
                <w:color w:val="auto"/>
              </w:rPr>
            </w:pPr>
            <w:r>
              <w:rPr>
                <w:rFonts w:ascii="Arial" w:cs="Arial" w:eastAsia="Arial" w:hAnsi="Arial"/>
                <w:sz w:val="18"/>
                <w:szCs w:val="18"/>
                <w:color w:val="auto"/>
              </w:rPr>
              <w:t>Pension and other postretirement benefits funding</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1"/>
                <w:szCs w:val="11"/>
                <w:color w:val="auto"/>
              </w:rPr>
              <w:t>(2)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20" w:type="dxa"/>
            <w:vAlign w:val="bottom"/>
          </w:tcPr>
          <w:p>
            <w:pPr>
              <w:ind w:left="1020"/>
              <w:spacing w:after="0"/>
              <w:rPr>
                <w:sz w:val="20"/>
                <w:szCs w:val="20"/>
                <w:color w:val="auto"/>
              </w:rPr>
            </w:pPr>
            <w:r>
              <w:rPr>
                <w:rFonts w:ascii="Arial" w:cs="Arial" w:eastAsia="Arial" w:hAnsi="Arial"/>
                <w:sz w:val="18"/>
                <w:szCs w:val="18"/>
                <w:color w:val="auto"/>
              </w:rPr>
              <w:t>Increase in receivables</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(344)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Increase in inventories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20" w:type="dxa"/>
            <w:vAlign w:val="bottom"/>
          </w:tcPr>
          <w:p>
            <w:pPr>
              <w:ind w:left="1020"/>
              <w:spacing w:after="0"/>
              <w:rPr>
                <w:sz w:val="20"/>
                <w:szCs w:val="20"/>
                <w:color w:val="auto"/>
              </w:rPr>
            </w:pPr>
            <w:r>
              <w:rPr>
                <w:rFonts w:ascii="Arial" w:cs="Arial" w:eastAsia="Arial" w:hAnsi="Arial"/>
                <w:sz w:val="18"/>
                <w:szCs w:val="18"/>
                <w:color w:val="auto"/>
              </w:rPr>
              <w:t>Increase in other current assets</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Decrease in accounts payable and accrued liabilities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(593)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20" w:type="dxa"/>
            <w:vAlign w:val="bottom"/>
          </w:tcPr>
          <w:p>
            <w:pPr>
              <w:ind w:left="1020"/>
              <w:spacing w:after="0"/>
              <w:rPr>
                <w:sz w:val="20"/>
                <w:szCs w:val="20"/>
                <w:color w:val="auto"/>
              </w:rPr>
            </w:pPr>
            <w:r>
              <w:rPr>
                <w:rFonts w:ascii="Arial" w:cs="Arial" w:eastAsia="Arial" w:hAnsi="Arial"/>
                <w:sz w:val="18"/>
                <w:szCs w:val="18"/>
                <w:color w:val="auto"/>
              </w:rPr>
              <w:t>Increase in liability for taxes on income</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Decrease in other liabilities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20" w:type="dxa"/>
            <w:vAlign w:val="bottom"/>
          </w:tcPr>
          <w:p>
            <w:pPr>
              <w:ind w:left="10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(35)</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1,119</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Multiclient seismic data capitalized</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Sale of investments, net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910</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890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0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34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(365)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 program</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(445)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Net increase in short-term borrowings</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(785)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8900" w:type="dxa"/>
            <w:vAlign w:val="bottom"/>
            <w:gridSpan w:val="3"/>
            <w:vMerge w:val="restart"/>
          </w:tcPr>
          <w:p>
            <w:pPr>
              <w:spacing w:after="0"/>
              <w:rPr>
                <w:sz w:val="20"/>
                <w:szCs w:val="20"/>
                <w:color w:val="auto"/>
              </w:rPr>
            </w:pPr>
            <w:r>
              <w:rPr>
                <w:rFonts w:ascii="Arial" w:cs="Arial" w:eastAsia="Arial" w:hAnsi="Arial"/>
                <w:sz w:val="18"/>
                <w:szCs w:val="18"/>
                <w:color w:val="auto"/>
              </w:rPr>
              <w:t>Cash flows from discontinued operations—operating activities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discontinued operations—investing activities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900" w:type="dxa"/>
            <w:vAlign w:val="bottom"/>
            <w:gridSpan w:val="3"/>
            <w:vMerge w:val="restart"/>
          </w:tcPr>
          <w:p>
            <w:pPr>
              <w:spacing w:after="0"/>
              <w:rPr>
                <w:sz w:val="20"/>
                <w:szCs w:val="20"/>
                <w:color w:val="auto"/>
              </w:rPr>
            </w:pPr>
            <w:r>
              <w:rPr>
                <w:rFonts w:ascii="Arial" w:cs="Arial" w:eastAsia="Arial" w:hAnsi="Arial"/>
                <w:sz w:val="18"/>
                <w:szCs w:val="18"/>
                <w:color w:val="auto"/>
              </w:rPr>
              <w:t>Cash flows from discontinued operations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before translation effect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1,905</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gridSpan w:val="3"/>
          </w:tcPr>
          <w:p>
            <w:pPr>
              <w:spacing w:after="0"/>
              <w:rPr>
                <w:sz w:val="20"/>
                <w:szCs w:val="20"/>
                <w:color w:val="auto"/>
              </w:rPr>
            </w:pPr>
            <w:r>
              <w:rPr>
                <w:rFonts w:ascii="Arial" w:cs="Arial" w:eastAsia="Arial" w:hAnsi="Arial"/>
                <w:sz w:val="18"/>
                <w:szCs w:val="18"/>
                <w:color w:val="auto"/>
              </w:rPr>
              <w:t>Cash, end of period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2,129</w:t>
            </w:r>
          </w:p>
        </w:tc>
        <w:tc>
          <w:tcPr>
            <w:tcW w:w="3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8620" w:type="dxa"/>
            <w:vAlign w:val="bottom"/>
            <w:vMerge w:val="restart"/>
          </w:tcPr>
          <w:p>
            <w:pPr>
              <w:ind w:left="180"/>
              <w:spacing w:after="0"/>
              <w:rPr>
                <w:sz w:val="20"/>
                <w:szCs w:val="20"/>
                <w:color w:val="auto"/>
              </w:rPr>
            </w:pPr>
            <w:r>
              <w:rPr>
                <w:rFonts w:ascii="Arial" w:cs="Arial" w:eastAsia="Arial" w:hAnsi="Arial"/>
                <w:sz w:val="18"/>
                <w:szCs w:val="18"/>
                <w:color w:val="auto"/>
              </w:rPr>
              <w:t>Includes multiclient seismic data costs.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gridSpan w:val="2"/>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(2)</w:t>
            </w:r>
          </w:p>
        </w:tc>
        <w:tc>
          <w:tcPr>
            <w:tcW w:w="4200" w:type="dxa"/>
            <w:vAlign w:val="bottom"/>
            <w:vMerge w:val="restart"/>
          </w:tcPr>
          <w:p>
            <w:pPr>
              <w:ind w:left="160"/>
              <w:spacing w:after="0"/>
              <w:rPr>
                <w:sz w:val="20"/>
                <w:szCs w:val="20"/>
                <w:color w:val="auto"/>
              </w:rPr>
            </w:pPr>
            <w:r>
              <w:rPr>
                <w:rFonts w:ascii="Arial" w:cs="Arial" w:eastAsia="Arial" w:hAnsi="Arial"/>
                <w:sz w:val="18"/>
                <w:szCs w:val="18"/>
                <w:color w:val="auto"/>
                <w:w w:val="87"/>
              </w:rPr>
              <w:t>Net of the effect of business acquisitions and divestitures.</w:t>
            </w: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4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vMerge w:val="restart"/>
          </w:tcPr>
          <w:p>
            <w:pPr>
              <w:jc w:val="center"/>
              <w:ind w:right="240"/>
              <w:spacing w:after="0"/>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00" w:type="dxa"/>
            <w:vAlign w:val="bottom"/>
            <w:gridSpan w:val="5"/>
            <w:vMerge w:val="restart"/>
          </w:tcPr>
          <w:p>
            <w:pPr>
              <w:jc w:val="right"/>
              <w:ind w:right="480"/>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80"/>
              <w:spacing w:after="0" w:line="146" w:lineRule="exact"/>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January 1, 2013—March 31, 2013</w:t>
            </w:r>
          </w:p>
        </w:tc>
        <w:tc>
          <w:tcPr>
            <w:tcW w:w="4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3"/>
          </w:tcPr>
          <w:p>
            <w:pPr>
              <w:jc w:val="right"/>
              <w:ind w:right="172"/>
              <w:spacing w:after="0" w:line="131" w:lineRule="exact"/>
              <w:rPr>
                <w:sz w:val="20"/>
                <w:szCs w:val="20"/>
                <w:color w:val="auto"/>
              </w:rPr>
            </w:pPr>
            <w:r>
              <w:rPr>
                <w:rFonts w:ascii="Arial" w:cs="Arial" w:eastAsia="Arial" w:hAnsi="Arial"/>
                <w:sz w:val="14"/>
                <w:szCs w:val="14"/>
                <w:color w:val="auto"/>
                <w:w w:val="92"/>
              </w:rPr>
              <w:t>Retained</w:t>
            </w:r>
          </w:p>
        </w:tc>
        <w:tc>
          <w:tcPr>
            <w:tcW w:w="200" w:type="dxa"/>
            <w:vAlign w:val="bottom"/>
          </w:tcPr>
          <w:p>
            <w:pPr>
              <w:spacing w:after="0"/>
              <w:rPr>
                <w:sz w:val="11"/>
                <w:szCs w:val="11"/>
                <w:color w:val="auto"/>
              </w:rPr>
            </w:pPr>
          </w:p>
        </w:tc>
        <w:tc>
          <w:tcPr>
            <w:tcW w:w="1080" w:type="dxa"/>
            <w:vAlign w:val="bottom"/>
            <w:gridSpan w:val="4"/>
          </w:tcPr>
          <w:p>
            <w:pPr>
              <w:jc w:val="center"/>
              <w:ind w:right="240"/>
              <w:spacing w:after="0" w:line="131" w:lineRule="exact"/>
              <w:rPr>
                <w:sz w:val="20"/>
                <w:szCs w:val="20"/>
                <w:color w:val="auto"/>
              </w:rPr>
            </w:pPr>
            <w:r>
              <w:rPr>
                <w:rFonts w:ascii="Arial" w:cs="Arial" w:eastAsia="Arial" w:hAnsi="Arial"/>
                <w:sz w:val="14"/>
                <w:szCs w:val="14"/>
                <w:color w:val="auto"/>
                <w:w w:val="85"/>
              </w:rPr>
              <w:t>Comprehensive</w:t>
            </w:r>
          </w:p>
        </w:tc>
        <w:tc>
          <w:tcPr>
            <w:tcW w:w="160" w:type="dxa"/>
            <w:vAlign w:val="bottom"/>
          </w:tcPr>
          <w:p>
            <w:pPr>
              <w:spacing w:after="0"/>
              <w:rPr>
                <w:sz w:val="11"/>
                <w:szCs w:val="11"/>
                <w:color w:val="auto"/>
              </w:rPr>
            </w:pPr>
          </w:p>
        </w:tc>
        <w:tc>
          <w:tcPr>
            <w:tcW w:w="1220" w:type="dxa"/>
            <w:vAlign w:val="bottom"/>
            <w:gridSpan w:val="5"/>
          </w:tcPr>
          <w:p>
            <w:pPr>
              <w:spacing w:after="0" w:line="131" w:lineRule="exact"/>
              <w:rPr>
                <w:sz w:val="20"/>
                <w:szCs w:val="20"/>
                <w:color w:val="auto"/>
              </w:rPr>
            </w:pPr>
            <w:r>
              <w:rPr>
                <w:rFonts w:ascii="Arial" w:cs="Arial" w:eastAsia="Arial" w:hAnsi="Arial"/>
                <w:sz w:val="14"/>
                <w:szCs w:val="14"/>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86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jc w:val="right"/>
              <w:ind w:right="500"/>
              <w:spacing w:after="0" w:line="146" w:lineRule="exact"/>
              <w:rPr>
                <w:sz w:val="20"/>
                <w:szCs w:val="20"/>
                <w:color w:val="auto"/>
              </w:rPr>
            </w:pPr>
            <w:r>
              <w:rPr>
                <w:rFonts w:ascii="Arial" w:cs="Arial" w:eastAsia="Arial" w:hAnsi="Arial"/>
                <w:sz w:val="14"/>
                <w:szCs w:val="14"/>
                <w:color w:val="auto"/>
              </w:rPr>
              <w:t>Issued</w:t>
            </w:r>
          </w:p>
        </w:tc>
        <w:tc>
          <w:tcPr>
            <w:tcW w:w="740" w:type="dxa"/>
            <w:vAlign w:val="bottom"/>
            <w:gridSpan w:val="3"/>
          </w:tcPr>
          <w:p>
            <w:pPr>
              <w:jc w:val="right"/>
              <w:ind w:right="120"/>
              <w:spacing w:after="0" w:line="146" w:lineRule="exact"/>
              <w:rPr>
                <w:sz w:val="20"/>
                <w:szCs w:val="20"/>
                <w:color w:val="auto"/>
              </w:rPr>
            </w:pPr>
            <w:r>
              <w:rPr>
                <w:rFonts w:ascii="Arial" w:cs="Arial" w:eastAsia="Arial" w:hAnsi="Arial"/>
                <w:sz w:val="14"/>
                <w:szCs w:val="14"/>
                <w:color w:val="auto"/>
                <w:w w:val="84"/>
              </w:rPr>
              <w:t>In Treasury</w:t>
            </w:r>
          </w:p>
        </w:tc>
        <w:tc>
          <w:tcPr>
            <w:tcW w:w="280" w:type="dxa"/>
            <w:vAlign w:val="bottom"/>
          </w:tcPr>
          <w:p>
            <w:pPr>
              <w:spacing w:after="0"/>
              <w:rPr>
                <w:sz w:val="14"/>
                <w:szCs w:val="14"/>
                <w:color w:val="auto"/>
              </w:rPr>
            </w:pPr>
          </w:p>
        </w:tc>
        <w:tc>
          <w:tcPr>
            <w:tcW w:w="780" w:type="dxa"/>
            <w:vAlign w:val="bottom"/>
            <w:gridSpan w:val="3"/>
          </w:tcPr>
          <w:p>
            <w:pPr>
              <w:jc w:val="right"/>
              <w:ind w:right="172"/>
              <w:spacing w:after="0" w:line="146" w:lineRule="exact"/>
              <w:rPr>
                <w:sz w:val="20"/>
                <w:szCs w:val="20"/>
                <w:color w:val="auto"/>
              </w:rPr>
            </w:pPr>
            <w:r>
              <w:rPr>
                <w:rFonts w:ascii="Arial" w:cs="Arial" w:eastAsia="Arial" w:hAnsi="Arial"/>
                <w:sz w:val="14"/>
                <w:szCs w:val="14"/>
                <w:color w:val="auto"/>
                <w:w w:val="94"/>
              </w:rPr>
              <w:t>Earnings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480"/>
              <w:spacing w:after="0" w:line="146" w:lineRule="exact"/>
              <w:rPr>
                <w:sz w:val="20"/>
                <w:szCs w:val="20"/>
                <w:color w:val="auto"/>
              </w:rPr>
            </w:pPr>
            <w:r>
              <w:rPr>
                <w:rFonts w:ascii="Arial" w:cs="Arial" w:eastAsia="Arial" w:hAnsi="Arial"/>
                <w:sz w:val="14"/>
                <w:szCs w:val="14"/>
                <w:color w:val="auto"/>
                <w:w w:val="81"/>
              </w:rPr>
              <w:t>Loss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ind w:left="60"/>
              <w:spacing w:after="0" w:line="146" w:lineRule="exact"/>
              <w:rPr>
                <w:sz w:val="20"/>
                <w:szCs w:val="20"/>
                <w:color w:val="auto"/>
              </w:rPr>
            </w:pPr>
            <w:r>
              <w:rPr>
                <w:rFonts w:ascii="Arial" w:cs="Arial" w:eastAsia="Arial" w:hAnsi="Arial"/>
                <w:sz w:val="14"/>
                <w:szCs w:val="14"/>
                <w:color w:val="auto"/>
              </w:rPr>
              <w:t>Interests</w:t>
            </w:r>
          </w:p>
        </w:tc>
        <w:tc>
          <w:tcPr>
            <w:tcW w:w="680" w:type="dxa"/>
            <w:vAlign w:val="bottom"/>
            <w:gridSpan w:val="2"/>
          </w:tcPr>
          <w:p>
            <w:pPr>
              <w:jc w:val="right"/>
              <w:ind w:right="260"/>
              <w:spacing w:after="0" w:line="146"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Balance, January 1, 2013</w:t>
            </w:r>
          </w:p>
        </w:tc>
        <w:tc>
          <w:tcPr>
            <w:tcW w:w="2780" w:type="dxa"/>
            <w:vAlign w:val="bottom"/>
            <w:tcBorders>
              <w:top w:val="single" w:sz="8" w:color="CCEEFF"/>
            </w:tcBorders>
            <w:gridSpan w:val="2"/>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$11,912</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(6,160)</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$32,887</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(3,888)</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107</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$34,858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1,259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Changes in unrealized gain on marketable securities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Changes in fair value of derivatives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Pension and other postretirement benefit plans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sold to optionees, less shares exchanged</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Vesting of restricted stock</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(42)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Stock repurchase program</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Dividends declared ($0.3125 per share)</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ind w:right="72"/>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gridSpan w:val="5"/>
          </w:tcPr>
          <w:p>
            <w:pPr>
              <w:spacing w:after="0"/>
              <w:rPr>
                <w:sz w:val="20"/>
                <w:szCs w:val="20"/>
                <w:color w:val="auto"/>
              </w:rPr>
            </w:pPr>
            <w:r>
              <w:rPr>
                <w:rFonts w:ascii="Arial" w:cs="Arial" w:eastAsia="Arial" w:hAnsi="Arial"/>
                <w:sz w:val="18"/>
                <w:szCs w:val="18"/>
                <w:color w:val="auto"/>
              </w:rPr>
              <w:t>Balance, March 31, 2013</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11,946</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 (6,139)</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33,729</w:t>
            </w:r>
          </w:p>
        </w:tc>
        <w:tc>
          <w:tcPr>
            <w:tcW w:w="1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(3,876)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4"/>
            <w:vMerge w:val="restart"/>
          </w:tcPr>
          <w:p>
            <w:pPr>
              <w:jc w:val="center"/>
              <w:ind w:right="240"/>
              <w:spacing w:after="0"/>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00" w:type="dxa"/>
            <w:vAlign w:val="bottom"/>
            <w:gridSpan w:val="5"/>
            <w:vMerge w:val="restart"/>
          </w:tcPr>
          <w:p>
            <w:pPr>
              <w:jc w:val="right"/>
              <w:ind w:right="480"/>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80"/>
              <w:spacing w:after="0" w:line="146" w:lineRule="exact"/>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January 1, 2012—March 31, 2012</w:t>
            </w:r>
          </w:p>
        </w:tc>
        <w:tc>
          <w:tcPr>
            <w:tcW w:w="4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3"/>
          </w:tcPr>
          <w:p>
            <w:pPr>
              <w:jc w:val="right"/>
              <w:ind w:right="172"/>
              <w:spacing w:after="0" w:line="131" w:lineRule="exact"/>
              <w:rPr>
                <w:sz w:val="20"/>
                <w:szCs w:val="20"/>
                <w:color w:val="auto"/>
              </w:rPr>
            </w:pPr>
            <w:r>
              <w:rPr>
                <w:rFonts w:ascii="Arial" w:cs="Arial" w:eastAsia="Arial" w:hAnsi="Arial"/>
                <w:sz w:val="14"/>
                <w:szCs w:val="14"/>
                <w:color w:val="auto"/>
                <w:w w:val="92"/>
              </w:rPr>
              <w:t>Retained</w:t>
            </w:r>
          </w:p>
        </w:tc>
        <w:tc>
          <w:tcPr>
            <w:tcW w:w="200" w:type="dxa"/>
            <w:vAlign w:val="bottom"/>
          </w:tcPr>
          <w:p>
            <w:pPr>
              <w:spacing w:after="0"/>
              <w:rPr>
                <w:sz w:val="11"/>
                <w:szCs w:val="11"/>
                <w:color w:val="auto"/>
              </w:rPr>
            </w:pPr>
          </w:p>
        </w:tc>
        <w:tc>
          <w:tcPr>
            <w:tcW w:w="1080" w:type="dxa"/>
            <w:vAlign w:val="bottom"/>
            <w:gridSpan w:val="4"/>
          </w:tcPr>
          <w:p>
            <w:pPr>
              <w:jc w:val="center"/>
              <w:ind w:right="240"/>
              <w:spacing w:after="0" w:line="131" w:lineRule="exact"/>
              <w:rPr>
                <w:sz w:val="20"/>
                <w:szCs w:val="20"/>
                <w:color w:val="auto"/>
              </w:rPr>
            </w:pPr>
            <w:r>
              <w:rPr>
                <w:rFonts w:ascii="Arial" w:cs="Arial" w:eastAsia="Arial" w:hAnsi="Arial"/>
                <w:sz w:val="14"/>
                <w:szCs w:val="14"/>
                <w:color w:val="auto"/>
                <w:w w:val="85"/>
              </w:rPr>
              <w:t>Comprehensive</w:t>
            </w:r>
          </w:p>
        </w:tc>
        <w:tc>
          <w:tcPr>
            <w:tcW w:w="160" w:type="dxa"/>
            <w:vAlign w:val="bottom"/>
          </w:tcPr>
          <w:p>
            <w:pPr>
              <w:spacing w:after="0"/>
              <w:rPr>
                <w:sz w:val="11"/>
                <w:szCs w:val="11"/>
                <w:color w:val="auto"/>
              </w:rPr>
            </w:pPr>
          </w:p>
        </w:tc>
        <w:tc>
          <w:tcPr>
            <w:tcW w:w="1220" w:type="dxa"/>
            <w:vAlign w:val="bottom"/>
            <w:gridSpan w:val="5"/>
          </w:tcPr>
          <w:p>
            <w:pPr>
              <w:spacing w:after="0" w:line="131" w:lineRule="exact"/>
              <w:rPr>
                <w:sz w:val="20"/>
                <w:szCs w:val="20"/>
                <w:color w:val="auto"/>
              </w:rPr>
            </w:pPr>
            <w:r>
              <w:rPr>
                <w:rFonts w:ascii="Arial" w:cs="Arial" w:eastAsia="Arial" w:hAnsi="Arial"/>
                <w:sz w:val="14"/>
                <w:szCs w:val="14"/>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86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jc w:val="right"/>
              <w:ind w:right="500"/>
              <w:spacing w:after="0" w:line="146" w:lineRule="exact"/>
              <w:rPr>
                <w:sz w:val="20"/>
                <w:szCs w:val="20"/>
                <w:color w:val="auto"/>
              </w:rPr>
            </w:pPr>
            <w:r>
              <w:rPr>
                <w:rFonts w:ascii="Arial" w:cs="Arial" w:eastAsia="Arial" w:hAnsi="Arial"/>
                <w:sz w:val="14"/>
                <w:szCs w:val="14"/>
                <w:color w:val="auto"/>
              </w:rPr>
              <w:t>Issued</w:t>
            </w:r>
          </w:p>
        </w:tc>
        <w:tc>
          <w:tcPr>
            <w:tcW w:w="740" w:type="dxa"/>
            <w:vAlign w:val="bottom"/>
            <w:gridSpan w:val="3"/>
          </w:tcPr>
          <w:p>
            <w:pPr>
              <w:jc w:val="right"/>
              <w:ind w:right="120"/>
              <w:spacing w:after="0" w:line="146" w:lineRule="exact"/>
              <w:rPr>
                <w:sz w:val="20"/>
                <w:szCs w:val="20"/>
                <w:color w:val="auto"/>
              </w:rPr>
            </w:pPr>
            <w:r>
              <w:rPr>
                <w:rFonts w:ascii="Arial" w:cs="Arial" w:eastAsia="Arial" w:hAnsi="Arial"/>
                <w:sz w:val="14"/>
                <w:szCs w:val="14"/>
                <w:color w:val="auto"/>
                <w:w w:val="84"/>
              </w:rPr>
              <w:t>In Treasury</w:t>
            </w:r>
          </w:p>
        </w:tc>
        <w:tc>
          <w:tcPr>
            <w:tcW w:w="280" w:type="dxa"/>
            <w:vAlign w:val="bottom"/>
          </w:tcPr>
          <w:p>
            <w:pPr>
              <w:spacing w:after="0"/>
              <w:rPr>
                <w:sz w:val="14"/>
                <w:szCs w:val="14"/>
                <w:color w:val="auto"/>
              </w:rPr>
            </w:pPr>
          </w:p>
        </w:tc>
        <w:tc>
          <w:tcPr>
            <w:tcW w:w="780" w:type="dxa"/>
            <w:vAlign w:val="bottom"/>
            <w:gridSpan w:val="3"/>
          </w:tcPr>
          <w:p>
            <w:pPr>
              <w:jc w:val="right"/>
              <w:ind w:right="172"/>
              <w:spacing w:after="0" w:line="146" w:lineRule="exact"/>
              <w:rPr>
                <w:sz w:val="20"/>
                <w:szCs w:val="20"/>
                <w:color w:val="auto"/>
              </w:rPr>
            </w:pPr>
            <w:r>
              <w:rPr>
                <w:rFonts w:ascii="Arial" w:cs="Arial" w:eastAsia="Arial" w:hAnsi="Arial"/>
                <w:sz w:val="14"/>
                <w:szCs w:val="14"/>
                <w:color w:val="auto"/>
                <w:w w:val="94"/>
              </w:rPr>
              <w:t>Earnings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480"/>
              <w:spacing w:after="0" w:line="146" w:lineRule="exact"/>
              <w:rPr>
                <w:sz w:val="20"/>
                <w:szCs w:val="20"/>
                <w:color w:val="auto"/>
              </w:rPr>
            </w:pPr>
            <w:r>
              <w:rPr>
                <w:rFonts w:ascii="Arial" w:cs="Arial" w:eastAsia="Arial" w:hAnsi="Arial"/>
                <w:sz w:val="14"/>
                <w:szCs w:val="14"/>
                <w:color w:val="auto"/>
                <w:w w:val="81"/>
              </w:rPr>
              <w:t>Loss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ind w:left="60"/>
              <w:spacing w:after="0" w:line="146" w:lineRule="exact"/>
              <w:rPr>
                <w:sz w:val="20"/>
                <w:szCs w:val="20"/>
                <w:color w:val="auto"/>
              </w:rPr>
            </w:pPr>
            <w:r>
              <w:rPr>
                <w:rFonts w:ascii="Arial" w:cs="Arial" w:eastAsia="Arial" w:hAnsi="Arial"/>
                <w:sz w:val="14"/>
                <w:szCs w:val="14"/>
                <w:color w:val="auto"/>
              </w:rPr>
              <w:t>Interests</w:t>
            </w:r>
          </w:p>
        </w:tc>
        <w:tc>
          <w:tcPr>
            <w:tcW w:w="680" w:type="dxa"/>
            <w:vAlign w:val="bottom"/>
            <w:gridSpan w:val="2"/>
          </w:tcPr>
          <w:p>
            <w:pPr>
              <w:jc w:val="right"/>
              <w:ind w:right="260"/>
              <w:spacing w:after="0" w:line="146"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Balance, January 1, 2012</w:t>
            </w:r>
          </w:p>
        </w:tc>
        <w:tc>
          <w:tcPr>
            <w:tcW w:w="2780" w:type="dxa"/>
            <w:vAlign w:val="bottom"/>
            <w:tcBorders>
              <w:top w:val="single" w:sz="8" w:color="CCEEFF"/>
            </w:tcBorders>
            <w:gridSpan w:val="2"/>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$11,639</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(5,679)</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$28,860</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(3,557)</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$31,392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1,301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Changes in fair value of derivatives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Pension and other postret irement benefit plans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Shares sold to optionees, less shares exchanged</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(33)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Shares issued under employee stock purchase plan</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Stock-based compensation expense</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declared ($0.275 per share)</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4"/>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11,685</w:t>
            </w:r>
          </w:p>
        </w:tc>
        <w:tc>
          <w:tcPr>
            <w:tcW w:w="7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 (5,767)</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29,794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(3,365)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940" w:type="dxa"/>
            <w:vAlign w:val="bottom"/>
            <w:gridSpan w:val="8"/>
          </w:tcPr>
          <w:p>
            <w:pPr>
              <w:jc w:val="right"/>
              <w:ind w:right="40"/>
              <w:spacing w:after="0"/>
              <w:rPr>
                <w:sz w:val="20"/>
                <w:szCs w:val="20"/>
                <w:color w:val="auto"/>
              </w:rPr>
            </w:pPr>
            <w:r>
              <w:rPr>
                <w:rFonts w:ascii="Arial" w:cs="Arial" w:eastAsia="Arial" w:hAnsi="Arial"/>
                <w:sz w:val="18"/>
                <w:szCs w:val="18"/>
                <w:b w:val="1"/>
                <w:bCs w:val="1"/>
                <w:color w:val="auto"/>
              </w:rPr>
              <w:t>SHARES OF COMMON STOCK</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(Unaudited)</w:t>
            </w: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6"/>
          </w:tcPr>
          <w:p>
            <w:pPr>
              <w:spacing w:after="0"/>
              <w:rPr>
                <w:sz w:val="20"/>
                <w:szCs w:val="20"/>
                <w:color w:val="auto"/>
              </w:rPr>
            </w:pPr>
            <w:r>
              <w:rPr>
                <w:rFonts w:ascii="Arial" w:cs="Arial" w:eastAsia="Arial" w:hAnsi="Arial"/>
                <w:sz w:val="14"/>
                <w:szCs w:val="14"/>
                <w:i w:val="1"/>
                <w:iCs w:val="1"/>
                <w:color w:val="auto"/>
              </w:rPr>
              <w:t>(Stated in millions)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2"/>
              </w:rPr>
              <w:t>Issued</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6"/>
          </w:tcPr>
          <w:p>
            <w:pPr>
              <w:jc w:val="right"/>
              <w:ind w:right="840"/>
              <w:spacing w:after="0" w:line="159" w:lineRule="exact"/>
              <w:rPr>
                <w:sz w:val="20"/>
                <w:szCs w:val="20"/>
                <w:color w:val="auto"/>
              </w:rPr>
            </w:pPr>
            <w:r>
              <w:rPr>
                <w:rFonts w:ascii="Arial" w:cs="Arial" w:eastAsia="Arial" w:hAnsi="Arial"/>
                <w:sz w:val="14"/>
                <w:szCs w:val="14"/>
                <w:color w:val="auto"/>
                <w:w w:val="84"/>
              </w:rPr>
              <w:t>In Treasury</w:t>
            </w:r>
          </w:p>
        </w:tc>
        <w:tc>
          <w:tcPr>
            <w:tcW w:w="160" w:type="dxa"/>
            <w:vAlign w:val="bottom"/>
          </w:tcPr>
          <w:p>
            <w:pPr>
              <w:spacing w:after="0"/>
              <w:rPr>
                <w:sz w:val="13"/>
                <w:szCs w:val="13"/>
                <w:color w:val="auto"/>
              </w:rPr>
            </w:pPr>
          </w:p>
        </w:tc>
        <w:tc>
          <w:tcPr>
            <w:tcW w:w="1220" w:type="dxa"/>
            <w:vAlign w:val="bottom"/>
            <w:gridSpan w:val="5"/>
          </w:tcPr>
          <w:p>
            <w:pPr>
              <w:ind w:left="20"/>
              <w:spacing w:after="0" w:line="159" w:lineRule="exact"/>
              <w:rPr>
                <w:sz w:val="20"/>
                <w:szCs w:val="20"/>
                <w:color w:val="auto"/>
              </w:rPr>
            </w:pPr>
            <w:r>
              <w:rPr>
                <w:rFonts w:ascii="Arial" w:cs="Arial" w:eastAsia="Arial" w:hAnsi="Arial"/>
                <w:sz w:val="14"/>
                <w:szCs w:val="14"/>
                <w:color w:val="auto"/>
              </w:rPr>
              <w:t>Outstanding</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1,434</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(106)</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9"/>
              </w:rPr>
              <w:t>Shares sold to optionees, less shares exchanged</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4"/>
              </w:rPr>
              <w:t>Shares issued under employee stock purchase plan</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1"/>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40" w:type="dxa"/>
            <w:vAlign w:val="bottom"/>
            <w:gridSpan w:val="3"/>
            <w:vMerge w:val="restart"/>
          </w:tcPr>
          <w:p>
            <w:pPr>
              <w:spacing w:after="0"/>
              <w:rPr>
                <w:sz w:val="20"/>
                <w:szCs w:val="20"/>
                <w:color w:val="auto"/>
              </w:rPr>
            </w:pPr>
            <w:r>
              <w:rPr>
                <w:rFonts w:ascii="Arial" w:cs="Arial" w:eastAsia="Arial" w:hAnsi="Arial"/>
                <w:sz w:val="18"/>
                <w:szCs w:val="18"/>
                <w:color w:val="auto"/>
              </w:rPr>
              <w:t>Balance, March 31, 2013</w:t>
            </w: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40" w:type="dxa"/>
            <w:vAlign w:val="bottom"/>
            <w:gridSpan w:val="3"/>
            <w:vMerge w:val="continue"/>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1,434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4"/>
          </w:tcPr>
          <w:p>
            <w:pPr>
              <w:jc w:val="right"/>
              <w:ind w:right="472"/>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1,329</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2013 are not necessarily indicative of the results that may be expected for the full year ending December 31, 2013. The December 31, 2012 balance sheet information has been derived from the Schlumberger 2012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2012, filed with the Securities and Exchange Commission on January 31, 2013.</w:t>
      </w:r>
    </w:p>
    <w:p>
      <w:pPr>
        <w:spacing w:after="0" w:line="195"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three months of 2013 and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Although the functional currency of Schlumberger’s operations in Venezuela is the US dollar, a portion of the transactions are denominated in local currency. In February 2013, Venezuela’s currency was devalued from the prior exchange rate of 4.3 Bolivar Fuertes per US dollar to 6.3 Bolivar Fuertes per US dollar. As a result of this devaluation, Schlumberger recorded a pretax and after-tax foreign currency loss of $92 million during the first quarter of 2013. This amount is classified in </w:t>
      </w:r>
      <w:r>
        <w:rPr>
          <w:rFonts w:ascii="Arial" w:cs="Arial" w:eastAsia="Arial" w:hAnsi="Arial"/>
          <w:sz w:val="18"/>
          <w:szCs w:val="18"/>
          <w:i w:val="1"/>
          <w:iCs w:val="1"/>
          <w:color w:val="auto"/>
        </w:rPr>
        <w:t>Restructuring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Schlumberger recorded $15 million of pretax merger and integration-related charges ($13 million after-tax) in connection with the August 27, 2010 acquisition of Smith International, Inc. This amount is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207"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2"/>
            <w:vMerge w:val="restart"/>
          </w:tcPr>
          <w:p>
            <w:pPr>
              <w:jc w:val="right"/>
              <w:ind w:right="184"/>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6"/>
          </w:tcPr>
          <w:p>
            <w:pPr>
              <w:ind w:left="280"/>
              <w:spacing w:after="0"/>
              <w:rPr>
                <w:sz w:val="20"/>
                <w:szCs w:val="20"/>
                <w:color w:val="auto"/>
              </w:rPr>
            </w:pPr>
            <w:r>
              <w:rPr>
                <w:rFonts w:ascii="Arial" w:cs="Arial" w:eastAsia="Arial" w:hAnsi="Arial"/>
                <w:sz w:val="14"/>
                <w:szCs w:val="14"/>
                <w:i w:val="1"/>
                <w:iCs w:val="1"/>
                <w:color w:val="auto"/>
                <w:w w:val="90"/>
              </w:rPr>
              <w:t>(Stated in millions, except per share amounts)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1"/>
              <w:spacing w:after="0" w:line="159" w:lineRule="exact"/>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Schlumberger</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Earnings per</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3"/>
          </w:tcPr>
          <w:p>
            <w:pPr>
              <w:jc w:val="center"/>
              <w:ind w:right="620"/>
              <w:spacing w:after="0" w:line="129" w:lineRule="exact"/>
              <w:rPr>
                <w:sz w:val="20"/>
                <w:szCs w:val="20"/>
                <w:color w:val="auto"/>
              </w:rPr>
            </w:pPr>
            <w:r>
              <w:rPr>
                <w:rFonts w:ascii="Arial" w:cs="Arial" w:eastAsia="Arial" w:hAnsi="Arial"/>
                <w:sz w:val="14"/>
                <w:szCs w:val="14"/>
                <w:color w:val="auto"/>
                <w:w w:val="84"/>
              </w:rPr>
              <w:t>Schlumberger</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85"/>
              </w:rPr>
              <w:t>Earnings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Income from</w:t>
            </w:r>
          </w:p>
        </w:tc>
        <w:tc>
          <w:tcPr>
            <w:tcW w:w="6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 from</w:t>
            </w:r>
          </w:p>
        </w:tc>
        <w:tc>
          <w:tcPr>
            <w:tcW w:w="300" w:type="dxa"/>
            <w:vAlign w:val="bottom"/>
          </w:tcPr>
          <w:p>
            <w:pPr>
              <w:spacing w:after="0"/>
              <w:rPr>
                <w:sz w:val="12"/>
                <w:szCs w:val="12"/>
                <w:color w:val="auto"/>
              </w:rPr>
            </w:pPr>
          </w:p>
        </w:tc>
        <w:tc>
          <w:tcPr>
            <w:tcW w:w="136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89"/>
              </w:rPr>
              <w:t>Income from</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Continuing</w:t>
            </w:r>
          </w:p>
        </w:tc>
        <w:tc>
          <w:tcPr>
            <w:tcW w:w="6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300" w:type="dxa"/>
            <w:vAlign w:val="bottom"/>
          </w:tcPr>
          <w:p>
            <w:pPr>
              <w:spacing w:after="0"/>
              <w:rPr>
                <w:sz w:val="12"/>
                <w:szCs w:val="12"/>
                <w:color w:val="auto"/>
              </w:rPr>
            </w:pPr>
          </w:p>
        </w:tc>
        <w:tc>
          <w:tcPr>
            <w:tcW w:w="136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92"/>
              </w:rPr>
              <w:t>Continuing</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1"/>
              </w:rPr>
              <w:t>Average Shares</w:t>
            </w: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Continuing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3"/>
              </w:rPr>
              <w:t>Operations</w:t>
            </w:r>
          </w:p>
        </w:tc>
        <w:tc>
          <w:tcPr>
            <w:tcW w:w="6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4"/>
                <w:szCs w:val="1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Operations</w:t>
            </w:r>
          </w:p>
        </w:tc>
        <w:tc>
          <w:tcPr>
            <w:tcW w:w="300" w:type="dxa"/>
            <w:vAlign w:val="bottom"/>
          </w:tcPr>
          <w:p>
            <w:pPr>
              <w:spacing w:after="0"/>
              <w:rPr>
                <w:sz w:val="14"/>
                <w:szCs w:val="14"/>
                <w:color w:val="auto"/>
              </w:rPr>
            </w:pPr>
          </w:p>
        </w:tc>
        <w:tc>
          <w:tcPr>
            <w:tcW w:w="1360" w:type="dxa"/>
            <w:vAlign w:val="bottom"/>
            <w:gridSpan w:val="3"/>
          </w:tcPr>
          <w:p>
            <w:pPr>
              <w:jc w:val="center"/>
              <w:ind w:right="620"/>
              <w:spacing w:after="0"/>
              <w:rPr>
                <w:sz w:val="20"/>
                <w:szCs w:val="20"/>
                <w:color w:val="auto"/>
              </w:rPr>
            </w:pPr>
            <w:r>
              <w:rPr>
                <w:rFonts w:ascii="Arial" w:cs="Arial" w:eastAsia="Arial" w:hAnsi="Arial"/>
                <w:sz w:val="14"/>
                <w:szCs w:val="14"/>
                <w:color w:val="auto"/>
                <w:w w:val="84"/>
              </w:rPr>
              <w:t>Operations</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w w:val="97"/>
              </w:rPr>
              <w:t>Outstanding</w:t>
            </w:r>
          </w:p>
        </w:tc>
        <w:tc>
          <w:tcPr>
            <w:tcW w:w="30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First Quarter</w:t>
            </w: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20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1,259</w:t>
            </w:r>
          </w:p>
        </w:tc>
        <w:tc>
          <w:tcPr>
            <w:tcW w:w="1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1,330</w:t>
            </w:r>
          </w:p>
        </w:tc>
        <w:tc>
          <w:tcPr>
            <w:tcW w:w="880" w:type="dxa"/>
            <w:vAlign w:val="bottom"/>
            <w:tcBorders>
              <w:top w:val="single" w:sz="8" w:color="CCEEFF"/>
            </w:tcBorders>
            <w:gridSpan w:val="2"/>
          </w:tcPr>
          <w:p>
            <w:pPr>
              <w:jc w:val="right"/>
              <w:ind w:right="112"/>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b w:val="1"/>
                <w:bCs w:val="1"/>
                <w:color w:val="auto"/>
              </w:rPr>
              <w:t>0.95</w:t>
            </w:r>
          </w:p>
        </w:tc>
        <w:tc>
          <w:tcPr>
            <w:tcW w:w="520" w:type="dxa"/>
            <w:vAlign w:val="bottom"/>
            <w:tcBorders>
              <w:top w:val="single" w:sz="8" w:color="CCEEFF"/>
            </w:tcBorders>
            <w:gridSpan w:val="2"/>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600"/>
              <w:spacing w:after="0"/>
              <w:rPr>
                <w:sz w:val="20"/>
                <w:szCs w:val="20"/>
                <w:color w:val="auto"/>
              </w:rPr>
            </w:pPr>
            <w:r>
              <w:rPr>
                <w:rFonts w:ascii="Arial" w:cs="Arial" w:eastAsia="Arial" w:hAnsi="Arial"/>
                <w:sz w:val="18"/>
                <w:szCs w:val="18"/>
                <w:color w:val="auto"/>
              </w:rPr>
              <w:t>1,282</w:t>
            </w:r>
          </w:p>
        </w:tc>
        <w:tc>
          <w:tcPr>
            <w:tcW w:w="116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1,334</w:t>
            </w:r>
          </w:p>
        </w:tc>
        <w:tc>
          <w:tcPr>
            <w:tcW w:w="580" w:type="dxa"/>
            <w:vAlign w:val="bottom"/>
            <w:tcBorders>
              <w:top w:val="single" w:sz="8" w:color="CCEEFF"/>
            </w:tcBorders>
            <w:gridSpan w:val="2"/>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1,259</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1,340</w:t>
            </w: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0.94</w:t>
            </w:r>
          </w:p>
        </w:tc>
        <w:tc>
          <w:tcPr>
            <w:tcW w:w="5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1,282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1,344</w:t>
            </w:r>
          </w:p>
        </w:tc>
        <w:tc>
          <w:tcPr>
            <w:tcW w:w="5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gridSpan w:val="2"/>
          </w:tcPr>
          <w:p>
            <w:pPr>
              <w:jc w:val="right"/>
              <w:ind w:right="4"/>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was as follows:</w:t>
      </w:r>
    </w:p>
    <w:p>
      <w:pPr>
        <w:spacing w:after="0" w:line="170" w:lineRule="exact"/>
        <w:rPr>
          <w:sz w:val="20"/>
          <w:szCs w:val="20"/>
          <w:color w:val="auto"/>
        </w:rPr>
      </w:pPr>
    </w:p>
    <w:p>
      <w:pPr>
        <w:jc w:val="center"/>
        <w:ind w:left="6920"/>
        <w:spacing w:after="0"/>
        <w:rPr>
          <w:sz w:val="20"/>
          <w:szCs w:val="20"/>
          <w:color w:val="auto"/>
        </w:rPr>
      </w:pPr>
      <w:r>
        <w:rPr>
          <w:rFonts w:ascii="Arial" w:cs="Arial" w:eastAsia="Arial" w:hAnsi="Arial"/>
          <w:sz w:val="14"/>
          <w:szCs w:val="14"/>
          <w:i w:val="1"/>
          <w:iCs w:val="1"/>
          <w:color w:val="auto"/>
        </w:rPr>
        <w:t>(Stated in millions)</w:t>
      </w:r>
    </w:p>
    <w:p>
      <w:pPr>
        <w:ind w:left="8440"/>
        <w:spacing w:after="0" w:line="219" w:lineRule="auto"/>
        <w:tabs>
          <w:tab w:leader="none" w:pos="96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color w:val="auto"/>
        </w:rPr>
        <w:t>2012</w:t>
      </w:r>
    </w:p>
    <w:tbl>
      <w:tblPr>
        <w:tblLayout w:type="fixed"/>
        <w:tblInd w:w="1380" w:type="dxa"/>
        <w:tblCellMar>
          <w:top w:w="0" w:type="dxa"/>
          <w:left w:w="0" w:type="dxa"/>
          <w:bottom w:w="0" w:type="dxa"/>
          <w:right w:w="0" w:type="dxa"/>
        </w:tblCellMar>
      </w:tblP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7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Mar. 31,</w:t>
            </w:r>
          </w:p>
        </w:tc>
        <w:tc>
          <w:tcPr>
            <w:tcW w:w="2100" w:type="dxa"/>
            <w:vAlign w:val="bottom"/>
            <w:gridSpan w:val="4"/>
          </w:tcPr>
          <w:p>
            <w:pPr>
              <w:ind w:left="9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7"/>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6080" w:type="dxa"/>
            <w:vAlign w:val="bottom"/>
          </w:tcPr>
          <w:p>
            <w:pPr>
              <w:spacing w:after="0"/>
              <w:rPr>
                <w:sz w:val="14"/>
                <w:szCs w:val="14"/>
                <w:color w:val="auto"/>
              </w:rPr>
            </w:pPr>
          </w:p>
        </w:tc>
        <w:tc>
          <w:tcPr>
            <w:tcW w:w="50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2013</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 &amp; field materials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$2,648</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Work in process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383</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1,942</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4,973</w:t>
            </w:r>
          </w:p>
        </w:tc>
        <w:tc>
          <w:tcPr>
            <w:tcW w:w="11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Mar. 31,</w:t>
            </w:r>
          </w:p>
        </w:tc>
        <w:tc>
          <w:tcPr>
            <w:tcW w:w="202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7"/>
        </w:trPr>
        <w:tc>
          <w:tcPr>
            <w:tcW w:w="41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4"/>
                <w:szCs w:val="14"/>
                <w:color w:val="auto"/>
              </w:rPr>
            </w:pPr>
          </w:p>
        </w:tc>
        <w:tc>
          <w:tcPr>
            <w:tcW w:w="250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2013</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20"/>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Property, plant &amp; equipment</w:t>
            </w:r>
          </w:p>
        </w:tc>
        <w:tc>
          <w:tcPr>
            <w:tcW w:w="19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$33,689</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9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18,884</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14,805</w:t>
            </w: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relating to fixed assets was $761 million and $699 million in the first quarter of 2013 and 2012, respectively.</w:t>
      </w:r>
    </w:p>
    <w:p>
      <w:pPr>
        <w:spacing w:after="0" w:line="246"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three months ended March 31, 2013 was as follows:</w:t>
      </w:r>
    </w:p>
    <w:p>
      <w:pPr>
        <w:sectPr>
          <w:pgSz w:w="11900" w:h="16838" w:orient="portrait"/>
          <w:cols w:equalWidth="0" w:num="1">
            <w:col w:w="11320"/>
          </w:cols>
          <w:pgMar w:left="240" w:top="459" w:right="339" w:bottom="1440" w:gutter="0" w:footer="0" w:header="0"/>
        </w:sectPr>
      </w:pPr>
    </w:p>
    <w:p>
      <w:pPr>
        <w:spacing w:after="0" w:line="36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Capitalized in period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March 31, 2013</w:t>
      </w:r>
    </w:p>
    <w:p>
      <w:pPr>
        <w:spacing w:after="0" w:line="212" w:lineRule="exact"/>
        <w:rPr>
          <w:sz w:val="20"/>
          <w:szCs w:val="20"/>
          <w:color w:val="auto"/>
        </w:rPr>
      </w:pPr>
    </w:p>
    <w:p>
      <w:pPr>
        <w:jc w:val="right"/>
        <w:ind w:right="19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(Stated in millions)</w:t>
      </w:r>
    </w:p>
    <w:p>
      <w:pPr>
        <w:spacing w:after="0" w:line="27" w:lineRule="exact"/>
        <w:rPr>
          <w:sz w:val="20"/>
          <w:szCs w:val="20"/>
          <w:color w:val="auto"/>
        </w:rPr>
      </w:pPr>
    </w:p>
    <w:p>
      <w:pPr>
        <w:ind w:left="780" w:hanging="778"/>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518</w:t>
      </w:r>
    </w:p>
    <w:p>
      <w:pPr>
        <w:spacing w:after="0" w:line="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117</w:t>
      </w:r>
    </w:p>
    <w:p>
      <w:pPr>
        <w:spacing w:after="0" w:line="9"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660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3" w:lineRule="exact"/>
        <w:rPr>
          <w:sz w:val="20"/>
          <w:szCs w:val="20"/>
          <w:color w:val="auto"/>
        </w:rPr>
      </w:pPr>
    </w:p>
    <w:p>
      <w:pPr>
        <w:ind w:left="780" w:hanging="778"/>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60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660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ectPr>
          <w:pgSz w:w="11900" w:h="16838" w:orient="portrait"/>
          <w:cols w:equalWidth="0" w:num="2">
            <w:col w:w="7720" w:space="720"/>
            <w:col w:w="2880"/>
          </w:cols>
          <w:pgMar w:left="240" w:top="459"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unit for the three months ended March 31, 2013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560"/>
              <w:spacing w:after="0"/>
              <w:rPr>
                <w:sz w:val="20"/>
                <w:szCs w:val="20"/>
                <w:color w:val="auto"/>
              </w:rPr>
            </w:pPr>
            <w:r>
              <w:rPr>
                <w:rFonts w:ascii="Arial" w:cs="Arial" w:eastAsia="Arial" w:hAnsi="Arial"/>
                <w:sz w:val="14"/>
                <w:szCs w:val="14"/>
                <w:color w:val="auto"/>
                <w:w w:val="93"/>
              </w:rPr>
              <w:t>Reservoir</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280" w:type="dxa"/>
            <w:vAlign w:val="bottom"/>
            <w:gridSpan w:val="3"/>
          </w:tcPr>
          <w:p>
            <w:pPr>
              <w:spacing w:after="0" w:line="159" w:lineRule="exact"/>
              <w:rPr>
                <w:sz w:val="20"/>
                <w:szCs w:val="20"/>
                <w:color w:val="auto"/>
              </w:rPr>
            </w:pPr>
            <w:r>
              <w:rPr>
                <w:rFonts w:ascii="Arial" w:cs="Arial" w:eastAsia="Arial" w:hAnsi="Arial"/>
                <w:sz w:val="14"/>
                <w:szCs w:val="14"/>
                <w:color w:val="auto"/>
              </w:rPr>
              <w:t>Characterization</w:t>
            </w:r>
          </w:p>
        </w:tc>
        <w:tc>
          <w:tcPr>
            <w:tcW w:w="300" w:type="dxa"/>
            <w:vAlign w:val="bottom"/>
          </w:tcPr>
          <w:p>
            <w:pPr>
              <w:spacing w:after="0"/>
              <w:rPr>
                <w:sz w:val="13"/>
                <w:szCs w:val="13"/>
                <w:color w:val="auto"/>
              </w:rPr>
            </w:pPr>
          </w:p>
        </w:tc>
        <w:tc>
          <w:tcPr>
            <w:tcW w:w="116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Drilling</w:t>
            </w:r>
          </w:p>
        </w:tc>
        <w:tc>
          <w:tcPr>
            <w:tcW w:w="960" w:type="dxa"/>
            <w:vAlign w:val="bottom"/>
            <w:gridSpan w:val="3"/>
          </w:tcPr>
          <w:p>
            <w:pPr>
              <w:spacing w:after="0" w:line="159" w:lineRule="exact"/>
              <w:rPr>
                <w:sz w:val="20"/>
                <w:szCs w:val="20"/>
                <w:color w:val="auto"/>
              </w:rPr>
            </w:pPr>
            <w:r>
              <w:rPr>
                <w:rFonts w:ascii="Arial" w:cs="Arial" w:eastAsia="Arial" w:hAnsi="Arial"/>
                <w:sz w:val="14"/>
                <w:szCs w:val="14"/>
                <w:color w:val="auto"/>
              </w:rPr>
              <w:t>Production</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$8,337</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2,488</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Impact of changes in exchange rates and other</w:t>
            </w: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2,487</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Mar. 31, 2013</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color w:val="auto"/>
              </w:rPr>
              <w:t>Dec. 31, 2012</w:t>
            </w:r>
          </w:p>
        </w:tc>
        <w:tc>
          <w:tcPr>
            <w:tcW w:w="1140" w:type="dxa"/>
            <w:vAlign w:val="bottom"/>
            <w:gridSpan w:val="3"/>
          </w:tcPr>
          <w:p>
            <w:pPr>
              <w:ind w:left="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36"/>
        </w:trPr>
        <w:tc>
          <w:tcPr>
            <w:tcW w:w="3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Net Book</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620"/>
              <w:spacing w:after="0" w:line="129" w:lineRule="exact"/>
              <w:rPr>
                <w:sz w:val="20"/>
                <w:szCs w:val="20"/>
                <w:color w:val="auto"/>
              </w:rPr>
            </w:pPr>
            <w:r>
              <w:rPr>
                <w:rFonts w:ascii="Arial" w:cs="Arial" w:eastAsia="Arial" w:hAnsi="Arial"/>
                <w:sz w:val="14"/>
                <w:szCs w:val="14"/>
                <w:color w:val="auto"/>
                <w:w w:val="85"/>
              </w:rPr>
              <w:t>Gross</w:t>
            </w:r>
          </w:p>
        </w:tc>
        <w:tc>
          <w:tcPr>
            <w:tcW w:w="1160" w:type="dxa"/>
            <w:vAlign w:val="bottom"/>
            <w:gridSpan w:val="3"/>
          </w:tcPr>
          <w:p>
            <w:pPr>
              <w:spacing w:after="0" w:line="12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1"/>
                <w:szCs w:val="11"/>
                <w:color w:val="auto"/>
              </w:rPr>
            </w:pPr>
          </w:p>
        </w:tc>
        <w:tc>
          <w:tcPr>
            <w:tcW w:w="860" w:type="dxa"/>
            <w:vAlign w:val="bottom"/>
          </w:tcPr>
          <w:p>
            <w:pPr>
              <w:jc w:val="center"/>
              <w:ind w:right="98"/>
              <w:spacing w:after="0" w:line="129" w:lineRule="exact"/>
              <w:rPr>
                <w:sz w:val="20"/>
                <w:szCs w:val="20"/>
                <w:color w:val="auto"/>
              </w:rPr>
            </w:pPr>
            <w:r>
              <w:rPr>
                <w:rFonts w:ascii="Arial" w:cs="Arial" w:eastAsia="Arial" w:hAnsi="Arial"/>
                <w:sz w:val="14"/>
                <w:szCs w:val="14"/>
                <w:color w:val="auto"/>
                <w:w w:val="90"/>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Book Value</w:t>
            </w:r>
          </w:p>
        </w:tc>
        <w:tc>
          <w:tcPr>
            <w:tcW w:w="4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540" w:type="dxa"/>
            <w:vAlign w:val="bottom"/>
          </w:tcPr>
          <w:p>
            <w:pPr>
              <w:jc w:val="right"/>
              <w:ind w:right="22"/>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w w:val="83"/>
              </w:rPr>
              <w:t>Book Value</w:t>
            </w:r>
          </w:p>
        </w:tc>
        <w:tc>
          <w:tcPr>
            <w:tcW w:w="116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Technology/Technical Know-How</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1,966</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$ 1,457</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Tradenames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1,647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205</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1,442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2,115</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1,777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w:t>
            </w: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6,111</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1,377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$ 4,734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$82 million during the first quarter of 2013 and $80 million during the same period of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20 years.</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Based on the net book value of intangible assets at March 31, 2013, amortization charged to income for the subsequent five years is estimated to be: remainder of 2013—$246 million; 2014—$323 million; 2015—$312 million; 2016—$299 million; 2017—$288 million; and 2018—$280 million.</w:t>
      </w:r>
    </w:p>
    <w:p>
      <w:pPr>
        <w:spacing w:after="0" w:line="16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Mar. 31,</w:t>
            </w:r>
          </w:p>
        </w:tc>
        <w:tc>
          <w:tcPr>
            <w:tcW w:w="2100" w:type="dxa"/>
            <w:vAlign w:val="bottom"/>
            <w:gridSpan w:val="4"/>
          </w:tcPr>
          <w:p>
            <w:pPr>
              <w:ind w:left="9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16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2013</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3.30%</w:t>
            </w:r>
          </w:p>
        </w:tc>
        <w:tc>
          <w:tcPr>
            <w:tcW w:w="294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Senior Notes due 2021</w:t>
            </w:r>
          </w:p>
        </w:tc>
        <w:tc>
          <w:tcPr>
            <w:tcW w:w="2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$1,596</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4.50%</w:t>
            </w:r>
          </w:p>
        </w:tc>
        <w:tc>
          <w:tcPr>
            <w:tcW w:w="2940" w:type="dxa"/>
            <w:vAlign w:val="bottom"/>
          </w:tcPr>
          <w:p>
            <w:pPr>
              <w:ind w:left="20"/>
              <w:spacing w:after="0"/>
              <w:rPr>
                <w:sz w:val="20"/>
                <w:szCs w:val="20"/>
                <w:color w:val="auto"/>
              </w:rPr>
            </w:pPr>
            <w:r>
              <w:rPr>
                <w:rFonts w:ascii="Arial" w:cs="Arial" w:eastAsia="Arial" w:hAnsi="Arial"/>
                <w:sz w:val="18"/>
                <w:szCs w:val="18"/>
                <w:color w:val="auto"/>
              </w:rPr>
              <w:t>Guaranteed Notes due 2014</w:t>
            </w:r>
          </w:p>
        </w:tc>
        <w:tc>
          <w:tcPr>
            <w:tcW w:w="2660" w:type="dxa"/>
            <w:vAlign w:val="bottom"/>
          </w:tcPr>
          <w:p>
            <w:pPr>
              <w:spacing w:after="0"/>
              <w:rPr>
                <w:sz w:val="18"/>
                <w:szCs w:val="18"/>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2.75%</w:t>
            </w: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Guaranteed Notes due 2015</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1,281</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1.95%</w:t>
            </w:r>
          </w:p>
        </w:tc>
        <w:tc>
          <w:tcPr>
            <w:tcW w:w="294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3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1,099</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4.20%</w:t>
            </w: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2021</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1,099</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1.25%</w:t>
            </w:r>
          </w:p>
        </w:tc>
        <w:tc>
          <w:tcPr>
            <w:tcW w:w="294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3160" w:type="dxa"/>
            <w:vAlign w:val="bottom"/>
            <w:gridSpan w:val="2"/>
          </w:tcPr>
          <w:p>
            <w:pPr>
              <w:jc w:val="right"/>
              <w:spacing w:after="0"/>
              <w:rPr>
                <w:sz w:val="20"/>
                <w:szCs w:val="20"/>
                <w:color w:val="auto"/>
              </w:rPr>
            </w:pPr>
            <w:r>
              <w:rPr>
                <w:rFonts w:ascii="Arial" w:cs="Arial" w:eastAsia="Arial" w:hAnsi="Arial"/>
                <w:sz w:val="18"/>
                <w:szCs w:val="18"/>
                <w:b w:val="1"/>
                <w:bCs w:val="1"/>
                <w:color w:val="auto"/>
              </w:rPr>
              <w:t>999</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2.40%</w:t>
            </w: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998</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2.65%</w:t>
            </w:r>
          </w:p>
        </w:tc>
        <w:tc>
          <w:tcPr>
            <w:tcW w:w="294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3160" w:type="dxa"/>
            <w:vAlign w:val="bottom"/>
            <w:gridSpan w:val="2"/>
          </w:tcPr>
          <w:p>
            <w:pPr>
              <w:jc w:val="right"/>
              <w:spacing w:after="0"/>
              <w:rPr>
                <w:sz w:val="20"/>
                <w:szCs w:val="20"/>
                <w:color w:val="auto"/>
              </w:rPr>
            </w:pPr>
            <w:r>
              <w:rPr>
                <w:rFonts w:ascii="Arial" w:cs="Arial" w:eastAsia="Arial" w:hAnsi="Arial"/>
                <w:sz w:val="18"/>
                <w:szCs w:val="18"/>
                <w:b w:val="1"/>
                <w:bCs w:val="1"/>
                <w:color w:val="auto"/>
              </w:rPr>
              <w:t>500</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Floating Rate Senior Notes due 2014</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Other variable rate debt</w:t>
            </w:r>
          </w:p>
        </w:tc>
        <w:tc>
          <w:tcPr>
            <w:tcW w:w="2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8,138</w:t>
            </w:r>
          </w:p>
        </w:tc>
        <w:tc>
          <w:tcPr>
            <w:tcW w:w="11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60" w:type="dxa"/>
            <w:vAlign w:val="bottom"/>
            <w:vMerge w:val="restart"/>
          </w:tcPr>
          <w:p>
            <w:pPr>
              <w:jc w:val="right"/>
              <w:ind w:right="1574"/>
              <w:spacing w:after="0"/>
              <w:rPr>
                <w:sz w:val="20"/>
                <w:szCs w:val="20"/>
                <w:color w:val="auto"/>
              </w:rPr>
            </w:pPr>
            <w:r>
              <w:rPr>
                <w:rFonts w:ascii="Arial" w:cs="Arial" w:eastAsia="Arial" w:hAnsi="Arial"/>
                <w:sz w:val="18"/>
                <w:szCs w:val="18"/>
                <w:color w:val="auto"/>
              </w:rPr>
              <w:t>10</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March 31, 2013 and December 31, 2012, based on quoted market prices, was $8.5 billion and $9.9 billion, respectively.</w:t>
      </w:r>
    </w:p>
    <w:p>
      <w:pPr>
        <w:spacing w:after="0" w:line="207"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Schlumberger is exposed to market risks related to fluctuations in foreign currency exchange rates, commodity prices and interest rates. To mitigate these risks, Schlumberger utilizes derivative instruments. Schlumberger does not enter into derivative transactions for speculative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a multinational company, Schlumberger conducts business in more than 85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Schlumberger is exposed to risks on future cash flows to the extent that local currency expenses exceed revenues denominated in local currency that are other than the functional currency. In addition, Schlumberger is also exposed to risks on future cash flows relating to certain of its long-term debt which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are reclassified into earnings in the same period or periods that the hedged item is recognized in earnings. The ineffective portion of changes in the fair value of hedging instruments, if any, is recorded directly to earnings.</w:t>
      </w:r>
    </w:p>
    <w:p>
      <w:pPr>
        <w:spacing w:after="0" w:line="11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 xml:space="preserve">At March 31, 2013, Schlumberger recognized a cumulative net $44 million loss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8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 xml:space="preserve">Consolidated Statement of Income </w:t>
      </w:r>
      <w:r>
        <w:rPr>
          <w:rFonts w:ascii="Arial" w:cs="Arial" w:eastAsia="Arial" w:hAnsi="Arial"/>
          <w:sz w:val="16"/>
          <w:szCs w:val="16"/>
          <w:color w:val="auto"/>
        </w:rPr>
        <w:t>along with the change in fair value of the hedged item.</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March 31, 2013, contracts were outstanding for the US dollar equivalent of $7.2 billion in various foreign currencies, of which $3.9 billion relate to hedges of debt denominated in currencies other than the functional currency.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 is exposed to the impact of market fluctuations in the price of certain commodities, such as fuel. Schlumberger utilizes option contracts to manage a small percentage of the price risk associated with forecasted fuel purchases. The objective of these contracts is to reduce the variability of cash flows associated with the forecasted purchase of those commodities. These contracts do not qualify for hedge accounting treatment and therefore, changes in the fair value of the option contracts are recorded directly to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 of outstanding option commodity contracts was $7 million at March 31,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2013, Schlumberger had fixed rate debt aggregating $9.5 billion and variable rate debt aggregating $1.6 billion.</w:t>
      </w:r>
    </w:p>
    <w:p>
      <w:pPr>
        <w:spacing w:after="0" w:line="171"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$3.7 billion at March 31, 2013, and were comprised primarily of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funds, eurodollar time deposits, certificates of deposit, commercial paper, euro notes and Eurobonds, and were substantially all denominated in US dollars. The carrying value of these investments approximated fair value, which was estimated using quoted market prices for those or similar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ind w:left="380"/>
              <w:spacing w:after="0"/>
              <w:rPr>
                <w:sz w:val="20"/>
                <w:szCs w:val="20"/>
                <w:color w:val="auto"/>
              </w:rPr>
            </w:pPr>
            <w:r>
              <w:rPr>
                <w:rFonts w:ascii="Arial" w:cs="Arial" w:eastAsia="Arial" w:hAnsi="Arial"/>
                <w:sz w:val="14"/>
                <w:szCs w:val="14"/>
                <w:i w:val="1"/>
                <w:iCs w:val="1"/>
                <w:color w:val="auto"/>
              </w:rPr>
              <w:t>(Stated in millions)</w:t>
            </w:r>
          </w:p>
        </w:tc>
        <w:tc>
          <w:tcPr>
            <w:tcW w:w="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6"/>
          </w:tcPr>
          <w:p>
            <w:pPr>
              <w:ind w:left="280"/>
              <w:spacing w:after="0" w:line="149" w:lineRule="exact"/>
              <w:rPr>
                <w:sz w:val="20"/>
                <w:szCs w:val="20"/>
                <w:color w:val="auto"/>
              </w:rPr>
            </w:pPr>
            <w:r>
              <w:rPr>
                <w:rFonts w:ascii="Arial" w:cs="Arial" w:eastAsia="Arial" w:hAnsi="Arial"/>
                <w:sz w:val="14"/>
                <w:szCs w:val="14"/>
                <w:b w:val="1"/>
                <w:bCs w:val="1"/>
                <w:color w:val="auto"/>
              </w:rPr>
              <w:t>Fair Value of</w:t>
            </w:r>
          </w:p>
        </w:tc>
        <w:tc>
          <w:tcPr>
            <w:tcW w:w="2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Derivatives</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i w:val="1"/>
                <w:iCs w:val="1"/>
                <w:color w:val="auto"/>
              </w:rPr>
              <w:t xml:space="preserve">Consolidated Balance Sheet </w:t>
            </w: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Mar. 31,</w:t>
            </w:r>
          </w:p>
        </w:tc>
        <w:tc>
          <w:tcPr>
            <w:tcW w:w="22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1"/>
              </w:rPr>
              <w:t>Dec. 31,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83"/>
              </w:rPr>
              <w:t>2012</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Foreign exchange contracts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620" w:type="dxa"/>
            <w:vAlign w:val="bottom"/>
            <w:gridSpan w:val="2"/>
          </w:tcPr>
          <w:p>
            <w:pPr>
              <w:ind w:left="22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1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1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Foreign exchange contracts</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620" w:type="dxa"/>
            <w:vAlign w:val="bottom"/>
            <w:gridSpan w:val="2"/>
          </w:tcPr>
          <w:p>
            <w:pPr>
              <w:ind w:left="22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1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4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Foreign exchange contracts</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3620" w:type="dxa"/>
            <w:vAlign w:val="bottom"/>
            <w:gridSpan w:val="2"/>
          </w:tcPr>
          <w:p>
            <w:pPr>
              <w:ind w:left="220"/>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1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2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1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Foreign exchange contracts</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620" w:type="dxa"/>
            <w:vAlign w:val="bottom"/>
            <w:gridSpan w:val="2"/>
          </w:tcPr>
          <w:p>
            <w:pPr>
              <w:ind w:left="220"/>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can be derived from or corroborated by observable data.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effect of derivative instruments designated as fair value hedges and those not designated as hedges on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jc w:val="center"/>
              <w:ind w:right="140"/>
              <w:spacing w:after="0"/>
              <w:rPr>
                <w:sz w:val="20"/>
                <w:szCs w:val="20"/>
                <w:color w:val="auto"/>
              </w:rPr>
            </w:pPr>
            <w:r>
              <w:rPr>
                <w:rFonts w:ascii="Arial" w:cs="Arial" w:eastAsia="Arial" w:hAnsi="Arial"/>
                <w:sz w:val="14"/>
                <w:szCs w:val="14"/>
                <w:i w:val="1"/>
                <w:iCs w:val="1"/>
                <w:color w:val="auto"/>
                <w:w w:val="90"/>
              </w:rPr>
              <w:t>(Stated in millions)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7"/>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Gain (Loss) Recognized in</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Income</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restart"/>
          </w:tcPr>
          <w:p>
            <w:pPr>
              <w:spacing w:after="0"/>
              <w:rPr>
                <w:sz w:val="20"/>
                <w:szCs w:val="20"/>
                <w:color w:val="auto"/>
              </w:rPr>
            </w:pPr>
            <w:r>
              <w:rPr>
                <w:rFonts w:ascii="Arial" w:cs="Arial" w:eastAsia="Arial" w:hAnsi="Arial"/>
                <w:sz w:val="14"/>
                <w:szCs w:val="14"/>
                <w:i w:val="1"/>
                <w:iCs w:val="1"/>
                <w:color w:val="auto"/>
                <w:w w:val="85"/>
              </w:rPr>
              <w:t>Consolidated Statement</w:t>
            </w:r>
          </w:p>
        </w:tc>
        <w:tc>
          <w:tcPr>
            <w:tcW w:w="0" w:type="dxa"/>
            <w:vAlign w:val="bottom"/>
          </w:tcPr>
          <w:p>
            <w:pPr>
              <w:spacing w:after="0"/>
              <w:rPr>
                <w:sz w:val="1"/>
                <w:szCs w:val="1"/>
                <w:color w:val="auto"/>
              </w:rPr>
            </w:pPr>
          </w:p>
        </w:tc>
      </w:tr>
      <w:tr>
        <w:trPr>
          <w:trHeight w:val="118"/>
        </w:trPr>
        <w:tc>
          <w:tcPr>
            <w:tcW w:w="7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First Quarter</w:t>
            </w: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7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3"/>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restart"/>
          </w:tcPr>
          <w:p>
            <w:pPr>
              <w:jc w:val="center"/>
              <w:spacing w:after="0" w:line="149" w:lineRule="exact"/>
              <w:rPr>
                <w:sz w:val="20"/>
                <w:szCs w:val="20"/>
                <w:color w:val="auto"/>
              </w:rPr>
            </w:pPr>
            <w:r>
              <w:rPr>
                <w:rFonts w:ascii="Arial" w:cs="Arial" w:eastAsia="Arial" w:hAnsi="Arial"/>
                <w:sz w:val="14"/>
                <w:szCs w:val="14"/>
                <w:i w:val="1"/>
                <w:iCs w:val="1"/>
                <w:color w:val="auto"/>
                <w:w w:val="85"/>
              </w:rPr>
              <w:t>of</w:t>
            </w:r>
          </w:p>
        </w:tc>
        <w:tc>
          <w:tcPr>
            <w:tcW w:w="0" w:type="dxa"/>
            <w:vAlign w:val="bottom"/>
          </w:tcPr>
          <w:p>
            <w:pPr>
              <w:spacing w:after="0"/>
              <w:rPr>
                <w:sz w:val="1"/>
                <w:szCs w:val="1"/>
                <w:color w:val="auto"/>
              </w:rPr>
            </w:pPr>
          </w:p>
        </w:tc>
      </w:tr>
      <w:tr>
        <w:trPr>
          <w:trHeight w:val="50"/>
        </w:trPr>
        <w:tc>
          <w:tcPr>
            <w:tcW w:w="7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7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6"/>
              <w:spacing w:after="0" w:line="159" w:lineRule="exact"/>
              <w:rPr>
                <w:sz w:val="20"/>
                <w:szCs w:val="20"/>
                <w:color w:val="auto"/>
              </w:rPr>
            </w:pPr>
            <w:r>
              <w:rPr>
                <w:rFonts w:ascii="Arial" w:cs="Arial" w:eastAsia="Arial" w:hAnsi="Arial"/>
                <w:sz w:val="14"/>
                <w:szCs w:val="14"/>
                <w:color w:val="auto"/>
                <w:w w:val="89"/>
              </w:rPr>
              <w:t>2012</w:t>
            </w:r>
          </w:p>
        </w:tc>
        <w:tc>
          <w:tcPr>
            <w:tcW w:w="44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i w:val="1"/>
                <w:iCs w:val="1"/>
                <w:color w:val="auto"/>
                <w:w w:val="89"/>
              </w:rPr>
              <w:t>Income Classification</w:t>
            </w:r>
          </w:p>
        </w:tc>
        <w:tc>
          <w:tcPr>
            <w:tcW w:w="0" w:type="dxa"/>
            <w:vAlign w:val="bottom"/>
          </w:tcPr>
          <w:p>
            <w:pPr>
              <w:spacing w:after="0"/>
              <w:rPr>
                <w:sz w:val="1"/>
                <w:szCs w:val="1"/>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fair value hedges: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(1)</w:t>
            </w:r>
          </w:p>
        </w:tc>
        <w:tc>
          <w:tcPr>
            <w:tcW w:w="880" w:type="dxa"/>
            <w:vAlign w:val="bottom"/>
            <w:gridSpan w:val="2"/>
          </w:tcPr>
          <w:p>
            <w:pPr>
              <w:jc w:val="center"/>
              <w:ind w:left="6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700" w:type="dxa"/>
            <w:vAlign w:val="bottom"/>
            <w:gridSpan w:val="2"/>
          </w:tcPr>
          <w:p>
            <w:pPr>
              <w:ind w:left="400"/>
              <w:spacing w:after="0"/>
              <w:rPr>
                <w:sz w:val="20"/>
                <w:szCs w:val="20"/>
                <w:color w:val="auto"/>
              </w:rPr>
            </w:pPr>
            <w:r>
              <w:rPr>
                <w:rFonts w:ascii="Arial" w:cs="Arial" w:eastAsia="Arial" w:hAnsi="Arial"/>
                <w:sz w:val="18"/>
                <w:szCs w:val="18"/>
                <w:i w:val="1"/>
                <w:iCs w:val="1"/>
                <w:color w:val="auto"/>
                <w:w w:val="96"/>
              </w:rPr>
              <w:t>Interest expense</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(22)</w:t>
            </w:r>
          </w:p>
        </w:tc>
        <w:tc>
          <w:tcPr>
            <w:tcW w:w="880" w:type="dxa"/>
            <w:vAlign w:val="bottom"/>
            <w:gridSpan w:val="2"/>
          </w:tcPr>
          <w:p>
            <w:pPr>
              <w:jc w:val="center"/>
              <w:ind w:left="6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1700" w:type="dxa"/>
            <w:vAlign w:val="bottom"/>
            <w:gridSpan w:val="2"/>
          </w:tcPr>
          <w:p>
            <w:pPr>
              <w:ind w:left="40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40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60" w:type="dxa"/>
            <w:vAlign w:val="bottom"/>
            <w:gridSpan w:val="2"/>
          </w:tcPr>
          <w:p>
            <w:pPr>
              <w:jc w:val="right"/>
              <w:ind w:right="32"/>
              <w:spacing w:after="0"/>
              <w:rPr>
                <w:sz w:val="20"/>
                <w:szCs w:val="20"/>
                <w:color w:val="auto"/>
              </w:rPr>
            </w:pPr>
            <w:r>
              <w:rPr>
                <w:rFonts w:ascii="Arial" w:cs="Arial" w:eastAsia="Arial" w:hAnsi="Arial"/>
                <w:sz w:val="16"/>
                <w:szCs w:val="16"/>
                <w:b w:val="1"/>
                <w:bCs w:val="1"/>
                <w:color w:val="auto"/>
                <w:w w:val="74"/>
              </w:rPr>
              <w:t>)</w:t>
            </w:r>
          </w:p>
        </w:tc>
        <w:tc>
          <w:tcPr>
            <w:tcW w:w="880" w:type="dxa"/>
            <w:vAlign w:val="bottom"/>
            <w:gridSpan w:val="2"/>
          </w:tcPr>
          <w:p>
            <w:pPr>
              <w:jc w:val="center"/>
              <w:ind w:left="6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in cash flow hedging relationships on income and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(AOCL)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60"/>
              <w:spacing w:after="0"/>
              <w:rPr>
                <w:sz w:val="20"/>
                <w:szCs w:val="20"/>
                <w:color w:val="auto"/>
              </w:rPr>
            </w:pPr>
            <w:r>
              <w:rPr>
                <w:rFonts w:ascii="Arial" w:cs="Arial" w:eastAsia="Arial" w:hAnsi="Arial"/>
                <w:sz w:val="14"/>
                <w:szCs w:val="14"/>
                <w:i w:val="1"/>
                <w:iCs w:val="1"/>
                <w:color w:val="auto"/>
              </w:rPr>
              <w:t>(Stated in millions)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8"/>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Gain (Loss) Reclassified from</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92"/>
              </w:rPr>
              <w:t>AOCL into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right="92"/>
              <w:spacing w:after="0" w:line="142" w:lineRule="exact"/>
              <w:rPr>
                <w:sz w:val="20"/>
                <w:szCs w:val="20"/>
                <w:color w:val="auto"/>
              </w:rPr>
            </w:pPr>
            <w:r>
              <w:rPr>
                <w:rFonts w:ascii="Arial" w:cs="Arial" w:eastAsia="Arial" w:hAnsi="Arial"/>
                <w:sz w:val="14"/>
                <w:szCs w:val="14"/>
                <w:b w:val="1"/>
                <w:bCs w:val="1"/>
                <w:color w:val="auto"/>
                <w:w w:val="94"/>
              </w:rPr>
              <w:t>First Quarter</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i w:val="1"/>
                <w:iCs w:val="1"/>
                <w:color w:val="auto"/>
                <w:w w:val="82"/>
              </w:rPr>
              <w:t>Consolidated Statement</w:t>
            </w: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197"/>
              <w:spacing w:after="0" w:line="142" w:lineRule="exact"/>
              <w:rPr>
                <w:sz w:val="20"/>
                <w:szCs w:val="20"/>
                <w:color w:val="auto"/>
              </w:rPr>
            </w:pPr>
            <w:r>
              <w:rPr>
                <w:rFonts w:ascii="Arial" w:cs="Arial" w:eastAsia="Arial" w:hAnsi="Arial"/>
                <w:sz w:val="14"/>
                <w:szCs w:val="14"/>
                <w:color w:val="auto"/>
              </w:rPr>
              <w:t>2012</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i w:val="1"/>
                <w:iCs w:val="1"/>
                <w:color w:val="auto"/>
                <w:w w:val="84"/>
              </w:rPr>
              <w:t>of Income Classification</w:t>
            </w:r>
          </w:p>
        </w:tc>
        <w:tc>
          <w:tcPr>
            <w:tcW w:w="0" w:type="dxa"/>
            <w:vAlign w:val="bottom"/>
          </w:tcPr>
          <w:p>
            <w:pPr>
              <w:spacing w:after="0"/>
              <w:rPr>
                <w:sz w:val="1"/>
                <w:szCs w:val="1"/>
                <w:color w:val="auto"/>
              </w:rPr>
            </w:pPr>
          </w:p>
        </w:tc>
      </w:tr>
      <w:tr>
        <w:trPr>
          <w:trHeight w:val="210"/>
        </w:trPr>
        <w:tc>
          <w:tcPr>
            <w:tcW w:w="63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Arial" w:cs="Arial" w:eastAsia="Arial" w:hAnsi="Arial"/>
                <w:sz w:val="18"/>
                <w:szCs w:val="18"/>
                <w:color w:val="auto"/>
              </w:rPr>
              <w:t>Foreign exchange contracts</w:t>
            </w:r>
          </w:p>
        </w:tc>
        <w:tc>
          <w:tcPr>
            <w:tcW w:w="180" w:type="dxa"/>
            <w:vAlign w:val="bottom"/>
          </w:tcPr>
          <w:p>
            <w:pPr>
              <w:spacing w:after="0"/>
              <w:rPr>
                <w:sz w:val="18"/>
                <w:szCs w:val="18"/>
                <w:color w:val="auto"/>
              </w:rPr>
            </w:pPr>
          </w:p>
        </w:tc>
        <w:tc>
          <w:tcPr>
            <w:tcW w:w="640" w:type="dxa"/>
            <w:vAlign w:val="bottom"/>
          </w:tcPr>
          <w:p>
            <w:pPr>
              <w:jc w:val="right"/>
              <w:ind w:right="2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i w:val="1"/>
                <w:iCs w:val="1"/>
                <w:color w:val="auto"/>
                <w:w w:val="89"/>
              </w:rPr>
              <w:t>Research &amp; engineering</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6"/>
          </w:tcPr>
          <w:p>
            <w:pPr>
              <w:jc w:val="right"/>
              <w:ind w:right="60"/>
              <w:spacing w:after="0"/>
              <w:rPr>
                <w:sz w:val="20"/>
                <w:szCs w:val="20"/>
                <w:color w:val="auto"/>
              </w:rPr>
            </w:pPr>
            <w:r>
              <w:rPr>
                <w:rFonts w:ascii="Arial" w:cs="Arial" w:eastAsia="Arial" w:hAnsi="Arial"/>
                <w:sz w:val="14"/>
                <w:szCs w:val="14"/>
                <w:i w:val="1"/>
                <w:iCs w:val="1"/>
                <w:color w:val="auto"/>
              </w:rPr>
              <w:t>(Stated in millions)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6"/>
          </w:tcPr>
          <w:p>
            <w:pPr>
              <w:jc w:val="center"/>
              <w:ind w:left="162"/>
              <w:spacing w:after="0" w:line="149" w:lineRule="exact"/>
              <w:rPr>
                <w:sz w:val="20"/>
                <w:szCs w:val="20"/>
                <w:color w:val="auto"/>
              </w:rPr>
            </w:pPr>
            <w:r>
              <w:rPr>
                <w:rFonts w:ascii="Arial" w:cs="Arial" w:eastAsia="Arial" w:hAnsi="Arial"/>
                <w:sz w:val="14"/>
                <w:szCs w:val="14"/>
                <w:b w:val="1"/>
                <w:bCs w:val="1"/>
                <w:color w:val="auto"/>
                <w:w w:val="86"/>
              </w:rPr>
              <w:t>Gain (Loss) Recognized in</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4"/>
                <w:szCs w:val="14"/>
                <w:b w:val="1"/>
                <w:bCs w:val="1"/>
                <w:color w:val="auto"/>
              </w:rPr>
              <w:t>AOCL</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right="92"/>
              <w:spacing w:after="0" w:line="142" w:lineRule="exact"/>
              <w:rPr>
                <w:sz w:val="20"/>
                <w:szCs w:val="20"/>
                <w:color w:val="auto"/>
              </w:rPr>
            </w:pPr>
            <w:r>
              <w:rPr>
                <w:rFonts w:ascii="Arial" w:cs="Arial" w:eastAsia="Arial" w:hAnsi="Arial"/>
                <w:sz w:val="14"/>
                <w:szCs w:val="14"/>
                <w:b w:val="1"/>
                <w:bCs w:val="1"/>
                <w:color w:val="auto"/>
                <w:w w:val="94"/>
              </w:rPr>
              <w:t>First Quarter</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197"/>
              <w:spacing w:after="0" w:line="142" w:lineRule="exact"/>
              <w:rPr>
                <w:sz w:val="20"/>
                <w:szCs w:val="20"/>
                <w:color w:val="auto"/>
              </w:rPr>
            </w:pPr>
            <w:r>
              <w:rPr>
                <w:rFonts w:ascii="Arial" w:cs="Arial" w:eastAsia="Arial" w:hAnsi="Arial"/>
                <w:sz w:val="14"/>
                <w:szCs w:val="14"/>
                <w:color w:val="auto"/>
              </w:rPr>
              <w:t>2012</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11. Income Tax</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380" w:type="dxa"/>
            <w:vAlign w:val="bottom"/>
            <w:gridSpan w:val="4"/>
          </w:tcPr>
          <w:p>
            <w:pPr>
              <w:spacing w:after="0"/>
              <w:rPr>
                <w:sz w:val="20"/>
                <w:szCs w:val="20"/>
                <w:color w:val="auto"/>
              </w:rPr>
            </w:pPr>
            <w:r>
              <w:rPr>
                <w:rFonts w:ascii="Arial" w:cs="Arial" w:eastAsia="Arial" w:hAnsi="Arial"/>
                <w:sz w:val="18"/>
                <w:szCs w:val="18"/>
                <w:i w:val="1"/>
                <w:iCs w:val="1"/>
                <w:color w:val="auto"/>
                <w:w w:val="90"/>
              </w:rPr>
              <w:t xml:space="preserve">Income before taxes </w:t>
            </w:r>
            <w:r>
              <w:rPr>
                <w:rFonts w:ascii="Arial" w:cs="Arial" w:eastAsia="Arial" w:hAnsi="Arial"/>
                <w:sz w:val="18"/>
                <w:szCs w:val="18"/>
                <w:color w:val="auto"/>
                <w:w w:val="90"/>
              </w:rPr>
              <w:t>which was subject to US and non-US income taxes was as follows: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gridSpan w:val="6"/>
          </w:tcPr>
          <w:p>
            <w:pP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spacing w:after="0" w:line="159" w:lineRule="exact"/>
              <w:rPr>
                <w:sz w:val="20"/>
                <w:szCs w:val="20"/>
                <w:color w:val="auto"/>
              </w:rPr>
            </w:pPr>
            <w:r>
              <w:rPr>
                <w:rFonts w:ascii="Arial" w:cs="Arial" w:eastAsia="Arial" w:hAnsi="Arial"/>
                <w:sz w:val="14"/>
                <w:szCs w:val="14"/>
                <w:color w:val="auto"/>
              </w:rPr>
              <w:t>First Quarter</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2013</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42"/>
              <w:spacing w:after="0" w:line="142" w:lineRule="exact"/>
              <w:rPr>
                <w:sz w:val="20"/>
                <w:szCs w:val="20"/>
                <w:color w:val="auto"/>
              </w:rPr>
            </w:pPr>
            <w:r>
              <w:rPr>
                <w:rFonts w:ascii="Arial" w:cs="Arial" w:eastAsia="Arial" w:hAnsi="Arial"/>
                <w:sz w:val="14"/>
                <w:szCs w:val="14"/>
                <w:color w:val="auto"/>
                <w:w w:val="83"/>
              </w:rPr>
              <w:t>2012</w:t>
            </w:r>
          </w:p>
        </w:tc>
        <w:tc>
          <w:tcPr>
            <w:tcW w:w="100" w:type="dxa"/>
            <w:vAlign w:val="bottom"/>
            <w:tcBorders>
              <w:bottom w:val="single" w:sz="8" w:color="CCEEFF"/>
            </w:tcBorders>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Outside United States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1,258</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1,116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1,679</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1,687</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Schlumberger recorded pretax charges of $92 million outside of the US during the first quarter of 2013 and pretax charges of $15 million during the first quarter of 2012 ($11 million in the US and $4 million outside of the 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These charges are included in the table above and are more fully described in Note 2—</w:t>
      </w:r>
      <w:r>
        <w:rPr>
          <w:rFonts w:ascii="Arial" w:cs="Arial" w:eastAsia="Arial" w:hAnsi="Arial"/>
          <w:sz w:val="18"/>
          <w:szCs w:val="18"/>
          <w:i w:val="1"/>
          <w:iCs w:val="1"/>
          <w:color w:val="auto"/>
        </w:rPr>
        <w:t>Charges and Credits.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1"/>
              </w:rPr>
              <w:t>Mar. 31,</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7"/>
        </w:trPr>
        <w:tc>
          <w:tcPr>
            <w:tcW w:w="4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3"/>
          </w:tcPr>
          <w:p>
            <w:pPr>
              <w:jc w:val="right"/>
              <w:ind w:right="160"/>
              <w:spacing w:after="0" w:line="147"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1"/>
        </w:trPr>
        <w:tc>
          <w:tcPr>
            <w:tcW w:w="466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6"/>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benefits, net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Intangible assets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7"/>
              </w:rPr>
              <w:t>(1,489)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(1,490)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non-US subsidiaries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Other, net</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(1,200)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(1,150)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above deferred tax balances at March 31, 2013 and December 31, 2012 were net of valuation allowances relating to net operating losses in certain countries of $251 million and $256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w w:val="94"/>
              </w:rPr>
              <w:t>First Quarter</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2012</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80" w:type="dxa"/>
            <w:vAlign w:val="bottom"/>
          </w:tcPr>
          <w:p>
            <w:pPr>
              <w:ind w:left="440"/>
              <w:spacing w:after="0"/>
              <w:rPr>
                <w:sz w:val="20"/>
                <w:szCs w:val="20"/>
                <w:color w:val="auto"/>
              </w:rPr>
            </w:pPr>
            <w:r>
              <w:rPr>
                <w:rFonts w:ascii="Arial" w:cs="Arial" w:eastAsia="Arial" w:hAnsi="Arial"/>
                <w:sz w:val="18"/>
                <w:szCs w:val="18"/>
                <w:color w:val="auto"/>
              </w:rPr>
              <w:t>United States—Federal</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States—State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68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254</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60" w:type="dxa"/>
            <w:vAlign w:val="bottom"/>
            <w:gridSpan w:val="2"/>
          </w:tcPr>
          <w:p>
            <w:pPr>
              <w:ind w:left="1380"/>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States—Federal</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80" w:type="dxa"/>
            <w:vAlign w:val="bottom"/>
          </w:tcPr>
          <w:p>
            <w:pPr>
              <w:ind w:left="440"/>
              <w:spacing w:after="0"/>
              <w:rPr>
                <w:sz w:val="20"/>
                <w:szCs w:val="20"/>
                <w:color w:val="auto"/>
              </w:rPr>
            </w:pPr>
            <w:r>
              <w:rPr>
                <w:rFonts w:ascii="Arial" w:cs="Arial" w:eastAsia="Arial" w:hAnsi="Arial"/>
                <w:sz w:val="18"/>
                <w:szCs w:val="18"/>
                <w:color w:val="auto"/>
              </w:rPr>
              <w:t>United States—State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79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
        </w:trPr>
        <w:tc>
          <w:tcPr>
            <w:tcW w:w="1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w w:val="91"/>
              </w:rPr>
              <w:t>A reconciliation of the US statutory federal tax rate of 35% to the consolidated effective income tax rate follows:</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0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First Quarter</w:t>
            </w:r>
          </w:p>
        </w:tc>
        <w:tc>
          <w:tcPr>
            <w:tcW w:w="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2012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rate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US state income taxes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Non-US income taxed at different rates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Charges (See Note 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3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940" w:type="dxa"/>
            <w:vAlign w:val="bottom"/>
            <w:gridSpan w:val="3"/>
          </w:tcPr>
          <w:p>
            <w:pPr>
              <w:jc w:val="right"/>
              <w:ind w:right="372"/>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9"/>
                <w:szCs w:val="19"/>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9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Also in 2009, prior to being acquired by Schlumberger, Smith received an administrative subpoena with respect to its historical business practices in certain countries that are subject to United States trade and economic sanctions. Governmental agencies and authorities have a broad range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of civil and criminal penalties that they may seek to impose for violations of trade and economic sanction laws including, but not limited to, disgorgement, fines, penalties and modifications to business practices. In recent years, these agencies and authorities have obtained a wide range of penalties in settlements with companies arising from trade and economic sanction investigations, including in some cases fines and other penalties in the tens and hundreds of millions of dollars. Schlumberger is cooperating with the governmental authorities and cannot currently predict the outcome or estimate the possible impact of the ultimate resolution of these matters.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On April 20, 2010, a fire and explosion occurred onboard the semisubmersible drilling rig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owned by Transocean Ltd. and under contract to a subsidiary of BP plc. Pursuant to a contract between M-I SWACO and BP, M-I SWACO provided certain services under the direction of BP. A number of legal actions, certain of which named an M-I SWACO entity as a defendant, were filed in connection with the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incident. Many of these claims were consolidated into multidistrict litigation pending in federal court (the “MDL”). During the first quarter of 2013, the federal court entered its order dismissing all claims against M-I SWACO that were consolidated as part of the MDL.</w:t>
      </w:r>
    </w:p>
    <w:p>
      <w:pPr>
        <w:spacing w:after="0" w:line="14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is remote. However, litigation is inherently uncertain and it is not possible to predict the ultimate disposition of these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Segment Information</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vMerge w:val="restart"/>
          </w:tcPr>
          <w:p>
            <w:pPr>
              <w:jc w:val="right"/>
              <w:ind w:right="540"/>
              <w:spacing w:after="0"/>
              <w:rPr>
                <w:sz w:val="20"/>
                <w:szCs w:val="20"/>
                <w:color w:val="auto"/>
              </w:rPr>
            </w:pPr>
            <w:r>
              <w:rPr>
                <w:rFonts w:ascii="Arial" w:cs="Arial" w:eastAsia="Arial" w:hAnsi="Arial"/>
                <w:sz w:val="14"/>
                <w:szCs w:val="14"/>
                <w:b w:val="1"/>
                <w:bCs w:val="1"/>
                <w:color w:val="auto"/>
              </w:rPr>
              <w:t>First Quarter 2013</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6"/>
            <w:vMerge w:val="continue"/>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6"/>
          </w:tcPr>
          <w:p>
            <w:pPr>
              <w:ind w:left="280"/>
              <w:spacing w:after="0" w:line="159" w:lineRule="exact"/>
              <w:rPr>
                <w:sz w:val="20"/>
                <w:szCs w:val="20"/>
                <w:color w:val="auto"/>
              </w:rPr>
            </w:pPr>
            <w:r>
              <w:rPr>
                <w:rFonts w:ascii="Arial" w:cs="Arial" w:eastAsia="Arial" w:hAnsi="Arial"/>
                <w:sz w:val="14"/>
                <w:szCs w:val="14"/>
                <w:color w:val="auto"/>
              </w:rPr>
              <w:t>First Quarter 2012</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before</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before</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8"/>
              </w:rPr>
              <w:t>taxes</w:t>
            </w:r>
          </w:p>
        </w:tc>
        <w:tc>
          <w:tcPr>
            <w:tcW w:w="2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auto"/>
                <w:w w:val="89"/>
              </w:rPr>
              <w:t>Revenue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2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2,803</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758</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$2,582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Drilling</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4,132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741</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3,785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3,785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573</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3,542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45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10,668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(168)</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color w:val="auto"/>
              </w:rPr>
              <w:t>(see Note 2)</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w:t>
            </w:r>
          </w:p>
        </w:tc>
        <w:tc>
          <w:tcPr>
            <w:tcW w:w="22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10,668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8"/>
              </w:rPr>
              <w:t>1,679</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9,918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1,687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year presentation.</w:t>
      </w:r>
    </w:p>
    <w:p>
      <w:pPr>
        <w:spacing w:after="0" w:line="212" w:lineRule="exact"/>
        <w:rPr>
          <w:sz w:val="20"/>
          <w:szCs w:val="20"/>
          <w:color w:val="auto"/>
        </w:rPr>
      </w:pPr>
    </w:p>
    <w:p>
      <w:pPr>
        <w:ind w:left="5620" w:right="4020" w:hanging="5612"/>
        <w:spacing w:after="0" w:line="387" w:lineRule="auto"/>
        <w:tabs>
          <w:tab w:leader="none" w:pos="448"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Excludes interest expense included in the segment results ($5 million in 2013; $- million in 2012). 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149"/>
        </w:trPr>
        <w:tc>
          <w:tcPr>
            <w:tcW w:w="46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gridSpan w:val="7"/>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6"/>
              </w:rPr>
              <w:t>First Quarter</w:t>
            </w:r>
          </w:p>
        </w:tc>
        <w:tc>
          <w:tcPr>
            <w:tcW w:w="46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483"/>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US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Int’l</w:t>
            </w:r>
          </w:p>
        </w:tc>
        <w:tc>
          <w:tcPr>
            <w:tcW w:w="100" w:type="dxa"/>
            <w:vAlign w:val="bottom"/>
            <w:shd w:val="clear" w:color="auto" w:fill="CCEEFF"/>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7260" w:type="dxa"/>
            <w:vAlign w:val="bottom"/>
            <w:gridSpan w:val="2"/>
          </w:tcPr>
          <w:p>
            <w:pPr>
              <w:spacing w:after="0" w:line="202" w:lineRule="exact"/>
              <w:rPr>
                <w:sz w:val="20"/>
                <w:szCs w:val="20"/>
                <w:color w:val="auto"/>
              </w:rPr>
            </w:pPr>
            <w:r>
              <w:rPr>
                <w:rFonts w:ascii="Arial" w:cs="Arial" w:eastAsia="Arial" w:hAnsi="Arial"/>
                <w:sz w:val="18"/>
                <w:szCs w:val="18"/>
                <w:color w:val="auto"/>
              </w:rPr>
              <w:t>Service cost—benefits earned during period</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$ 21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$ 17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$ 21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 on projected benefit obligation</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46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5"/>
              </w:rPr>
              <w:t>(100)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46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23"/>
        </w:trPr>
        <w:tc>
          <w:tcPr>
            <w:tcW w:w="46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Amortization of net loss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$ 40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$ 35</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w:t>
            </w:r>
          </w:p>
        </w:tc>
      </w:tr>
      <w:tr>
        <w:trPr>
          <w:trHeight w:val="20"/>
        </w:trPr>
        <w:tc>
          <w:tcPr>
            <w:tcW w:w="138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0"/>
        </w:trPr>
        <w:tc>
          <w:tcPr>
            <w:tcW w:w="8580" w:type="dxa"/>
            <w:vAlign w:val="bottom"/>
            <w:gridSpan w:val="7"/>
          </w:tcPr>
          <w:p>
            <w:pPr>
              <w:jc w:val="right"/>
              <w:ind w:right="103"/>
              <w:spacing w:after="0"/>
              <w:rPr>
                <w:sz w:val="20"/>
                <w:szCs w:val="20"/>
                <w:color w:val="auto"/>
              </w:rPr>
            </w:pPr>
            <w:r>
              <w:rPr>
                <w:rFonts w:ascii="Arial" w:cs="Arial" w:eastAsia="Arial" w:hAnsi="Arial"/>
                <w:sz w:val="18"/>
                <w:szCs w:val="18"/>
                <w:color w:val="auto"/>
                <w:w w:val="89"/>
              </w:rPr>
              <w:t>The net periodic benefit cost for the Schlumberger US postretirement medical plan included the following components: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9"/>
          </w:tcPr>
          <w:p>
            <w:pPr>
              <w:jc w:val="right"/>
              <w:ind w:right="340"/>
              <w:spacing w:after="0"/>
              <w:rPr>
                <w:sz w:val="20"/>
                <w:szCs w:val="20"/>
                <w:color w:val="auto"/>
              </w:rPr>
            </w:pPr>
            <w:r>
              <w:rPr>
                <w:rFonts w:ascii="Arial" w:cs="Arial" w:eastAsia="Arial" w:hAnsi="Arial"/>
                <w:sz w:val="14"/>
                <w:szCs w:val="14"/>
                <w:i w:val="1"/>
                <w:iCs w:val="1"/>
                <w:color w:val="auto"/>
                <w:w w:val="93"/>
              </w:rPr>
              <w:t>(Stated in millions)</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First Quarter</w:t>
            </w:r>
          </w:p>
        </w:tc>
        <w:tc>
          <w:tcPr>
            <w:tcW w:w="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2012</w:t>
            </w:r>
          </w:p>
        </w:tc>
        <w:tc>
          <w:tcPr>
            <w:tcW w:w="120" w:type="dxa"/>
            <w:vAlign w:val="bottom"/>
            <w:tcBorders>
              <w:bottom w:val="single" w:sz="8" w:color="CCEEFF"/>
            </w:tcBorders>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cost—benefits earned during period</w:t>
            </w:r>
          </w:p>
        </w:tc>
        <w:tc>
          <w:tcPr>
            <w:tcW w:w="76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8"/>
              </w:rPr>
              <w:t>12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78"/>
              </w:rPr>
              <w:t>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0"/>
              </w:rPr>
              <w:t>(9)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w w:val="90"/>
              </w:rPr>
              <w:t>(1)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78"/>
              </w:rPr>
              <w:t>24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b w:val="1"/>
          <w:bCs w:val="1"/>
          <w:u w:val="single" w:color="auto"/>
          <w:color w:val="auto"/>
        </w:rPr>
        <w:t>Accumulated Other Comprehensive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consists of the following: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1, 2013</w:t>
      </w:r>
    </w:p>
    <w:p>
      <w:pPr>
        <w:spacing w:after="0" w:line="23" w:lineRule="exact"/>
        <w:rPr>
          <w:sz w:val="20"/>
          <w:szCs w:val="20"/>
          <w:color w:val="auto"/>
        </w:rPr>
      </w:pPr>
    </w:p>
    <w:p>
      <w:pPr>
        <w:ind w:left="440" w:right="340" w:hanging="215"/>
        <w:spacing w:after="0" w:line="254" w:lineRule="auto"/>
        <w:rPr>
          <w:sz w:val="20"/>
          <w:szCs w:val="20"/>
          <w:color w:val="auto"/>
        </w:rPr>
      </w:pPr>
      <w:r>
        <w:rPr>
          <w:rFonts w:ascii="Arial" w:cs="Arial" w:eastAsia="Arial" w:hAnsi="Arial"/>
          <w:sz w:val="18"/>
          <w:szCs w:val="18"/>
          <w:color w:val="auto"/>
        </w:rPr>
        <w:t>Other comprehensive income (loss) before reclassifications</w:t>
      </w:r>
    </w:p>
    <w:p>
      <w:pPr>
        <w:ind w:left="440" w:right="120" w:hanging="215"/>
        <w:spacing w:after="0" w:line="250" w:lineRule="auto"/>
        <w:rPr>
          <w:sz w:val="20"/>
          <w:szCs w:val="20"/>
          <w:color w:val="auto"/>
        </w:rPr>
      </w:pPr>
      <w:r>
        <w:rPr>
          <w:rFonts w:ascii="Arial" w:cs="Arial" w:eastAsia="Arial" w:hAnsi="Arial"/>
          <w:sz w:val="18"/>
          <w:szCs w:val="18"/>
          <w:color w:val="auto"/>
        </w:rPr>
        <w:t>Amounts reclassified from accumulated other comprehensive loss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36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1"/>
              </w:rPr>
              <w:t>Currency</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86"/>
              </w:rPr>
              <w:t>Pension and Other</w:t>
            </w:r>
          </w:p>
        </w:tc>
        <w:tc>
          <w:tcPr>
            <w:tcW w:w="1340" w:type="dxa"/>
            <w:vAlign w:val="bottom"/>
            <w:gridSpan w:val="3"/>
            <w:vMerge w:val="restart"/>
          </w:tcPr>
          <w:p>
            <w:pPr>
              <w:jc w:val="center"/>
              <w:ind w:left="272"/>
              <w:spacing w:after="0"/>
              <w:rPr>
                <w:sz w:val="20"/>
                <w:szCs w:val="20"/>
                <w:color w:val="auto"/>
              </w:rPr>
            </w:pPr>
            <w:r>
              <w:rPr>
                <w:rFonts w:ascii="Arial" w:cs="Arial" w:eastAsia="Arial" w:hAnsi="Arial"/>
                <w:sz w:val="14"/>
                <w:szCs w:val="14"/>
                <w:b w:val="1"/>
                <w:bCs w:val="1"/>
                <w:color w:val="auto"/>
                <w:w w:val="87"/>
              </w:rPr>
              <w:t>Unrealized Gains</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 of</w:t>
            </w:r>
          </w:p>
        </w:tc>
        <w:tc>
          <w:tcPr>
            <w:tcW w:w="10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Postretirement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Marketable</w:t>
            </w: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4"/>
              </w:rPr>
              <w:t>Adjustments</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Benefit Plans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Securities</w:t>
            </w:r>
          </w:p>
        </w:tc>
        <w:tc>
          <w:tcPr>
            <w:tcW w:w="72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70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79"/>
              </w:rPr>
              <w:t>141</w:t>
            </w:r>
          </w:p>
        </w:tc>
        <w:tc>
          <w:tcPr>
            <w:tcW w:w="7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00" w:type="dxa"/>
            <w:vAlign w:val="bottom"/>
          </w:tcPr>
          <w:p>
            <w:pPr>
              <w:spacing w:after="0"/>
              <w:rPr>
                <w:sz w:val="24"/>
                <w:szCs w:val="2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426"/>
        </w:trPr>
        <w:tc>
          <w:tcPr>
            <w:tcW w:w="1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-829945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-409575</wp:posOffset>
            </wp:positionV>
            <wp:extent cx="72466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60" w:space="720"/>
            <w:col w:w="71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other comprehensive income (loss)</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5" w:lineRule="exact"/>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5" w:lineRule="exact"/>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72</w:t>
            </w:r>
          </w:p>
        </w:tc>
        <w:tc>
          <w:tcPr>
            <w:tcW w:w="1380" w:type="dxa"/>
            <w:vAlign w:val="bottom"/>
            <w:gridSpan w:val="3"/>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Balance, March 31, 2013</w:t>
            </w: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(995)</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(3,050)</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1, 2012</w:t>
      </w:r>
    </w:p>
    <w:p>
      <w:pPr>
        <w:spacing w:after="0" w:line="23" w:lineRule="exact"/>
        <w:rPr>
          <w:sz w:val="20"/>
          <w:szCs w:val="20"/>
          <w:color w:val="auto"/>
        </w:rPr>
      </w:pPr>
    </w:p>
    <w:p>
      <w:pPr>
        <w:ind w:left="440" w:right="700" w:hanging="215"/>
        <w:spacing w:after="0" w:line="254" w:lineRule="auto"/>
        <w:rPr>
          <w:sz w:val="20"/>
          <w:szCs w:val="20"/>
          <w:color w:val="auto"/>
        </w:rPr>
      </w:pPr>
      <w:r>
        <w:rPr>
          <w:rFonts w:ascii="Arial" w:cs="Arial" w:eastAsia="Arial" w:hAnsi="Arial"/>
          <w:sz w:val="18"/>
          <w:szCs w:val="18"/>
          <w:color w:val="auto"/>
        </w:rPr>
        <w:t>Other comprehensive income (loss) before reclassifications</w:t>
      </w:r>
    </w:p>
    <w:p>
      <w:pPr>
        <w:ind w:left="440" w:right="480" w:hanging="215"/>
        <w:spacing w:after="0" w:line="250" w:lineRule="auto"/>
        <w:rPr>
          <w:sz w:val="20"/>
          <w:szCs w:val="20"/>
          <w:color w:val="auto"/>
        </w:rPr>
      </w:pPr>
      <w:r>
        <w:rPr>
          <w:rFonts w:ascii="Arial" w:cs="Arial" w:eastAsia="Arial" w:hAnsi="Arial"/>
          <w:sz w:val="18"/>
          <w:szCs w:val="18"/>
          <w:color w:val="auto"/>
        </w:rPr>
        <w:t>Amounts reclassified from accumulated other comprehensive loss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84"/>
              </w:rPr>
              <w:t>Pension and</w:t>
            </w:r>
          </w:p>
        </w:tc>
        <w:tc>
          <w:tcPr>
            <w:tcW w:w="360" w:type="dxa"/>
            <w:vAlign w:val="bottom"/>
          </w:tcPr>
          <w:p>
            <w:pPr>
              <w:spacing w:after="0"/>
              <w:rPr>
                <w:sz w:val="14"/>
                <w:szCs w:val="14"/>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Unrealized</w:t>
            </w:r>
          </w:p>
        </w:tc>
        <w:tc>
          <w:tcPr>
            <w:tcW w:w="14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Currency</w:t>
            </w:r>
          </w:p>
        </w:tc>
        <w:tc>
          <w:tcPr>
            <w:tcW w:w="146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2"/>
                <w:szCs w:val="12"/>
                <w:color w:val="auto"/>
              </w:rPr>
            </w:pPr>
          </w:p>
        </w:tc>
        <w:tc>
          <w:tcPr>
            <w:tcW w:w="1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7"/>
              </w:rPr>
              <w:t>Gains</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75"/>
              </w:rPr>
              <w:t>of</w:t>
            </w:r>
          </w:p>
        </w:tc>
        <w:tc>
          <w:tcPr>
            <w:tcW w:w="13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Postretirement</w:t>
            </w:r>
          </w:p>
        </w:tc>
        <w:tc>
          <w:tcPr>
            <w:tcW w:w="104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92"/>
              </w:rPr>
              <w:t>Marketable</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7"/>
              </w:rPr>
              <w:t>Adjustments</w:t>
            </w:r>
          </w:p>
        </w:tc>
        <w:tc>
          <w:tcPr>
            <w:tcW w:w="146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8"/>
              </w:rPr>
              <w:t>Derivatives</w:t>
            </w: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Benefit Plans</w:t>
            </w:r>
          </w:p>
        </w:tc>
        <w:tc>
          <w:tcPr>
            <w:tcW w:w="3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7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800" w:type="dxa"/>
            <w:vAlign w:val="bottom"/>
          </w:tcPr>
          <w:p>
            <w:pPr>
              <w:spacing w:after="0"/>
              <w:rPr>
                <w:sz w:val="18"/>
                <w:szCs w:val="18"/>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0" w:type="dxa"/>
            <w:vAlign w:val="bottom"/>
          </w:tcPr>
          <w:p>
            <w:pPr>
              <w:spacing w:after="0"/>
              <w:rPr>
                <w:sz w:val="18"/>
                <w:szCs w:val="18"/>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00" w:type="dxa"/>
            <w:vAlign w:val="bottom"/>
          </w:tcPr>
          <w:p>
            <w:pPr>
              <w:spacing w:after="0"/>
              <w:rPr>
                <w:sz w:val="24"/>
                <w:szCs w:val="24"/>
                <w:color w:val="auto"/>
              </w:rPr>
            </w:pPr>
          </w:p>
        </w:tc>
        <w:tc>
          <w:tcPr>
            <w:tcW w:w="1440" w:type="dxa"/>
            <w:vAlign w:val="bottom"/>
            <w:gridSpan w:val="2"/>
          </w:tcPr>
          <w:p>
            <w:pPr>
              <w:ind w:left="38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426"/>
        </w:trPr>
        <w:tc>
          <w:tcPr>
            <w:tcW w:w="100" w:type="dxa"/>
            <w:vAlign w:val="bottom"/>
          </w:tcPr>
          <w:p>
            <w:pPr>
              <w:spacing w:after="0"/>
              <w:rPr>
                <w:sz w:val="24"/>
                <w:szCs w:val="24"/>
                <w:color w:val="auto"/>
              </w:rPr>
            </w:pPr>
          </w:p>
        </w:tc>
        <w:tc>
          <w:tcPr>
            <w:tcW w:w="14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14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-829945</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-409575</wp:posOffset>
            </wp:positionV>
            <wp:extent cx="72466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20" w:space="720"/>
            <w:col w:w="67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other comprehensive income (loss)</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0"/>
              <w:spacing w:after="0" w:line="205" w:lineRule="exact"/>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45</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Balance, March 31, 2012</w:t>
            </w: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vMerge w:val="continue"/>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(883)</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(2,501)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2012, Schlumberger sold its Wilson distribution business to National Oilwell Varco Inc. (“NOV”) for $906 million in cash.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During July 2012, Schlumberger completed the sale of its 56% interest in CE Franklin Ltd. to NOV for $122 million in cash.</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As Wilson and CE Franklin comprised Schlumberger’s entire Distribution segment, the results of this segment were classified as discontinued operations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these discontinued operations (in millions):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First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10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3"/>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Income before taxes</w:t>
            </w:r>
          </w:p>
        </w:tc>
        <w:tc>
          <w:tcPr>
            <w:tcW w:w="3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60" w:type="dxa"/>
            <w:vAlign w:val="bottom"/>
            <w:gridSpan w:val="2"/>
            <w:vMerge w:val="continue"/>
          </w:tcPr>
          <w:p>
            <w:pPr>
              <w:spacing w:after="0"/>
              <w:rPr>
                <w:sz w:val="18"/>
                <w:szCs w:val="18"/>
                <w:color w:val="auto"/>
              </w:rPr>
            </w:pPr>
          </w:p>
        </w:tc>
        <w:tc>
          <w:tcPr>
            <w:tcW w:w="35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3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1"/>
              </w:rPr>
              <w:t>Net income attributable to noncontrolling interests</w:t>
            </w: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520" w:type="dxa"/>
            <w:vAlign w:val="bottom"/>
            <w:vMerge w:val="restart"/>
          </w:tcPr>
          <w:p>
            <w:pPr>
              <w:jc w:val="right"/>
              <w:ind w:right="3139"/>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First Quarter 2013 Compared to Fourth Quarter 2012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9"/>
            <w:vMerge w:val="restart"/>
          </w:tcPr>
          <w:p>
            <w:pPr>
              <w:ind w:left="120"/>
              <w:spacing w:after="0"/>
              <w:rPr>
                <w:sz w:val="20"/>
                <w:szCs w:val="20"/>
                <w:color w:val="auto"/>
              </w:rPr>
            </w:pPr>
            <w:r>
              <w:rPr>
                <w:rFonts w:ascii="Arial" w:cs="Arial" w:eastAsia="Arial" w:hAnsi="Arial"/>
                <w:sz w:val="14"/>
                <w:szCs w:val="14"/>
                <w:b w:val="1"/>
                <w:bCs w:val="1"/>
                <w:color w:val="auto"/>
              </w:rPr>
              <w:t>First Quarter 2013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9"/>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gridSpan w:val="6"/>
          </w:tcPr>
          <w:p>
            <w:pPr>
              <w:jc w:val="right"/>
              <w:ind w:right="680"/>
              <w:spacing w:after="0" w:line="159" w:lineRule="exact"/>
              <w:rPr>
                <w:sz w:val="20"/>
                <w:szCs w:val="20"/>
                <w:color w:val="auto"/>
              </w:rPr>
            </w:pPr>
            <w:r>
              <w:rPr>
                <w:rFonts w:ascii="Arial" w:cs="Arial" w:eastAsia="Arial" w:hAnsi="Arial"/>
                <w:sz w:val="14"/>
                <w:szCs w:val="14"/>
                <w:color w:val="auto"/>
                <w:w w:val="92"/>
              </w:rPr>
              <w:t>Fourth Quarter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17"/>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Before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4"/>
          </w:tcPr>
          <w:p>
            <w:pPr>
              <w:ind w:left="40"/>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0"/>
              </w:rPr>
              <w:t>Taxes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right"/>
              <w:ind w:right="400"/>
              <w:spacing w:after="0"/>
              <w:rPr>
                <w:sz w:val="20"/>
                <w:szCs w:val="20"/>
                <w:color w:val="auto"/>
              </w:rPr>
            </w:pPr>
            <w:r>
              <w:rPr>
                <w:rFonts w:ascii="Arial" w:cs="Arial" w:eastAsia="Arial" w:hAnsi="Arial"/>
                <w:sz w:val="14"/>
                <w:szCs w:val="14"/>
                <w:color w:val="auto"/>
                <w:w w:val="92"/>
              </w:rPr>
              <w:t>Revenue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78"/>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Reservoir Characterization</w:t>
            </w:r>
          </w:p>
        </w:tc>
        <w:tc>
          <w:tcPr>
            <w:tcW w:w="1740" w:type="dxa"/>
            <w:vAlign w:val="bottom"/>
            <w:gridSpan w:val="6"/>
          </w:tcPr>
          <w:p>
            <w:pPr>
              <w:jc w:val="right"/>
              <w:spacing w:after="0"/>
              <w:rPr>
                <w:sz w:val="20"/>
                <w:szCs w:val="20"/>
                <w:color w:val="auto"/>
              </w:rPr>
            </w:pPr>
            <w:r>
              <w:rPr>
                <w:rFonts w:ascii="Arial" w:cs="Arial" w:eastAsia="Arial" w:hAnsi="Arial"/>
                <w:sz w:val="18"/>
                <w:szCs w:val="18"/>
                <w:b w:val="1"/>
                <w:bCs w:val="1"/>
                <w:color w:val="auto"/>
              </w:rPr>
              <w:t>$ 2,803</w:t>
            </w:r>
          </w:p>
        </w:tc>
        <w:tc>
          <w:tcPr>
            <w:tcW w:w="3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758</w:t>
            </w:r>
          </w:p>
        </w:tc>
        <w:tc>
          <w:tcPr>
            <w:tcW w:w="3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3,148</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Drilling</w:t>
            </w:r>
          </w:p>
        </w:tc>
        <w:tc>
          <w:tcPr>
            <w:tcW w:w="174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4,132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4,137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Production</w:t>
            </w:r>
          </w:p>
        </w:tc>
        <w:tc>
          <w:tcPr>
            <w:tcW w:w="1740" w:type="dxa"/>
            <w:vAlign w:val="bottom"/>
            <w:gridSpan w:val="6"/>
          </w:tcPr>
          <w:p>
            <w:pPr>
              <w:jc w:val="right"/>
              <w:spacing w:after="0"/>
              <w:rPr>
                <w:sz w:val="20"/>
                <w:szCs w:val="20"/>
                <w:color w:val="auto"/>
              </w:rPr>
            </w:pPr>
            <w:r>
              <w:rPr>
                <w:rFonts w:ascii="Arial" w:cs="Arial" w:eastAsia="Arial" w:hAnsi="Arial"/>
                <w:sz w:val="18"/>
                <w:szCs w:val="18"/>
                <w:b w:val="1"/>
                <w:bCs w:val="1"/>
                <w:color w:val="auto"/>
              </w:rPr>
              <w:t>3,785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573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3,927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 &amp; other</w:t>
            </w:r>
          </w:p>
        </w:tc>
        <w:tc>
          <w:tcPr>
            <w:tcW w:w="1160" w:type="dxa"/>
            <w:vAlign w:val="bottom"/>
            <w:gridSpan w:val="3"/>
            <w:shd w:val="clear" w:color="auto" w:fill="CCEEFF"/>
          </w:tcPr>
          <w:p>
            <w:pPr>
              <w:spacing w:after="0"/>
              <w:rPr>
                <w:sz w:val="18"/>
                <w:szCs w:val="18"/>
                <w:color w:val="auto"/>
              </w:rPr>
            </w:pPr>
          </w:p>
        </w:tc>
        <w:tc>
          <w:tcPr>
            <w:tcW w:w="900" w:type="dxa"/>
            <w:vAlign w:val="bottom"/>
            <w:gridSpan w:val="4"/>
            <w:shd w:val="clear" w:color="auto" w:fill="CCEEFF"/>
          </w:tcPr>
          <w:p>
            <w:pPr>
              <w:ind w:left="360"/>
              <w:spacing w:after="0"/>
              <w:rPr>
                <w:sz w:val="20"/>
                <w:szCs w:val="20"/>
                <w:color w:val="auto"/>
              </w:rPr>
            </w:pPr>
            <w:r>
              <w:rPr>
                <w:rFonts w:ascii="Arial" w:cs="Arial" w:eastAsia="Arial" w:hAnsi="Arial"/>
                <w:sz w:val="18"/>
                <w:szCs w:val="18"/>
                <w:b w:val="1"/>
                <w:bCs w:val="1"/>
                <w:color w:val="auto"/>
              </w:rPr>
              <w:t>(52)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10,668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2,026</w:t>
            </w:r>
          </w:p>
        </w:tc>
        <w:tc>
          <w:tcPr>
            <w:tcW w:w="3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w w:val="83"/>
              </w:rPr>
              <w:t>11,174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(92)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10,668</w:t>
            </w:r>
          </w:p>
        </w:tc>
        <w:tc>
          <w:tcPr>
            <w:tcW w:w="3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1,679</w:t>
            </w:r>
          </w:p>
        </w:tc>
        <w:tc>
          <w:tcPr>
            <w:tcW w:w="30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11,174</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60" w:type="dxa"/>
            <w:vAlign w:val="bottom"/>
            <w:gridSpan w:val="7"/>
          </w:tcPr>
          <w:p>
            <w:pPr>
              <w:spacing w:after="0"/>
              <w:rPr>
                <w:sz w:val="20"/>
                <w:szCs w:val="20"/>
                <w:color w:val="auto"/>
              </w:rPr>
            </w:pPr>
            <w:r>
              <w:rPr>
                <w:rFonts w:ascii="Arial" w:cs="Arial" w:eastAsia="Arial" w:hAnsi="Arial"/>
                <w:sz w:val="18"/>
                <w:szCs w:val="18"/>
                <w:b w:val="1"/>
                <w:bCs w:val="1"/>
                <w:color w:val="auto"/>
              </w:rPr>
              <w:t>Geographic Areas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1"/>
              </w:rPr>
              <w:t>First Quarter 2013</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6"/>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gridSpan w:val="6"/>
          </w:tcPr>
          <w:p>
            <w:pPr>
              <w:jc w:val="right"/>
              <w:ind w:right="720"/>
              <w:spacing w:after="0" w:line="159" w:lineRule="exact"/>
              <w:rPr>
                <w:sz w:val="20"/>
                <w:szCs w:val="20"/>
                <w:color w:val="auto"/>
              </w:rPr>
            </w:pPr>
            <w:r>
              <w:rPr>
                <w:rFonts w:ascii="Arial" w:cs="Arial" w:eastAsia="Arial" w:hAnsi="Arial"/>
                <w:sz w:val="14"/>
                <w:szCs w:val="14"/>
                <w:color w:val="auto"/>
                <w:w w:val="89"/>
              </w:rPr>
              <w:t>Fourth Quarter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17"/>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Before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0"/>
              </w:rPr>
              <w:t>Taxes</w:t>
            </w:r>
          </w:p>
        </w:tc>
        <w:tc>
          <w:tcPr>
            <w:tcW w:w="260" w:type="dxa"/>
            <w:vAlign w:val="bottom"/>
          </w:tcPr>
          <w:p>
            <w:pPr>
              <w:spacing w:after="0"/>
              <w:rPr>
                <w:sz w:val="14"/>
                <w:szCs w:val="14"/>
                <w:color w:val="auto"/>
              </w:rPr>
            </w:pPr>
          </w:p>
        </w:tc>
        <w:tc>
          <w:tcPr>
            <w:tcW w:w="1020" w:type="dxa"/>
            <w:vAlign w:val="bottom"/>
            <w:gridSpan w:val="5"/>
          </w:tcPr>
          <w:p>
            <w:pPr>
              <w:jc w:val="right"/>
              <w:ind w:right="500"/>
              <w:spacing w:after="0"/>
              <w:rPr>
                <w:sz w:val="20"/>
                <w:szCs w:val="20"/>
                <w:color w:val="auto"/>
              </w:rPr>
            </w:pPr>
            <w:r>
              <w:rPr>
                <w:rFonts w:ascii="Arial" w:cs="Arial" w:eastAsia="Arial" w:hAnsi="Arial"/>
                <w:sz w:val="14"/>
                <w:szCs w:val="14"/>
                <w:color w:val="auto"/>
                <w:w w:val="89"/>
              </w:rPr>
              <w:t>Revenue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78"/>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1580" w:type="dxa"/>
            <w:vAlign w:val="bottom"/>
            <w:gridSpan w:val="5"/>
          </w:tcPr>
          <w:p>
            <w:pPr>
              <w:jc w:val="right"/>
              <w:spacing w:after="0"/>
              <w:rPr>
                <w:sz w:val="20"/>
                <w:szCs w:val="20"/>
                <w:color w:val="auto"/>
              </w:rPr>
            </w:pPr>
            <w:r>
              <w:rPr>
                <w:rFonts w:ascii="Arial" w:cs="Arial" w:eastAsia="Arial" w:hAnsi="Arial"/>
                <w:sz w:val="18"/>
                <w:szCs w:val="18"/>
                <w:b w:val="1"/>
                <w:bCs w:val="1"/>
                <w:color w:val="auto"/>
              </w:rPr>
              <w:t>$ 3,290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627</w:t>
            </w:r>
          </w:p>
        </w:tc>
        <w:tc>
          <w:tcPr>
            <w:tcW w:w="300" w:type="dxa"/>
            <w:vAlign w:val="bottom"/>
          </w:tcPr>
          <w:p>
            <w:pPr>
              <w:spacing w:after="0"/>
              <w:rPr>
                <w:sz w:val="18"/>
                <w:szCs w:val="18"/>
                <w:color w:val="auto"/>
              </w:rPr>
            </w:pPr>
          </w:p>
        </w:tc>
        <w:tc>
          <w:tcPr>
            <w:tcW w:w="4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3,422</w:t>
            </w:r>
          </w:p>
        </w:tc>
        <w:tc>
          <w:tcPr>
            <w:tcW w:w="36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5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1,904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4"/>
              </w:rPr>
              <w:t>2,071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1580" w:type="dxa"/>
            <w:vAlign w:val="bottom"/>
            <w:gridSpan w:val="5"/>
          </w:tcPr>
          <w:p>
            <w:pPr>
              <w:jc w:val="right"/>
              <w:spacing w:after="0"/>
              <w:rPr>
                <w:sz w:val="20"/>
                <w:szCs w:val="20"/>
                <w:color w:val="auto"/>
              </w:rPr>
            </w:pPr>
            <w:r>
              <w:rPr>
                <w:rFonts w:ascii="Arial" w:cs="Arial" w:eastAsia="Arial" w:hAnsi="Arial"/>
                <w:sz w:val="18"/>
                <w:szCs w:val="18"/>
                <w:b w:val="1"/>
                <w:bCs w:val="1"/>
                <w:color w:val="auto"/>
              </w:rPr>
              <w:t>2,851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2,958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5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2,505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609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4"/>
              </w:rPr>
              <w:t>2,577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Eliminations &amp; other</w:t>
            </w:r>
          </w:p>
        </w:tc>
        <w:tc>
          <w:tcPr>
            <w:tcW w:w="1020" w:type="dxa"/>
            <w:vAlign w:val="bottom"/>
            <w:gridSpan w:val="2"/>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118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146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10,668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11,174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32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4"/>
          </w:tcPr>
          <w:p>
            <w:pPr>
              <w:ind w:left="1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(168)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4"/>
          </w:tcPr>
          <w:p>
            <w:pPr>
              <w:ind w:left="1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10,668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1,679</w:t>
            </w:r>
          </w:p>
        </w:tc>
        <w:tc>
          <w:tcPr>
            <w:tcW w:w="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4"/>
          </w:tcPr>
          <w:p>
            <w:pPr>
              <w:jc w:val="right"/>
              <w:ind w:right="1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11,174</w:t>
            </w:r>
          </w:p>
        </w:tc>
        <w:tc>
          <w:tcPr>
            <w:tcW w:w="360" w:type="dxa"/>
            <w:vAlign w:val="bottom"/>
          </w:tcPr>
          <w:p>
            <w:pPr>
              <w:spacing w:after="0"/>
              <w:rPr>
                <w:sz w:val="19"/>
                <w:szCs w:val="19"/>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year presentation.</w:t>
      </w:r>
    </w:p>
    <w:p>
      <w:pPr>
        <w:spacing w:after="0" w:line="18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Excludes interest expense included in the Product Group and Geographical Area results.</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Pretax operating income represents the segments’ income before taxes and noncontrolling interests. The pretax operating income excludes such items as corporate expenses and interest income and interest expense not allocated to the segments, as well as the charges and credits described in detail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interest on postretirement medical benefits, stock-based compensation costs and amortization expense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recorded as a result of the acquisition of Smith International, Inc. (“Smith”).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First-quarter revenue of $10.7 billion decreased 5% sequentially principally due to the strong year-end product, software and multiclient sales in the fourth quarter of 2012 and the seasonal activity slowdowns during the first quarter. Sequentially, Reservoir Characterization Group revenue decreased 11% to $2.8 billion, Production Group revenue decreased 4% to $3.8 billion and Drilling Group revenue was flat at $4.1 billion. Geographically, International revenue of $7.3 billion decreased $347 million, or 5%, while North America revenue of $3.3 billion declined $133 million, or 4%. The strong year-end product, software and multiclient sales in the fourth quarter of 2012 accounted for more than half of the sequential decline in revenue while the rest of the decline reflected the seasonal activity slowdowns in the North Sea, Russia and China, weather-related work delays in the Brunei, Malaysia &amp; Philippines and Australasia GeoMarkets and lower pricing as a result of excess capacity in US land. However, these sequential effects were partially offset by strong exploration and drilling activity in Angola, and strong winter project activity in Western Canada &amp; Alaska.</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First-quarter pretax operating income of $2.0 billion decreased 6% sequentially. International pretax operating income of $1.5 billion and North America pretax operating income of $627 million both declined 4% sequentially.</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Pretax operating margin of 19.0% decreased 37 basis points (bps) sequentially. International pretax operating margin was stable at 20.5% with strong performances in Latin America and the Middle East &amp; Asia offsetting a decline in Europe/CIS/Africa. North America pretax operating margin was essentially flat at 19.1%. By segment, the Drilling Group pretax operating margin increased to 17.9% while the Reservoir Characterization Group pretax operating margin decreased to 27.0% and the Production Group pretax operating margin was flat at 15.1%.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First-quarter revenue of $2.8 billion decreased 11% sequentially. Pretax operating income of $758 million was 18% lower compared to the prior quarter.</w:t>
      </w:r>
    </w:p>
    <w:p>
      <w:pPr>
        <w:spacing w:after="0" w:line="19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Sequentially, the revenue decrease was mainly due to the prior quarter’s strong year-end WesternGeco multiclient and Schlumberger Information Solutions (SIS) software sales while Wireline revenue was down due to activity slowdown in Latin America and adverse weather conditions in Asia and Russia.</w:t>
      </w:r>
    </w:p>
    <w:p>
      <w:pPr>
        <w:spacing w:after="0" w:line="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Pretax operating margin of 27.0% decreased 215 bps sequentially, due to the absence of the effect of the seasonal year-end SIS software sales and WesternGeco multiclient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First-quarter revenue of $4.1 billion was flat sequentially. Pretax operating income of $741 million was 7% higher than the prior quarter.</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Sequentially, a seasonal decline in M-I SWACO revenue was offset by higher revenues from Drilling &amp; Measurements services, on improving pricing from a more favorable technology mix and increased activity in Europe/CIS/Africa Area and the Middle East.</w:t>
      </w:r>
    </w:p>
    <w:p>
      <w:pPr>
        <w:spacing w:after="0" w:line="1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Pretax operating margin of 17.9% increased 111 bps as a result of better pricing from a higher-technology mix for Drilling &amp; Measurements services and improved profitability in Integrated Product Management (IPM) projects in the Middle East.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First-quarter revenue of $3.8 billion decreased 4% sequentially. Pretax operating income of $573 million was 3% lower sequentially.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sequential revenue decline was primarily due to lower Completions and Artificial Lift product sales following their strong year-end highs. In addition, Well Services revenues were also lower due to weaker pricing as a result of excess capacity in US land despite an increase in stage count due to Western Canada winter activity gains.</w:t>
      </w:r>
    </w:p>
    <w:p>
      <w:pPr>
        <w:spacing w:after="0" w:line="14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Pretax operating margin of 15.1% was flat sequentially as improved profitability for Schlumberger Production Management (SPM) project-related activities in Latin America and improved Well Services results in both the US Gulf of Mexico and the International Areas were offset by pricing weakness in US land.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First Quarter 2013 Compared to First Quarter 2012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First Quarter 2013</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08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4"/>
          </w:tcPr>
          <w:p>
            <w:pPr>
              <w:jc w:val="right"/>
              <w:ind w:right="740"/>
              <w:spacing w:after="0" w:line="159" w:lineRule="exact"/>
              <w:rPr>
                <w:sz w:val="20"/>
                <w:szCs w:val="20"/>
                <w:color w:val="auto"/>
              </w:rPr>
            </w:pPr>
            <w:r>
              <w:rPr>
                <w:rFonts w:ascii="Arial" w:cs="Arial" w:eastAsia="Arial" w:hAnsi="Arial"/>
                <w:sz w:val="14"/>
                <w:szCs w:val="14"/>
                <w:color w:val="auto"/>
                <w:w w:val="91"/>
              </w:rPr>
              <w:t>First Quarter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17"/>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Before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w:t>
            </w: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0"/>
              </w:rPr>
              <w:t>Taxes</w:t>
            </w:r>
          </w:p>
        </w:tc>
        <w:tc>
          <w:tcPr>
            <w:tcW w:w="3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Revenue</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78"/>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Reservoir Characterization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$ 2,803</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758</w:t>
            </w:r>
          </w:p>
        </w:tc>
        <w:tc>
          <w:tcPr>
            <w:tcW w:w="34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$2,582</w:t>
            </w: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Drilling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4,132</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3,785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Production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3,785</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573</w:t>
            </w:r>
          </w:p>
        </w:tc>
        <w:tc>
          <w:tcPr>
            <w:tcW w:w="34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3,542</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 &amp; other</w:t>
            </w:r>
          </w:p>
        </w:tc>
        <w:tc>
          <w:tcPr>
            <w:tcW w:w="12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(52)</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(46)</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10,668</w:t>
            </w: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2,026</w:t>
            </w:r>
          </w:p>
        </w:tc>
        <w:tc>
          <w:tcPr>
            <w:tcW w:w="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9,918</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(168)</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(93)</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(92)</w:t>
            </w:r>
          </w:p>
        </w:tc>
        <w:tc>
          <w:tcPr>
            <w:tcW w:w="3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10,668</w:t>
            </w:r>
          </w:p>
        </w:tc>
        <w:tc>
          <w:tcPr>
            <w:tcW w:w="11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1,679</w:t>
            </w:r>
          </w:p>
        </w:tc>
        <w:tc>
          <w:tcPr>
            <w:tcW w:w="3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9,918</w:t>
            </w:r>
          </w:p>
        </w:tc>
        <w:tc>
          <w:tcPr>
            <w:tcW w:w="860" w:type="dxa"/>
            <w:vAlign w:val="bottom"/>
            <w:gridSpan w:val="2"/>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86"/>
              </w:rPr>
              <w:t>Geographic Areas</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5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First Quarter 2013</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5"/>
            <w:vMerge w:val="continue"/>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4"/>
          </w:tcPr>
          <w:p>
            <w:pPr>
              <w:jc w:val="right"/>
              <w:ind w:right="740"/>
              <w:spacing w:after="0" w:line="159" w:lineRule="exact"/>
              <w:rPr>
                <w:sz w:val="20"/>
                <w:szCs w:val="20"/>
                <w:color w:val="auto"/>
              </w:rPr>
            </w:pPr>
            <w:r>
              <w:rPr>
                <w:rFonts w:ascii="Arial" w:cs="Arial" w:eastAsia="Arial" w:hAnsi="Arial"/>
                <w:sz w:val="14"/>
                <w:szCs w:val="14"/>
                <w:color w:val="auto"/>
                <w:w w:val="91"/>
              </w:rPr>
              <w:t>First Quarter 2012</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16"/>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Before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9"/>
              </w:rPr>
              <w:t>Revenue</w:t>
            </w:r>
          </w:p>
        </w:tc>
        <w:tc>
          <w:tcPr>
            <w:tcW w:w="66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0"/>
              </w:rPr>
              <w:t>Taxes</w:t>
            </w:r>
          </w:p>
        </w:tc>
        <w:tc>
          <w:tcPr>
            <w:tcW w:w="3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Revenue</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78"/>
              </w:rPr>
              <w:t>Taxes</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North America</w:t>
            </w:r>
          </w:p>
        </w:tc>
        <w:tc>
          <w:tcPr>
            <w:tcW w:w="1660" w:type="dxa"/>
            <w:vAlign w:val="bottom"/>
            <w:gridSpan w:val="4"/>
          </w:tcPr>
          <w:p>
            <w:pPr>
              <w:jc w:val="right"/>
              <w:spacing w:after="0"/>
              <w:rPr>
                <w:sz w:val="20"/>
                <w:szCs w:val="20"/>
                <w:color w:val="auto"/>
              </w:rPr>
            </w:pPr>
            <w:r>
              <w:rPr>
                <w:rFonts w:ascii="Arial" w:cs="Arial" w:eastAsia="Arial" w:hAnsi="Arial"/>
                <w:sz w:val="18"/>
                <w:szCs w:val="18"/>
                <w:b w:val="1"/>
                <w:bCs w:val="1"/>
                <w:color w:val="auto"/>
              </w:rPr>
              <w:t>$ 3,290</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  627</w:t>
            </w:r>
          </w:p>
        </w:tc>
        <w:tc>
          <w:tcPr>
            <w:tcW w:w="34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$3,433</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1,904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1,766</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Europe/CIS/Africa</w:t>
            </w:r>
          </w:p>
        </w:tc>
        <w:tc>
          <w:tcPr>
            <w:tcW w:w="1660" w:type="dxa"/>
            <w:vAlign w:val="bottom"/>
            <w:gridSpan w:val="4"/>
          </w:tcPr>
          <w:p>
            <w:pPr>
              <w:jc w:val="right"/>
              <w:spacing w:after="0"/>
              <w:rPr>
                <w:sz w:val="20"/>
                <w:szCs w:val="20"/>
                <w:color w:val="auto"/>
              </w:rPr>
            </w:pPr>
            <w:r>
              <w:rPr>
                <w:rFonts w:ascii="Arial" w:cs="Arial" w:eastAsia="Arial" w:hAnsi="Arial"/>
                <w:sz w:val="18"/>
                <w:szCs w:val="18"/>
                <w:b w:val="1"/>
                <w:bCs w:val="1"/>
                <w:color w:val="auto"/>
              </w:rPr>
              <w:t>2,851</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508</w:t>
            </w:r>
          </w:p>
        </w:tc>
        <w:tc>
          <w:tcPr>
            <w:tcW w:w="34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2,577</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2,505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609</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2,064</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Eliminations &amp; other</w:t>
            </w:r>
          </w:p>
        </w:tc>
        <w:tc>
          <w:tcPr>
            <w:tcW w:w="10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118</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(89)</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78</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10,668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9,918</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322"/>
        </w:trPr>
        <w:tc>
          <w:tcPr>
            <w:tcW w:w="4580" w:type="dxa"/>
            <w:vAlign w:val="bottom"/>
          </w:tcPr>
          <w:p>
            <w:pPr>
              <w:spacing w:after="0"/>
              <w:rPr>
                <w:sz w:val="20"/>
                <w:szCs w:val="20"/>
                <w:color w:val="auto"/>
              </w:rPr>
            </w:pPr>
            <w:r>
              <w:rPr>
                <w:rFonts w:ascii="Arial" w:cs="Arial" w:eastAsia="Arial" w:hAnsi="Arial"/>
                <w:sz w:val="18"/>
                <w:szCs w:val="18"/>
                <w:b w:val="1"/>
                <w:bCs w:val="1"/>
                <w:color w:val="auto"/>
              </w:rPr>
              <w:t>Corporate &amp; other</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(168)</w:t>
            </w:r>
          </w:p>
        </w:tc>
        <w:tc>
          <w:tcPr>
            <w:tcW w:w="30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(1)</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(93)</w:t>
            </w:r>
          </w:p>
        </w:tc>
        <w:tc>
          <w:tcPr>
            <w:tcW w:w="3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(92)</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10,668</w:t>
            </w: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1,679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9,918</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year presentation.</w:t>
      </w:r>
    </w:p>
    <w:p>
      <w:pPr>
        <w:spacing w:after="0" w:line="212" w:lineRule="exact"/>
        <w:rPr>
          <w:sz w:val="20"/>
          <w:szCs w:val="20"/>
          <w:color w:val="auto"/>
        </w:rPr>
      </w:pPr>
    </w:p>
    <w:p>
      <w:pPr>
        <w:ind w:left="5620" w:right="5360" w:hanging="5612"/>
        <w:spacing w:after="0" w:line="322" w:lineRule="auto"/>
        <w:tabs>
          <w:tab w:leader="none" w:pos="448"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Excludes interest included in the Product Group and Geographical Area results. 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First-quarter revenue of $10.7 billion increased 8% year-on-year with strong growth in all Product Groups. Geographically, International revenue of $7.3 billion grew $853 million, or 13% year-on-year, while North America revenue of $3.3 billion declined $144 million, or 4%, year-on-year.</w:t>
      </w:r>
    </w:p>
    <w:p>
      <w:pPr>
        <w:spacing w:after="0" w:line="8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International revenue growth, which outpaced the 7% rig count increase, was led by the Middle East &amp; Asia with revenue of $2.5 billion growing 21%, mainly from robust results across all Technologies in Saudi Arabia, strong IPM results in Iraq, and sustained land and offshore drilling activity in the Australasia and China GeoMarkets. Europe/CIS/Africa revenue of $2.9 billion increased 11%, led by the Sub-Sahara Africa region on strong development and exploration drilling. The Russia and Central Asia region saw strong activity while the North Sea GeoMarket posted firm growth as activity migrated from exploration to development and production-related projects. Latin America revenue of $1.9 billion grew 8%, mainly in Ecuador from solid progress on the SPM Shushufindi project. Strong revenue was also reported by the Mexico &amp; Central America and the Argentina, Bolivia &amp; Chile GeoMarkets. North America revenue of $3.3 billion decreased 4%—mainly from land activity, which was down 11% year-on-year while offshore was up 26%. The increase in offshore revenue resulted from higher drilling activity as the number of deepwater rigs increased by more than 30% year-on-year in the US Gulf of Mexico. The decline in land revenue was mainly due to pricing weakness for both pressure pumping services and for other Technologies as overall rig count declined by 15% year-on-year.</w:t>
      </w:r>
    </w:p>
    <w:p>
      <w:pPr>
        <w:spacing w:after="0" w:line="12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Year-on-year, pretax operating margin of 19.0% declined 59 bps, as International pretax operating margin improved 135 bps to 20.5% while North America pretax operating margin declined 356 bps to 19.1%. Middle East &amp; Asia showed a 125 bps year-on-year margin improvement to reach 24.3%, Europe/CIS/Africa increased by 120 bps to 17.8%, and Latin America improved by 123 bps to 19.5%. The decline in North America margin was mainly due to pricing pressure for Well Services production technologies on land, while the expansion in International margin was due to strong contributions from Testing Services and Drilling &amp; Measurements Technologies on improved profitability from higher offshore exploration and drilling activity. Improved profitability of IPM and SPM project-related activities in the Latin America and Middle East &amp; Asia Areas also contributed to the expanded international margin. By segment, Reservoir Characterization Group pretax operating margin increased 94 bps to 27.0% due to improved profitability in Testing Services while the pretax operating margin of the Drilling Group increased 57 bps to 17.9% from better margins from Drilling &amp; Measurements. Production Group pretax operating margin declined 237 bps to 15.1% due mainly to lower prices for Well Services production technologies in US land, although the effect of this was partially offset by improved profitability on SPM projects in Latin America.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First-quarter revenue of $2.8 billion increased 9% year-on-year led by double-digit growth in Testing Services activity and SIS software sales, which were driven by improved offshore exploration activity and increased sales across all international Areas. WesternGeco grew on higher marine vessel utilization at better pricing and improved UniQ and conventional land seismic productivity in the Middle East and Australia.</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Pretax operating margin of 27.0% increased 94 bps year-on-year due mainly to improved profitability in Testing Services which benefited from high-margin offshore exploration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First-quarter revenue of $4.1 billion grew 9% year-on-year led by robust growth in Drilling &amp; Measurements technologies as offshore drilling activity strengthened in the US Gulf of Mexico, Sub-Sahara Africa, Sakhalin, Asia and Australia, and as rig count grew in key international land markets in Saudi Arabia, China and Australia. Drilling Tools &amp; Remedial activity increased across all Areas and IPM grew strongly as projects in Iraq and Australia ramped up.</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Pretax operating margin of 17.9% increased 57 bps year-on-year reflecting increased drilling activity in the US Gulf of Mexico and the international Areas, and more favorable pricing from an improved technology mix, particularly in Drilling &amp; Measurements.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First-quarter revenue of $3.8 billion increased 7% year-on-year led by double-digit growth in Artificial Lift, Well Intervention, Completions and Well Services production technologies in the international Areas. Framo and the Subsea Services Technologies posted growth of more than 50% while SPM revenue more than doubled as projects in Latin America came in ahead of plans. The Group revenue increase, however, was partly reduced by a decline in pressure pumping revenues in North America land.</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Pretax operating margin of 15.1% declined 237 bps mainly due to pricing weakness in Well Services production technologies in US land, although the effect of this was partially offset by improved profitability in SPM projects in Latin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 for the first quarter ended March 31, 2013 and 2012:</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159"/>
        </w:trPr>
        <w:tc>
          <w:tcPr>
            <w:tcW w:w="5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103"/>
              <w:spacing w:after="0" w:line="159" w:lineRule="exact"/>
              <w:rPr>
                <w:sz w:val="20"/>
                <w:szCs w:val="20"/>
                <w:color w:val="auto"/>
              </w:rPr>
            </w:pPr>
            <w:r>
              <w:rPr>
                <w:rFonts w:ascii="Arial" w:cs="Arial" w:eastAsia="Arial" w:hAnsi="Arial"/>
                <w:sz w:val="14"/>
                <w:szCs w:val="14"/>
                <w:color w:val="auto"/>
                <w:w w:val="91"/>
              </w:rPr>
              <w:t>First Quarter</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r>
      <w:tr>
        <w:trPr>
          <w:trHeight w:val="210"/>
        </w:trPr>
        <w:tc>
          <w:tcPr>
            <w:tcW w:w="5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net earnings of affiliated companies</w:t>
            </w:r>
          </w:p>
        </w:tc>
        <w:tc>
          <w:tcPr>
            <w:tcW w:w="1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9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first quarter ended March 31, 2013 and 2012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First Quarter</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2013</w:t>
            </w:r>
          </w:p>
        </w:tc>
        <w:tc>
          <w:tcPr>
            <w:tcW w:w="7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&amp; engineering</w:t>
            </w:r>
          </w:p>
        </w:tc>
        <w:tc>
          <w:tcPr>
            <w:tcW w:w="10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2.8%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28"/>
        </w:trPr>
        <w:tc>
          <w:tcPr>
            <w:tcW w:w="714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04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rPr>
              <w:t>0.9%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1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effective tax rate for the first quarter of 2013 was 24.5% compared to 23.7% for the same period of 2012. This increase was primarily attributable to the impact of the $92 million charge relating to the foreign currency devaluation in Venzuela that was recorded in the first quarter of 2013 which had no related tax benefit.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AND CREDITS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during the first three months of 2013 and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Although the functional currency of Schlumberger’s operations in Venezuela is the US dollar, a portion of the transactions are denominated in local currency. In February 2013, Venezuela’s currency was devalued from the prior exchange rate of 4.3 Bolivar Fuertes per US dollar to 6.3 Bolivar Fuertes per US dollar. Although this devaluation does result in a reduction in the US dollar reported amount of local currency denominated revenue and expenses, the impact is not material to Schlumberger’s consolidated financial statements. As a result</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of this devaluation, Schlumberger recorded a pretax and after-tax foreign currency loss of $92 million during the first quarter of 2013. This amount is classified in </w:t>
      </w:r>
      <w:r>
        <w:rPr>
          <w:rFonts w:ascii="Arial" w:cs="Arial" w:eastAsia="Arial" w:hAnsi="Arial"/>
          <w:sz w:val="18"/>
          <w:szCs w:val="18"/>
          <w:i w:val="1"/>
          <w:iCs w:val="1"/>
          <w:color w:val="auto"/>
        </w:rPr>
        <w:t xml:space="preserve">Restructuring &amp; other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Schlumberger recorded $15 million of pretax merger and integration-related charges ($13 million after-tax) in connection with the 2010 acquisition of Smith. This amount is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vMerge w:val="restart"/>
          </w:tcPr>
          <w:p>
            <w:pPr>
              <w:jc w:val="center"/>
              <w:ind w:right="42"/>
              <w:spacing w:after="0"/>
              <w:rPr>
                <w:sz w:val="20"/>
                <w:szCs w:val="20"/>
                <w:color w:val="auto"/>
              </w:rPr>
            </w:pPr>
            <w:r>
              <w:rPr>
                <w:rFonts w:ascii="Arial" w:cs="Arial" w:eastAsia="Arial" w:hAnsi="Arial"/>
                <w:sz w:val="14"/>
                <w:szCs w:val="14"/>
                <w:b w:val="1"/>
                <w:bCs w:val="1"/>
                <w:color w:val="auto"/>
                <w:w w:val="91"/>
              </w:rPr>
              <w:t>Mar. 31,</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tcPr>
          <w:p>
            <w:pPr>
              <w:jc w:val="center"/>
              <w:ind w:right="120"/>
              <w:spacing w:after="0" w:line="147" w:lineRule="exact"/>
              <w:rPr>
                <w:sz w:val="20"/>
                <w:szCs w:val="20"/>
                <w:color w:val="auto"/>
              </w:rPr>
            </w:pPr>
            <w:r>
              <w:rPr>
                <w:rFonts w:ascii="Arial" w:cs="Arial" w:eastAsia="Arial" w:hAnsi="Arial"/>
                <w:sz w:val="14"/>
                <w:szCs w:val="14"/>
                <w:color w:val="auto"/>
                <w:w w:val="89"/>
              </w:rPr>
              <w:t>Mar.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2013</w:t>
            </w:r>
          </w:p>
        </w:tc>
        <w:tc>
          <w:tcPr>
            <w:tcW w:w="80" w:type="dxa"/>
            <w:vAlign w:val="bottom"/>
          </w:tcPr>
          <w:p>
            <w:pPr>
              <w:spacing w:after="0"/>
              <w:rPr>
                <w:sz w:val="14"/>
                <w:szCs w:val="14"/>
                <w:color w:val="auto"/>
              </w:rPr>
            </w:pPr>
          </w:p>
        </w:tc>
        <w:tc>
          <w:tcPr>
            <w:tcW w:w="1080" w:type="dxa"/>
            <w:vAlign w:val="bottom"/>
            <w:gridSpan w:val="2"/>
          </w:tcPr>
          <w:p>
            <w:pPr>
              <w:jc w:val="center"/>
              <w:ind w:left="435"/>
              <w:spacing w:after="0"/>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Debt, beginning of year</w:t>
            </w:r>
          </w:p>
        </w:tc>
        <w:tc>
          <w:tcPr>
            <w:tcW w:w="28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4"/>
              </w:rPr>
              <w:t>$ (5,111)</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tcPr>
          <w:p>
            <w:pPr>
              <w:ind w:left="440"/>
              <w:spacing w:after="0"/>
              <w:rPr>
                <w:sz w:val="20"/>
                <w:szCs w:val="20"/>
                <w:color w:val="auto"/>
              </w:rPr>
            </w:pPr>
            <w:r>
              <w:rPr>
                <w:rFonts w:ascii="Arial" w:cs="Arial" w:eastAsia="Arial" w:hAnsi="Arial"/>
                <w:sz w:val="18"/>
                <w:szCs w:val="18"/>
                <w:color w:val="auto"/>
              </w:rPr>
              <w:t>Income from continuing operations</w:t>
            </w:r>
          </w:p>
        </w:tc>
        <w:tc>
          <w:tcPr>
            <w:tcW w:w="2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1,267</w:t>
            </w:r>
          </w:p>
        </w:tc>
        <w:tc>
          <w:tcPr>
            <w:tcW w:w="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2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896</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2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(23)</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2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tcPr>
          <w:p>
            <w:pPr>
              <w:ind w:left="440"/>
              <w:spacing w:after="0"/>
              <w:rPr>
                <w:sz w:val="20"/>
                <w:szCs w:val="20"/>
                <w:color w:val="auto"/>
              </w:rPr>
            </w:pPr>
            <w:r>
              <w:rPr>
                <w:rFonts w:ascii="Arial" w:cs="Arial" w:eastAsia="Arial" w:hAnsi="Arial"/>
                <w:sz w:val="18"/>
                <w:szCs w:val="18"/>
                <w:color w:val="auto"/>
              </w:rPr>
              <w:t>Pension and other postretirement benefits expense</w:t>
            </w:r>
          </w:p>
        </w:tc>
        <w:tc>
          <w:tcPr>
            <w:tcW w:w="2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benefits funding</w:t>
            </w:r>
          </w:p>
        </w:tc>
        <w:tc>
          <w:tcPr>
            <w:tcW w:w="2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(177)</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tcPr>
          <w:p>
            <w:pPr>
              <w:ind w:left="440"/>
              <w:spacing w:after="0"/>
              <w:rPr>
                <w:sz w:val="20"/>
                <w:szCs w:val="20"/>
                <w:color w:val="auto"/>
              </w:rPr>
            </w:pPr>
            <w:r>
              <w:rPr>
                <w:rFonts w:ascii="Arial" w:cs="Arial" w:eastAsia="Arial" w:hAnsi="Arial"/>
                <w:sz w:val="18"/>
                <w:szCs w:val="18"/>
                <w:color w:val="auto"/>
              </w:rPr>
              <w:t>Increase in working capital</w:t>
            </w:r>
          </w:p>
        </w:tc>
        <w:tc>
          <w:tcPr>
            <w:tcW w:w="2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(924)</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2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(894)</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tcPr>
          <w:p>
            <w:pPr>
              <w:ind w:left="440"/>
              <w:spacing w:after="0"/>
              <w:rPr>
                <w:sz w:val="20"/>
                <w:szCs w:val="20"/>
                <w:color w:val="auto"/>
              </w:rPr>
            </w:pPr>
            <w:r>
              <w:rPr>
                <w:rFonts w:ascii="Arial" w:cs="Arial" w:eastAsia="Arial" w:hAnsi="Arial"/>
                <w:sz w:val="18"/>
                <w:szCs w:val="18"/>
                <w:color w:val="auto"/>
              </w:rPr>
              <w:t>Multiclient seismic data capitalized</w:t>
            </w:r>
          </w:p>
        </w:tc>
        <w:tc>
          <w:tcPr>
            <w:tcW w:w="2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(117)</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2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(365)</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tcPr>
          <w:p>
            <w:pPr>
              <w:ind w:left="440"/>
              <w:spacing w:after="0"/>
              <w:rPr>
                <w:sz w:val="20"/>
                <w:szCs w:val="20"/>
                <w:color w:val="auto"/>
              </w:rPr>
            </w:pPr>
            <w:r>
              <w:rPr>
                <w:rFonts w:ascii="Arial" w:cs="Arial" w:eastAsia="Arial" w:hAnsi="Arial"/>
                <w:sz w:val="18"/>
                <w:szCs w:val="18"/>
                <w:color w:val="auto"/>
              </w:rPr>
              <w:t>Stock repurchase program</w:t>
            </w:r>
          </w:p>
        </w:tc>
        <w:tc>
          <w:tcPr>
            <w:tcW w:w="2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(193)</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Proceeds from employee stock plans</w:t>
            </w:r>
          </w:p>
        </w:tc>
        <w:tc>
          <w:tcPr>
            <w:tcW w:w="2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tcPr>
          <w:p>
            <w:pPr>
              <w:ind w:left="440"/>
              <w:spacing w:after="0"/>
              <w:rPr>
                <w:sz w:val="20"/>
                <w:szCs w:val="20"/>
                <w:color w:val="auto"/>
              </w:rPr>
            </w:pPr>
            <w:r>
              <w:rPr>
                <w:rFonts w:ascii="Arial" w:cs="Arial" w:eastAsia="Arial" w:hAnsi="Arial"/>
                <w:sz w:val="18"/>
                <w:szCs w:val="18"/>
                <w:color w:val="auto"/>
              </w:rPr>
              <w:t>Business acquisitions</w:t>
            </w:r>
          </w:p>
        </w:tc>
        <w:tc>
          <w:tcPr>
            <w:tcW w:w="2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(39)</w:t>
            </w:r>
          </w:p>
        </w:tc>
        <w:tc>
          <w:tcPr>
            <w:tcW w:w="5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2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tcPr>
          <w:p>
            <w:pPr>
              <w:ind w:left="440"/>
              <w:spacing w:after="0"/>
              <w:rPr>
                <w:sz w:val="20"/>
                <w:szCs w:val="20"/>
                <w:color w:val="auto"/>
              </w:rPr>
            </w:pPr>
            <w:r>
              <w:rPr>
                <w:rFonts w:ascii="Arial" w:cs="Arial" w:eastAsia="Arial" w:hAnsi="Arial"/>
                <w:sz w:val="18"/>
                <w:szCs w:val="18"/>
                <w:color w:val="auto"/>
              </w:rPr>
              <w:t>Currency effect on net debt</w:t>
            </w:r>
          </w:p>
        </w:tc>
        <w:tc>
          <w:tcPr>
            <w:tcW w:w="2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(94)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80" w:type="dxa"/>
            <w:vAlign w:val="bottom"/>
            <w:gridSpan w:val="3"/>
            <w:vMerge w:val="restart"/>
          </w:tcPr>
          <w:p>
            <w:pPr>
              <w:ind w:left="160"/>
              <w:spacing w:after="0"/>
              <w:rPr>
                <w:sz w:val="20"/>
                <w:szCs w:val="20"/>
                <w:color w:val="auto"/>
              </w:rPr>
            </w:pPr>
            <w:r>
              <w:rPr>
                <w:rFonts w:ascii="Arial" w:cs="Arial" w:eastAsia="Arial" w:hAnsi="Arial"/>
                <w:sz w:val="18"/>
                <w:szCs w:val="18"/>
                <w:color w:val="auto"/>
              </w:rPr>
              <w:t>Net Debt, end of period</w:t>
            </w:r>
          </w:p>
        </w:tc>
        <w:tc>
          <w:tcPr>
            <w:tcW w:w="2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vMerge w:val="restart"/>
          </w:tcPr>
          <w:p>
            <w:pPr>
              <w:jc w:val="right"/>
              <w:ind w:right="2"/>
              <w:spacing w:after="0"/>
              <w:rPr>
                <w:sz w:val="20"/>
                <w:szCs w:val="20"/>
                <w:color w:val="auto"/>
              </w:rPr>
            </w:pPr>
            <w:r>
              <w:rPr>
                <w:rFonts w:ascii="Arial" w:cs="Arial" w:eastAsia="Arial" w:hAnsi="Arial"/>
                <w:sz w:val="8"/>
                <w:szCs w:val="8"/>
                <w:b w:val="1"/>
                <w:bCs w:val="1"/>
                <w:color w:val="auto"/>
                <w:w w:val="73"/>
              </w:rPr>
              <w:t>)</w:t>
            </w: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 w:type="dxa"/>
            <w:vAlign w:val="bottom"/>
          </w:tcPr>
          <w:p>
            <w:pPr>
              <w:spacing w:after="0"/>
              <w:rPr>
                <w:sz w:val="19"/>
                <w:szCs w:val="19"/>
                <w:color w:val="auto"/>
              </w:rPr>
            </w:pPr>
          </w:p>
        </w:tc>
        <w:tc>
          <w:tcPr>
            <w:tcW w:w="4880" w:type="dxa"/>
            <w:vAlign w:val="bottom"/>
            <w:gridSpan w:val="3"/>
            <w:vMerge w:val="continue"/>
          </w:tcPr>
          <w:p>
            <w:pPr>
              <w:spacing w:after="0"/>
              <w:rPr>
                <w:sz w:val="19"/>
                <w:szCs w:val="19"/>
                <w:color w:val="auto"/>
              </w:rPr>
            </w:pPr>
          </w:p>
        </w:tc>
        <w:tc>
          <w:tcPr>
            <w:tcW w:w="2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(5,273</w:t>
            </w:r>
          </w:p>
        </w:tc>
        <w:tc>
          <w:tcPr>
            <w:tcW w:w="80" w:type="dxa"/>
            <w:vAlign w:val="bottom"/>
            <w:vMerge w:val="continue"/>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104"/>
              <w:spacing w:after="0"/>
              <w:rPr>
                <w:sz w:val="20"/>
                <w:szCs w:val="20"/>
                <w:color w:val="auto"/>
              </w:rPr>
            </w:pPr>
            <w:r>
              <w:rPr>
                <w:rFonts w:ascii="Arial" w:cs="Arial" w:eastAsia="Arial" w:hAnsi="Arial"/>
                <w:sz w:val="11"/>
                <w:szCs w:val="11"/>
                <w:color w:val="auto"/>
                <w:w w:val="88"/>
              </w:rPr>
              <w:t>(1)</w:t>
            </w:r>
          </w:p>
        </w:tc>
        <w:tc>
          <w:tcPr>
            <w:tcW w:w="4880" w:type="dxa"/>
            <w:vAlign w:val="bottom"/>
            <w:gridSpan w:val="3"/>
            <w:vMerge w:val="restart"/>
          </w:tcPr>
          <w:p>
            <w:pPr>
              <w:ind w:left="160"/>
              <w:spacing w:after="0"/>
              <w:rPr>
                <w:sz w:val="20"/>
                <w:szCs w:val="20"/>
                <w:color w:val="auto"/>
              </w:rPr>
            </w:pPr>
            <w:r>
              <w:rPr>
                <w:rFonts w:ascii="Arial" w:cs="Arial" w:eastAsia="Arial" w:hAnsi="Arial"/>
                <w:sz w:val="18"/>
                <w:szCs w:val="18"/>
                <w:color w:val="auto"/>
              </w:rPr>
              <w:t>Includes multiclient seismic data costs.</w:t>
            </w:r>
          </w:p>
        </w:tc>
        <w:tc>
          <w:tcPr>
            <w:tcW w:w="2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0" w:type="dxa"/>
            <w:vAlign w:val="bottom"/>
            <w:vMerge w:val="continue"/>
          </w:tcPr>
          <w:p>
            <w:pPr>
              <w:spacing w:after="0"/>
              <w:rPr>
                <w:sz w:val="16"/>
                <w:szCs w:val="16"/>
                <w:color w:val="auto"/>
              </w:rPr>
            </w:pPr>
          </w:p>
        </w:tc>
        <w:tc>
          <w:tcPr>
            <w:tcW w:w="4880" w:type="dxa"/>
            <w:vAlign w:val="bottom"/>
            <w:gridSpan w:val="3"/>
            <w:vMerge w:val="continue"/>
          </w:tcPr>
          <w:p>
            <w:pPr>
              <w:spacing w:after="0"/>
              <w:rPr>
                <w:sz w:val="16"/>
                <w:szCs w:val="16"/>
                <w:color w:val="auto"/>
              </w:rPr>
            </w:pPr>
          </w:p>
        </w:tc>
        <w:tc>
          <w:tcPr>
            <w:tcW w:w="2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4880" w:type="dxa"/>
            <w:vAlign w:val="bottom"/>
            <w:gridSpan w:val="3"/>
            <w:vMerge w:val="continue"/>
          </w:tcPr>
          <w:p>
            <w:pPr>
              <w:spacing w:after="0"/>
              <w:rPr>
                <w:sz w:val="8"/>
                <w:szCs w:val="8"/>
                <w:color w:val="auto"/>
              </w:rPr>
            </w:pPr>
          </w:p>
        </w:tc>
        <w:tc>
          <w:tcPr>
            <w:tcW w:w="2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2"/>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60" w:type="dxa"/>
            <w:vAlign w:val="bottom"/>
            <w:gridSpan w:val="2"/>
            <w:vMerge w:val="restart"/>
          </w:tcPr>
          <w:p>
            <w:pPr>
              <w:jc w:val="right"/>
              <w:ind w:right="558"/>
              <w:spacing w:after="0"/>
              <w:rPr>
                <w:sz w:val="20"/>
                <w:szCs w:val="20"/>
                <w:color w:val="auto"/>
              </w:rPr>
            </w:pPr>
            <w:r>
              <w:rPr>
                <w:rFonts w:ascii="Arial" w:cs="Arial" w:eastAsia="Arial" w:hAnsi="Arial"/>
                <w:sz w:val="14"/>
                <w:szCs w:val="14"/>
                <w:b w:val="1"/>
                <w:bCs w:val="1"/>
                <w:color w:val="auto"/>
                <w:w w:val="95"/>
              </w:rPr>
              <w:t>Mar. 31,</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1460" w:type="dxa"/>
            <w:vAlign w:val="bottom"/>
            <w:vMerge w:val="restart"/>
          </w:tcPr>
          <w:p>
            <w:pPr>
              <w:spacing w:after="0"/>
              <w:rPr>
                <w:sz w:val="20"/>
                <w:szCs w:val="20"/>
                <w:color w:val="auto"/>
              </w:rPr>
            </w:pPr>
            <w:r>
              <w:rPr>
                <w:rFonts w:ascii="Arial" w:cs="Arial" w:eastAsia="Arial" w:hAnsi="Arial"/>
                <w:sz w:val="14"/>
                <w:szCs w:val="14"/>
                <w:color w:val="auto"/>
                <w:w w:val="93"/>
              </w:rPr>
              <w:t>Components of Net Debt</w:t>
            </w:r>
          </w:p>
        </w:tc>
        <w:tc>
          <w:tcPr>
            <w:tcW w:w="326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40" w:type="dxa"/>
            <w:vAlign w:val="bottom"/>
            <w:gridSpan w:val="2"/>
          </w:tcPr>
          <w:p>
            <w:pPr>
              <w:jc w:val="center"/>
              <w:ind w:right="62"/>
              <w:spacing w:after="0" w:line="147" w:lineRule="exact"/>
              <w:rPr>
                <w:sz w:val="20"/>
                <w:szCs w:val="20"/>
                <w:color w:val="auto"/>
              </w:rPr>
            </w:pPr>
            <w:r>
              <w:rPr>
                <w:rFonts w:ascii="Arial" w:cs="Arial" w:eastAsia="Arial" w:hAnsi="Arial"/>
                <w:sz w:val="14"/>
                <w:szCs w:val="14"/>
                <w:color w:val="auto"/>
                <w:w w:val="89"/>
              </w:rPr>
              <w:t>Mar. 31,</w:t>
            </w:r>
          </w:p>
        </w:tc>
        <w:tc>
          <w:tcPr>
            <w:tcW w:w="520" w:type="dxa"/>
            <w:vAlign w:val="bottom"/>
          </w:tcPr>
          <w:p>
            <w:pPr>
              <w:spacing w:after="0"/>
              <w:rPr>
                <w:sz w:val="12"/>
                <w:szCs w:val="12"/>
                <w:color w:val="auto"/>
              </w:rPr>
            </w:pPr>
          </w:p>
        </w:tc>
        <w:tc>
          <w:tcPr>
            <w:tcW w:w="660" w:type="dxa"/>
            <w:vAlign w:val="bottom"/>
            <w:gridSpan w:val="2"/>
          </w:tcPr>
          <w:p>
            <w:pPr>
              <w:jc w:val="center"/>
              <w:ind w:right="120"/>
              <w:spacing w:after="0" w:line="147" w:lineRule="exact"/>
              <w:rPr>
                <w:sz w:val="20"/>
                <w:szCs w:val="20"/>
                <w:color w:val="auto"/>
              </w:rPr>
            </w:pPr>
            <w:r>
              <w:rPr>
                <w:rFonts w:ascii="Arial" w:cs="Arial" w:eastAsia="Arial" w:hAnsi="Arial"/>
                <w:sz w:val="14"/>
                <w:szCs w:val="14"/>
                <w:color w:val="auto"/>
                <w:w w:val="88"/>
              </w:rPr>
              <w:t>Dec. 31,</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3340" w:type="dxa"/>
            <w:vAlign w:val="bottom"/>
            <w:gridSpan w:val="2"/>
          </w:tcPr>
          <w:p>
            <w:pPr>
              <w:jc w:val="right"/>
              <w:ind w:right="57"/>
              <w:spacing w:after="0" w:line="148" w:lineRule="exact"/>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4"/>
                <w:szCs w:val="14"/>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color w:val="auto"/>
                <w:w w:val="83"/>
              </w:rPr>
              <w:t>2012</w:t>
            </w:r>
          </w:p>
        </w:tc>
        <w:tc>
          <w:tcPr>
            <w:tcW w:w="80" w:type="dxa"/>
            <w:vAlign w:val="bottom"/>
          </w:tcPr>
          <w:p>
            <w:pPr>
              <w:spacing w:after="0"/>
              <w:rPr>
                <w:sz w:val="14"/>
                <w:szCs w:val="14"/>
                <w:color w:val="auto"/>
              </w:rPr>
            </w:pPr>
          </w:p>
        </w:tc>
        <w:tc>
          <w:tcPr>
            <w:tcW w:w="1080" w:type="dxa"/>
            <w:vAlign w:val="bottom"/>
            <w:gridSpan w:val="2"/>
          </w:tcPr>
          <w:p>
            <w:pPr>
              <w:jc w:val="center"/>
              <w:ind w:left="435"/>
              <w:spacing w:after="0" w:line="148"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8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$ 2,129</w:t>
            </w:r>
          </w:p>
        </w:tc>
        <w:tc>
          <w:tcPr>
            <w:tcW w:w="6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$ 1,346</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$ 1,905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3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3,432</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3960" w:type="dxa"/>
            <w:vAlign w:val="bottom"/>
            <w:gridSpan w:val="3"/>
          </w:tcPr>
          <w:p>
            <w:pPr>
              <w:jc w:val="right"/>
              <w:ind w:right="478"/>
              <w:spacing w:after="0"/>
              <w:rPr>
                <w:sz w:val="20"/>
                <w:szCs w:val="20"/>
                <w:color w:val="auto"/>
              </w:rPr>
            </w:pPr>
            <w:r>
              <w:rPr>
                <w:rFonts w:ascii="Arial" w:cs="Arial" w:eastAsia="Arial" w:hAnsi="Arial"/>
                <w:sz w:val="18"/>
                <w:szCs w:val="18"/>
                <w:b w:val="1"/>
                <w:bCs w:val="1"/>
                <w:color w:val="auto"/>
              </w:rPr>
              <w:t>(2,962)</w:t>
            </w:r>
          </w:p>
        </w:tc>
        <w:tc>
          <w:tcPr>
            <w:tcW w:w="640" w:type="dxa"/>
            <w:vAlign w:val="bottom"/>
            <w:gridSpan w:val="2"/>
          </w:tcPr>
          <w:p>
            <w:pPr>
              <w:jc w:val="right"/>
              <w:ind w:right="2"/>
              <w:spacing w:after="0"/>
              <w:rPr>
                <w:sz w:val="20"/>
                <w:szCs w:val="20"/>
                <w:color w:val="auto"/>
              </w:rPr>
            </w:pPr>
            <w:r>
              <w:rPr>
                <w:rFonts w:ascii="Arial" w:cs="Arial" w:eastAsia="Arial" w:hAnsi="Arial"/>
                <w:sz w:val="18"/>
                <w:szCs w:val="18"/>
                <w:color w:val="auto"/>
              </w:rPr>
              <w:t>(1,728)</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(8,138)</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(8,439)</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vMerge w:val="restart"/>
          </w:tcPr>
          <w:p>
            <w:pPr>
              <w:jc w:val="right"/>
              <w:ind w:right="478"/>
              <w:spacing w:after="0"/>
              <w:rPr>
                <w:sz w:val="20"/>
                <w:szCs w:val="20"/>
                <w:color w:val="auto"/>
              </w:rPr>
            </w:pPr>
            <w:r>
              <w:rPr>
                <w:rFonts w:ascii="Arial" w:cs="Arial" w:eastAsia="Arial" w:hAnsi="Arial"/>
                <w:sz w:val="16"/>
                <w:szCs w:val="16"/>
                <w:b w:val="1"/>
                <w:bCs w:val="1"/>
                <w:color w:val="auto"/>
                <w:w w:val="74"/>
              </w:rPr>
              <w:t>)</w:t>
            </w: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(5,273</w:t>
            </w:r>
          </w:p>
        </w:tc>
        <w:tc>
          <w:tcPr>
            <w:tcW w:w="620" w:type="dxa"/>
            <w:vAlign w:val="bottom"/>
            <w:vMerge w:val="continue"/>
          </w:tcPr>
          <w:p>
            <w:pPr>
              <w:spacing w:after="0"/>
              <w:rPr>
                <w:sz w:val="19"/>
                <w:szCs w:val="19"/>
                <w:color w:val="auto"/>
              </w:rPr>
            </w:pPr>
          </w:p>
        </w:tc>
        <w:tc>
          <w:tcPr>
            <w:tcW w:w="640" w:type="dxa"/>
            <w:vAlign w:val="bottom"/>
            <w:gridSpan w:val="2"/>
          </w:tcPr>
          <w:p>
            <w:pPr>
              <w:jc w:val="right"/>
              <w:ind w:right="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(5,801)</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 (5,111)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0" w:type="dxa"/>
            <w:vAlign w:val="bottom"/>
            <w:vMerge w:val="restart"/>
          </w:tcPr>
          <w:p>
            <w:pPr>
              <w:jc w:val="right"/>
              <w:ind w:right="2096"/>
              <w:spacing w:after="0"/>
              <w:rPr>
                <w:sz w:val="20"/>
                <w:szCs w:val="20"/>
                <w:color w:val="auto"/>
              </w:rPr>
            </w:pPr>
            <w:r>
              <w:rPr>
                <w:rFonts w:ascii="Arial" w:cs="Arial" w:eastAsia="Arial" w:hAnsi="Arial"/>
                <w:sz w:val="18"/>
                <w:szCs w:val="18"/>
                <w:color w:val="auto"/>
              </w:rPr>
              <w:t>23</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three months of 2013 and 2012 included:</w:t>
      </w:r>
    </w:p>
    <w:p>
      <w:pPr>
        <w:spacing w:after="0" w:line="90" w:lineRule="exact"/>
        <w:rPr>
          <w:sz w:val="20"/>
          <w:szCs w:val="20"/>
          <w:color w:val="auto"/>
        </w:rPr>
      </w:pPr>
    </w:p>
    <w:p>
      <w:pPr>
        <w:ind w:left="90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April 17, 2008, the Schlumberger Board of Directors approved an $8 billion share repurchase program for shares of Schlumberger common stock, to be acquired in the open market before December 31, 2011. On July 21, 2011, the Schlumberger Board of Directors approved an extension of this repurchase program to December 31, 2013. Schlumberger had repurchased $7.3 billion of shares under this program as of March 31, 2013.</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activity, during the three months ended March 31, under this share repurchase program:</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60" w:type="dxa"/>
            <w:vAlign w:val="bottom"/>
            <w:gridSpan w:val="6"/>
          </w:tcPr>
          <w:p>
            <w:pPr>
              <w:ind w:left="420"/>
              <w:spacing w:after="0"/>
              <w:rPr>
                <w:sz w:val="20"/>
                <w:szCs w:val="20"/>
                <w:color w:val="auto"/>
              </w:rPr>
            </w:pPr>
            <w:r>
              <w:rPr>
                <w:rFonts w:ascii="Arial" w:cs="Arial" w:eastAsia="Arial" w:hAnsi="Arial"/>
                <w:sz w:val="14"/>
                <w:szCs w:val="14"/>
                <w:i w:val="1"/>
                <w:iCs w:val="1"/>
                <w:color w:val="auto"/>
                <w:w w:val="89"/>
              </w:rPr>
              <w:t>(Stated in millions except per share amounts)</w:t>
            </w:r>
          </w:p>
        </w:tc>
      </w:tr>
      <w:tr>
        <w:trPr>
          <w:trHeight w:val="149"/>
        </w:trPr>
        <w:tc>
          <w:tcPr>
            <w:tcW w:w="4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 cost</w:t>
            </w:r>
          </w:p>
        </w:tc>
        <w:tc>
          <w:tcPr>
            <w:tcW w:w="480" w:type="dxa"/>
            <w:vAlign w:val="bottom"/>
          </w:tcPr>
          <w:p>
            <w:pPr>
              <w:spacing w:after="0"/>
              <w:rPr>
                <w:sz w:val="12"/>
                <w:szCs w:val="12"/>
                <w:color w:val="auto"/>
              </w:rPr>
            </w:pPr>
          </w:p>
        </w:tc>
        <w:tc>
          <w:tcPr>
            <w:tcW w:w="164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w w:val="84"/>
              </w:rPr>
              <w:t>Total number</w:t>
            </w: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w w:val="94"/>
              </w:rPr>
              <w:t>Average price</w:t>
            </w:r>
          </w:p>
        </w:tc>
      </w:tr>
      <w:tr>
        <w:trPr>
          <w:trHeight w:val="149"/>
        </w:trPr>
        <w:tc>
          <w:tcPr>
            <w:tcW w:w="4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of shares</w:t>
            </w:r>
          </w:p>
        </w:tc>
        <w:tc>
          <w:tcPr>
            <w:tcW w:w="480" w:type="dxa"/>
            <w:vAlign w:val="bottom"/>
          </w:tcPr>
          <w:p>
            <w:pPr>
              <w:spacing w:after="0"/>
              <w:rPr>
                <w:sz w:val="12"/>
                <w:szCs w:val="12"/>
                <w:color w:val="auto"/>
              </w:rPr>
            </w:pPr>
          </w:p>
        </w:tc>
        <w:tc>
          <w:tcPr>
            <w:tcW w:w="1640" w:type="dxa"/>
            <w:vAlign w:val="bottom"/>
            <w:gridSpan w:val="2"/>
          </w:tcPr>
          <w:p>
            <w:pPr>
              <w:jc w:val="right"/>
              <w:ind w:right="1040"/>
              <w:spacing w:after="0" w:line="149" w:lineRule="exact"/>
              <w:rPr>
                <w:sz w:val="20"/>
                <w:szCs w:val="20"/>
                <w:color w:val="auto"/>
              </w:rPr>
            </w:pPr>
            <w:r>
              <w:rPr>
                <w:rFonts w:ascii="Arial" w:cs="Arial" w:eastAsia="Arial" w:hAnsi="Arial"/>
                <w:sz w:val="14"/>
                <w:szCs w:val="14"/>
                <w:color w:val="auto"/>
              </w:rPr>
              <w:t>of shares</w:t>
            </w: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paid per</w:t>
            </w:r>
          </w:p>
        </w:tc>
      </w:tr>
      <w:tr>
        <w:trPr>
          <w:trHeight w:val="159"/>
        </w:trPr>
        <w:tc>
          <w:tcPr>
            <w:tcW w:w="4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80" w:type="dxa"/>
            <w:vAlign w:val="bottom"/>
            <w:gridSpan w:val="3"/>
          </w:tcPr>
          <w:p>
            <w:pPr>
              <w:spacing w:after="0" w:line="159" w:lineRule="exact"/>
              <w:rPr>
                <w:sz w:val="20"/>
                <w:szCs w:val="20"/>
                <w:color w:val="auto"/>
              </w:rPr>
            </w:pPr>
            <w:r>
              <w:rPr>
                <w:rFonts w:ascii="Arial" w:cs="Arial" w:eastAsia="Arial" w:hAnsi="Arial"/>
                <w:sz w:val="14"/>
                <w:szCs w:val="14"/>
                <w:color w:val="auto"/>
              </w:rPr>
              <w:t>purchased</w:t>
            </w:r>
          </w:p>
        </w:tc>
        <w:tc>
          <w:tcPr>
            <w:tcW w:w="480" w:type="dxa"/>
            <w:vAlign w:val="bottom"/>
          </w:tcPr>
          <w:p>
            <w:pPr>
              <w:spacing w:after="0"/>
              <w:rPr>
                <w:sz w:val="13"/>
                <w:szCs w:val="13"/>
                <w:color w:val="auto"/>
              </w:rPr>
            </w:pPr>
          </w:p>
        </w:tc>
        <w:tc>
          <w:tcPr>
            <w:tcW w:w="1640" w:type="dxa"/>
            <w:vAlign w:val="bottom"/>
            <w:gridSpan w:val="2"/>
          </w:tcPr>
          <w:p>
            <w:pPr>
              <w:jc w:val="right"/>
              <w:ind w:right="1000"/>
              <w:spacing w:after="0" w:line="159" w:lineRule="exact"/>
              <w:rPr>
                <w:sz w:val="20"/>
                <w:szCs w:val="20"/>
                <w:color w:val="auto"/>
              </w:rPr>
            </w:pPr>
            <w:r>
              <w:rPr>
                <w:rFonts w:ascii="Arial" w:cs="Arial" w:eastAsia="Arial" w:hAnsi="Arial"/>
                <w:sz w:val="14"/>
                <w:szCs w:val="14"/>
                <w:color w:val="auto"/>
                <w:w w:val="94"/>
              </w:rPr>
              <w:t>purchased</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5"/>
              </w:rPr>
              <w:t>share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2013</w:t>
            </w:r>
          </w:p>
        </w:tc>
        <w:tc>
          <w:tcPr>
            <w:tcW w:w="1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Three months ended March 31, 2012</w:t>
            </w:r>
          </w:p>
        </w:tc>
        <w:tc>
          <w:tcPr>
            <w:tcW w:w="162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324</w:t>
            </w:r>
          </w:p>
        </w:tc>
        <w:tc>
          <w:tcPr>
            <w:tcW w:w="2120" w:type="dxa"/>
            <w:vAlign w:val="bottom"/>
            <w:gridSpan w:val="3"/>
          </w:tcPr>
          <w:p>
            <w:pPr>
              <w:jc w:val="right"/>
              <w:ind w:right="9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74.01</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900" w:right="5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flow provided by operations was $1.1 billion in the first three months of 2013 compared to $0.8 billion in the first three months of 2012 reflecting a lower increase in working capital requirements quarter-on-quarter.</w:t>
      </w:r>
    </w:p>
    <w:p>
      <w:pPr>
        <w:spacing w:after="0" w:line="50" w:lineRule="exact"/>
        <w:rPr>
          <w:rFonts w:ascii="Arial" w:cs="Arial" w:eastAsia="Arial" w:hAnsi="Arial"/>
          <w:sz w:val="18"/>
          <w:szCs w:val="18"/>
          <w:color w:val="auto"/>
        </w:rPr>
      </w:pPr>
    </w:p>
    <w:p>
      <w:pPr>
        <w:ind w:left="900" w:right="52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Capital expenditures were $0.9 billion in the first three months of 2013 compared to $1.0 billion during the first three months of 2012. Capital expenditures for the full year of 2013 are expected to be approximately $3.9 billion as compared to $4.7 billion in 2012.</w:t>
      </w:r>
    </w:p>
    <w:p>
      <w:pPr>
        <w:spacing w:after="0" w:line="8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At times in recent quarters, Schlumberger has experienced delays in payments from its national oil company customer in Venezuela. Schlumberger operates in more than 85 countries. At March 31, 2013, only five of those countries (including Venezuela) individually accounted for greater than 5% of Schlumberger’s accounts receivable balance of which only one, the United States, represented greater than 10%.</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March 31, 2013 Schlumberger had $5.6 billion of cash and short-term investments on hand. Schlumberger had separate committed debt facility agreements aggregating $4.1 billion with commercial banks, of which $3.8 billion was available and unused as of March 31, 2013. This included $3.5 billion of committed facilities which support commercial paper programs in the United States and Europe. Schlumberger believes that these amounts are sufficient to meet future business requirements for at least the next 12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Schlumberger had no commercial paper outstanding as of March 31,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the first quarter of 2013, certain non-US subsidiaries of Schlumberger provided oilfield services to the National Iranian Oil Company and certain of its affiliates (“NIOC”). Schlumberger has not bid on any new contracts relating to Iran’s petroleum production since March 2009. Schlumberger’s first-quarter 2013 revenue attributable to this activity was $98 million, which resulted in net income of $56 million in its consolidated financial statements. Schlumberger intends to discontinue such activity in Iran in 2013 and is currently winding down its operations there. As a result, Schlumberger anticipates presenting the results of this business as a discontinued operation once the wind down is complete.</w:t>
      </w:r>
    </w:p>
    <w:p>
      <w:pPr>
        <w:spacing w:after="0" w:line="11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Schlumberger’s activity in Iran included obtaining services from and engaging in other dealings with the government of Iran that are incidental to operating in Iran, and the expenses of which are reflected in the net income disclosed above. These services and other dealings consisted of paying taxes, duties, license fees and other typical governmental charges, along with payments for utilities, transportation, hotel accommodations, facility rentals, telecommunications services, newspaper advertisements, recreational and fitness memberships, and the purchase of routine office and similar supplies from entities associated with the government of Iran. Collections of amounts owed to Schlumberger were received in part by depository accounts held by two non-US subsidiaries of Schlumberger at a branch of Bank Saderat Iran (“Saderat”), and in part by a depositary account held by one of such non-US subsidiaries at Bank Tejarat (“Tejarat”) in Tehran. The accounts at Saderat 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maintained solely for the deposit by NIOC of amounts owed to non-US subsidiaries of Schlumberger. The account at Tejarat is maintained also for payment of expenses in connection with operating in Iran, such as payroll expenses, rental payments and taxes. In addition, NIOC maintains bank accounts at Bank Melli Iran (“Melli”) through which it made payments to a non-US subsidiary of Schlumberger for services provided in Iran under letters of credit issued by Melli. Schlumberger maintains no bank accounts at Melli. Schlumberger will discontinue its dealings with Melli, Saderat and Tejarat following the receipt of all amounts owed to Schlumberger for services in Iran.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first-quarter 2013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2012. Schlumberger’s exposure to market risk has not changed materially since December 31,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*Markof Schlumberger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u w:val="single" w:color="auto"/>
          <w:color w:val="auto"/>
        </w:rPr>
        <w:t>PART II.</w:t>
        <w:tab/>
        <w:t>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Item 1 is set forth under Note 12—</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9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On April 17, 2008, the Schlumberger Board of Directors (the “Board”) approved an $8 billion share repurchase program for Schlumberger common stock, which may be acquired in the open market or in negotiated transactions. On July 21, 2011, the Board approved an extension of this repurchase program to December 31, 2013. As of March 31, 2013, $0.7 billion remained available for repurchase under the existing repurchase authorization.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March 31, 2013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0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1"/>
              </w:rPr>
              <w:t>(Stated in thousands, except per share amounts)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Total number of</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2"/>
              </w:rPr>
              <w:t>shares purchased</w:t>
            </w:r>
          </w:p>
        </w:tc>
        <w:tc>
          <w:tcPr>
            <w:tcW w:w="78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9"/>
              </w:rPr>
              <w:t>Maximum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5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w w:val="84"/>
              </w:rPr>
              <w:t>Total number</w:t>
            </w: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w w:val="85"/>
              </w:rPr>
              <w:t>Average price</w:t>
            </w: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9"/>
              </w:rPr>
              <w:t>as part of publicly</w:t>
            </w:r>
          </w:p>
        </w:tc>
        <w:tc>
          <w:tcPr>
            <w:tcW w:w="78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5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of shares</w:t>
            </w:r>
          </w:p>
        </w:tc>
        <w:tc>
          <w:tcPr>
            <w:tcW w:w="120" w:type="dxa"/>
            <w:vAlign w:val="bottom"/>
          </w:tcPr>
          <w:p>
            <w:pPr>
              <w:spacing w:after="0"/>
              <w:rPr>
                <w:sz w:val="12"/>
                <w:szCs w:val="12"/>
                <w:color w:val="auto"/>
              </w:rPr>
            </w:pPr>
          </w:p>
        </w:tc>
        <w:tc>
          <w:tcPr>
            <w:tcW w:w="640" w:type="dxa"/>
            <w:vAlign w:val="bottom"/>
          </w:tcPr>
          <w:p>
            <w:pPr>
              <w:jc w:val="center"/>
              <w:ind w:right="39"/>
              <w:spacing w:after="0" w:line="149" w:lineRule="exact"/>
              <w:rPr>
                <w:sz w:val="20"/>
                <w:szCs w:val="20"/>
                <w:color w:val="auto"/>
              </w:rPr>
            </w:pPr>
            <w:r>
              <w:rPr>
                <w:rFonts w:ascii="Arial" w:cs="Arial" w:eastAsia="Arial" w:hAnsi="Arial"/>
                <w:sz w:val="14"/>
                <w:szCs w:val="14"/>
                <w:color w:val="auto"/>
                <w:w w:val="86"/>
              </w:rPr>
              <w:t>paid per</w:t>
            </w: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3"/>
              </w:rPr>
              <w:t>announced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4"/>
              </w:rPr>
              <w:t>be purchased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500" w:type="dxa"/>
            <w:vAlign w:val="bottom"/>
            <w:gridSpan w:val="2"/>
          </w:tcPr>
          <w:p>
            <w:pPr>
              <w:jc w:val="right"/>
              <w:ind w:right="860"/>
              <w:spacing w:after="0" w:line="159" w:lineRule="exact"/>
              <w:rPr>
                <w:sz w:val="20"/>
                <w:szCs w:val="20"/>
                <w:color w:val="auto"/>
              </w:rPr>
            </w:pPr>
            <w:r>
              <w:rPr>
                <w:rFonts w:ascii="Arial" w:cs="Arial" w:eastAsia="Arial" w:hAnsi="Arial"/>
                <w:sz w:val="14"/>
                <w:szCs w:val="14"/>
                <w:color w:val="auto"/>
                <w:w w:val="94"/>
              </w:rPr>
              <w:t>purchased</w:t>
            </w:r>
          </w:p>
        </w:tc>
        <w:tc>
          <w:tcPr>
            <w:tcW w:w="120" w:type="dxa"/>
            <w:vAlign w:val="bottom"/>
          </w:tcPr>
          <w:p>
            <w:pPr>
              <w:spacing w:after="0"/>
              <w:rPr>
                <w:sz w:val="13"/>
                <w:szCs w:val="13"/>
                <w:color w:val="auto"/>
              </w:rPr>
            </w:pPr>
          </w:p>
        </w:tc>
        <w:tc>
          <w:tcPr>
            <w:tcW w:w="640" w:type="dxa"/>
            <w:vAlign w:val="bottom"/>
          </w:tcPr>
          <w:p>
            <w:pPr>
              <w:jc w:val="center"/>
              <w:ind w:right="39"/>
              <w:spacing w:after="0" w:line="159" w:lineRule="exact"/>
              <w:rPr>
                <w:sz w:val="20"/>
                <w:szCs w:val="20"/>
                <w:color w:val="auto"/>
              </w:rPr>
            </w:pPr>
            <w:r>
              <w:rPr>
                <w:rFonts w:ascii="Arial" w:cs="Arial" w:eastAsia="Arial" w:hAnsi="Arial"/>
                <w:sz w:val="14"/>
                <w:szCs w:val="14"/>
                <w:color w:val="auto"/>
                <w:w w:val="79"/>
              </w:rPr>
              <w:t>share</w:t>
            </w:r>
          </w:p>
        </w:tc>
        <w:tc>
          <w:tcPr>
            <w:tcW w:w="78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88"/>
              </w:rPr>
              <w:t>program</w:t>
            </w:r>
          </w:p>
        </w:tc>
        <w:tc>
          <w:tcPr>
            <w:tcW w:w="780" w:type="dxa"/>
            <w:vAlign w:val="bottom"/>
          </w:tcPr>
          <w:p>
            <w:pPr>
              <w:spacing w:after="0"/>
              <w:rPr>
                <w:sz w:val="13"/>
                <w:szCs w:val="13"/>
                <w:color w:val="auto"/>
              </w:rPr>
            </w:pPr>
          </w:p>
        </w:tc>
        <w:tc>
          <w:tcPr>
            <w:tcW w:w="114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w w:val="86"/>
              </w:rPr>
              <w:t>under the program</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6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January 1 through January 31, 2013</w:t>
            </w: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center"/>
              <w:ind w:left="179"/>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February 1 through February 28, 2013</w:t>
            </w:r>
          </w:p>
        </w:tc>
        <w:tc>
          <w:tcPr>
            <w:tcW w:w="720" w:type="dxa"/>
            <w:vAlign w:val="bottom"/>
          </w:tcPr>
          <w:p>
            <w:pPr>
              <w:jc w:val="right"/>
              <w:spacing w:after="0"/>
              <w:rPr>
                <w:sz w:val="20"/>
                <w:szCs w:val="20"/>
                <w:color w:val="auto"/>
              </w:rPr>
            </w:pPr>
            <w:r>
              <w:rPr>
                <w:rFonts w:ascii="Arial" w:cs="Arial" w:eastAsia="Arial" w:hAnsi="Arial"/>
                <w:sz w:val="18"/>
                <w:szCs w:val="18"/>
                <w:color w:val="auto"/>
              </w:rPr>
              <w:t>1,193.6</w:t>
            </w:r>
          </w:p>
        </w:tc>
        <w:tc>
          <w:tcPr>
            <w:tcW w:w="7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center"/>
              <w:ind w:left="159"/>
              <w:spacing w:after="0"/>
              <w:rPr>
                <w:sz w:val="20"/>
                <w:szCs w:val="20"/>
                <w:color w:val="auto"/>
              </w:rPr>
            </w:pPr>
            <w:r>
              <w:rPr>
                <w:rFonts w:ascii="Arial" w:cs="Arial" w:eastAsia="Arial" w:hAnsi="Arial"/>
                <w:sz w:val="18"/>
                <w:szCs w:val="18"/>
                <w:color w:val="auto"/>
                <w:w w:val="88"/>
              </w:rPr>
              <w:t>78.84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1,193.6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785,270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March 1 through March 31, 2013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center"/>
              <w:ind w:left="159"/>
              <w:spacing w:after="0"/>
              <w:rPr>
                <w:sz w:val="20"/>
                <w:szCs w:val="20"/>
                <w:color w:val="auto"/>
              </w:rPr>
            </w:pPr>
            <w:r>
              <w:rPr>
                <w:rFonts w:ascii="Arial" w:cs="Arial" w:eastAsia="Arial" w:hAnsi="Arial"/>
                <w:sz w:val="18"/>
                <w:szCs w:val="18"/>
                <w:color w:val="auto"/>
                <w:w w:val="88"/>
              </w:rPr>
              <w:t>76.</w:t>
            </w:r>
            <w:r>
              <w:rPr>
                <w:rFonts w:ascii="Arial" w:cs="Arial" w:eastAsia="Arial" w:hAnsi="Arial"/>
                <w:sz w:val="18"/>
                <w:szCs w:val="18"/>
                <w:u w:val="single" w:color="auto"/>
                <w:color w:val="auto"/>
                <w:w w:val="88"/>
              </w:rPr>
              <w:t>52</w:t>
            </w:r>
          </w:p>
        </w:tc>
        <w:tc>
          <w:tcPr>
            <w:tcW w:w="7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2,483.3</w:t>
            </w:r>
          </w:p>
        </w:tc>
        <w:tc>
          <w:tcPr>
            <w:tcW w:w="7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center"/>
              <w:ind w:left="159"/>
              <w:spacing w:after="0"/>
              <w:rPr>
                <w:sz w:val="20"/>
                <w:szCs w:val="20"/>
                <w:color w:val="auto"/>
              </w:rPr>
            </w:pPr>
            <w:r>
              <w:rPr>
                <w:rFonts w:ascii="Arial" w:cs="Arial" w:eastAsia="Arial" w:hAnsi="Arial"/>
                <w:sz w:val="18"/>
                <w:szCs w:val="18"/>
                <w:color w:val="auto"/>
                <w:w w:val="88"/>
              </w:rPr>
              <w:t>77.</w:t>
            </w:r>
            <w:r>
              <w:rPr>
                <w:rFonts w:ascii="Arial" w:cs="Arial" w:eastAsia="Arial" w:hAnsi="Arial"/>
                <w:sz w:val="18"/>
                <w:szCs w:val="18"/>
                <w:u w:val="single" w:color="auto"/>
                <w:color w:val="auto"/>
                <w:w w:val="88"/>
              </w:rPr>
              <w:t>63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2,483.3</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96"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5"/>
          <w:szCs w:val="15"/>
          <w:b w:val="1"/>
          <w:bCs w:val="1"/>
          <w:u w:val="single" w:color="auto"/>
          <w:color w:val="auto"/>
        </w:rPr>
        <w:t>Exhibits.</w:t>
      </w:r>
    </w:p>
    <w:p>
      <w:pPr>
        <w:spacing w:after="0" w:line="9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 to Schlumberger’s Current Report on Form 8-K filed on April 7, 2011).</w:t>
      </w:r>
    </w:p>
    <w:p>
      <w:pPr>
        <w:spacing w:after="0" w:line="51"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July 20, 2012).</w:t>
      </w:r>
    </w:p>
    <w:p>
      <w:pPr>
        <w:spacing w:after="0" w:line="51"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Exhibit 10.1—Schlumberger 2013 Omnibus Stock Incentive Plan (incorporated by reference to Appendix A of Schlumberger’s definitive proxy statement filed with the SEC on March 1, 2013). (+)</w:t>
      </w:r>
    </w:p>
    <w:p>
      <w:pPr>
        <w:spacing w:after="0" w:line="51"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Exhibit 10.2—Schlumberger Discounted Stock Purchase Plan, as amended and restated effective as of January 1, 2013 (incorporated by reference to Appendix B of Schlumberger’s definitive proxy statement filed with the SEC on March 1, 2013). (+)</w:t>
      </w:r>
    </w:p>
    <w:p>
      <w:pPr>
        <w:spacing w:after="0" w:line="51" w:lineRule="exact"/>
        <w:rPr>
          <w:sz w:val="20"/>
          <w:szCs w:val="20"/>
          <w:color w:val="auto"/>
        </w:rPr>
      </w:pPr>
    </w:p>
    <w:p>
      <w:pPr>
        <w:ind w:left="600" w:hanging="13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 10.3—First Amendment to Schlumberger Limited Restoration Savings Plan. (+)</w:t>
      </w:r>
    </w:p>
    <w:p>
      <w:pPr>
        <w:spacing w:after="0" w:line="90" w:lineRule="exact"/>
        <w:rPr>
          <w:rFonts w:ascii="Arial" w:cs="Arial" w:eastAsia="Arial" w:hAnsi="Arial"/>
          <w:sz w:val="18"/>
          <w:szCs w:val="18"/>
          <w:color w:val="auto"/>
        </w:rPr>
      </w:pPr>
    </w:p>
    <w:p>
      <w:pPr>
        <w:ind w:left="600" w:hanging="136"/>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10.4—Form of 2013 One Year Performance Share Unit Award Agreement under the Schlumberger 2010 Omnibus Stock Incentive Plan. (+)</w:t>
      </w:r>
    </w:p>
    <w:p>
      <w:pPr>
        <w:spacing w:after="0" w:line="113" w:lineRule="exact"/>
        <w:rPr>
          <w:rFonts w:ascii="Arial" w:cs="Arial" w:eastAsia="Arial" w:hAnsi="Arial"/>
          <w:sz w:val="16"/>
          <w:szCs w:val="16"/>
          <w:color w:val="auto"/>
        </w:rPr>
      </w:pPr>
    </w:p>
    <w:p>
      <w:pPr>
        <w:ind w:left="600" w:hanging="136"/>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10.5—Form of 2013 Two Year Performance Share Unit Award Agreement under the Schlumberger 2010 Omnibus Stock Incentive Plan. (+)</w:t>
      </w:r>
    </w:p>
    <w:p>
      <w:pPr>
        <w:spacing w:after="0" w:line="113" w:lineRule="exact"/>
        <w:rPr>
          <w:rFonts w:ascii="Arial" w:cs="Arial" w:eastAsia="Arial" w:hAnsi="Arial"/>
          <w:sz w:val="16"/>
          <w:szCs w:val="16"/>
          <w:color w:val="auto"/>
        </w:rPr>
      </w:pPr>
    </w:p>
    <w:p>
      <w:pPr>
        <w:ind w:left="600" w:hanging="136"/>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10.6—Form of 2013 Three Year Performance Share Unit Award Agreement under the Schlumberger 2010 Omnibus Stock Incentive Plan. (+)</w:t>
      </w:r>
    </w:p>
    <w:p>
      <w:pPr>
        <w:spacing w:after="0" w:line="113" w:lineRule="exact"/>
        <w:rPr>
          <w:rFonts w:ascii="Arial" w:cs="Arial" w:eastAsia="Arial" w:hAnsi="Arial"/>
          <w:sz w:val="16"/>
          <w:szCs w:val="16"/>
          <w:color w:val="auto"/>
        </w:rPr>
      </w:pPr>
    </w:p>
    <w:p>
      <w:pPr>
        <w:ind w:left="600" w:hanging="13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 10.7—French Sub-Plan of the Schlumberger 2010 Omnibus Stock Incentive Plan for Employees in France. (+)</w:t>
      </w:r>
    </w:p>
    <w:p>
      <w:pPr>
        <w:spacing w:after="0" w:line="90" w:lineRule="exact"/>
        <w:rPr>
          <w:rFonts w:ascii="Arial" w:cs="Arial" w:eastAsia="Arial" w:hAnsi="Arial"/>
          <w:sz w:val="18"/>
          <w:szCs w:val="18"/>
          <w:color w:val="auto"/>
        </w:rPr>
      </w:pPr>
    </w:p>
    <w:p>
      <w:pPr>
        <w:ind w:left="460" w:right="400" w:firstLine="4"/>
        <w:spacing w:after="0" w:line="268" w:lineRule="auto"/>
        <w:tabs>
          <w:tab w:leader="none" w:pos="5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50" w:lineRule="exact"/>
        <w:rPr>
          <w:rFonts w:ascii="Arial" w:cs="Arial" w:eastAsia="Arial" w:hAnsi="Arial"/>
          <w:sz w:val="18"/>
          <w:szCs w:val="18"/>
          <w:color w:val="auto"/>
        </w:rPr>
      </w:pPr>
    </w:p>
    <w:p>
      <w:pPr>
        <w:ind w:left="460" w:right="440" w:firstLine="4"/>
        <w:spacing w:after="0" w:line="268" w:lineRule="auto"/>
        <w:tabs>
          <w:tab w:leader="none" w:pos="5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51" w:lineRule="exact"/>
        <w:rPr>
          <w:sz w:val="20"/>
          <w:szCs w:val="20"/>
          <w:color w:val="auto"/>
        </w:rPr>
      </w:pPr>
    </w:p>
    <w:p>
      <w:pPr>
        <w:ind w:left="460" w:right="100" w:firstLine="4"/>
        <w:spacing w:after="0" w:line="268"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50" w:lineRule="exact"/>
        <w:rPr>
          <w:rFonts w:ascii="Arial" w:cs="Arial" w:eastAsia="Arial" w:hAnsi="Arial"/>
          <w:sz w:val="18"/>
          <w:szCs w:val="18"/>
          <w:color w:val="auto"/>
        </w:rPr>
      </w:pPr>
    </w:p>
    <w:p>
      <w:pPr>
        <w:ind w:left="460" w:right="40" w:firstLine="4"/>
        <w:spacing w:after="0" w:line="268"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 32.2—Certification Chief Financial Officer pursuant to 18 U.S.C. Section 1350, as adopted pursuant to Section 906 of the Sarbanes-Oxley Act of 2002.</w:t>
      </w:r>
    </w:p>
    <w:p>
      <w:pPr>
        <w:spacing w:after="0" w:line="51" w:lineRule="exact"/>
        <w:rPr>
          <w:sz w:val="20"/>
          <w:szCs w:val="20"/>
          <w:color w:val="auto"/>
        </w:rPr>
      </w:pPr>
    </w:p>
    <w:p>
      <w:pPr>
        <w:ind w:left="600" w:hanging="136"/>
        <w:spacing w:after="0"/>
        <w:tabs>
          <w:tab w:leader="none" w:pos="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Exhibit 95—Mine Safety Disclosures.</w:t>
      </w:r>
    </w:p>
    <w:p>
      <w:pPr>
        <w:spacing w:after="0" w:line="90" w:lineRule="exact"/>
        <w:rPr>
          <w:rFonts w:ascii="Arial" w:cs="Arial" w:eastAsia="Arial" w:hAnsi="Arial"/>
          <w:sz w:val="18"/>
          <w:szCs w:val="18"/>
          <w:color w:val="auto"/>
        </w:rPr>
      </w:pPr>
    </w:p>
    <w:p>
      <w:pPr>
        <w:ind w:left="460" w:firstLine="4"/>
        <w:spacing w:after="0" w:line="286" w:lineRule="auto"/>
        <w:tabs>
          <w:tab w:leader="none" w:pos="592"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Exhibit 101—The following materials from Schlumberger Limited’s Quarterly Report on Form 10-Q for the quarter ended March 31, 2013, formatted in XBRL (Extensible Business Reporting Language): (i) Consolidated Statement of Income; (ii) Consolidated Statement of Comprehensive Income;</w:t>
      </w:r>
    </w:p>
    <w:p>
      <w:pPr>
        <w:ind w:left="460" w:right="500"/>
        <w:spacing w:after="0" w:line="261" w:lineRule="auto"/>
        <w:rPr>
          <w:rFonts w:ascii="Arial" w:cs="Arial" w:eastAsia="Arial" w:hAnsi="Arial"/>
          <w:sz w:val="16"/>
          <w:szCs w:val="16"/>
          <w:color w:val="auto"/>
        </w:rPr>
      </w:pPr>
      <w:r>
        <w:rPr>
          <w:rFonts w:ascii="Arial" w:cs="Arial" w:eastAsia="Arial" w:hAnsi="Arial"/>
          <w:sz w:val="18"/>
          <w:szCs w:val="18"/>
          <w:color w:val="auto"/>
        </w:rPr>
        <w:t>(iii) Consolidated Balance Sheet; (iv) Consolidated Statement of Cash Flows; (v) Consolidated Statement of Equity; and (vi) Notes to Consolidated Financial Statements.</w:t>
      </w:r>
    </w:p>
    <w:p>
      <w:pPr>
        <w:spacing w:after="0" w:line="17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with this Form 10-Q.</w:t>
      </w:r>
    </w:p>
    <w:p>
      <w:pPr>
        <w:spacing w:after="0" w:line="15"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Compensatory plans or arrangements.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color w:val="auto"/>
        </w:rPr>
        <w:t>Date: April 24, 2013</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0"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Howard Guild</w:t>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17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240" w:top="459" w:right="7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24,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ind w:left="460" w:right="320" w:hanging="459"/>
        <w:spacing w:after="0" w:line="268"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March 31, 2013, which was filed with the U.S. Securities and Exchange Commission on April 24, 2013. Such disclosure begins on page 24 of the Quarterly Report on Form 10-Q and is incorporated by reference herein.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Alexander C. Juden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ectPr>
          <w:pgSz w:w="11900" w:h="16838" w:orient="portrait"/>
          <w:cols w:equalWidth="0" w:num="1">
            <w:col w:w="11420"/>
          </w:cols>
          <w:pgMar w:left="240" w:top="45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10.3</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RESTORATION SAVINGS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January 1, 2008)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w:t>
      </w:r>
    </w:p>
    <w:p>
      <w:pPr>
        <w:spacing w:after="0" w:line="17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Schlumberger Limited, a Curacao corporation (the “Company”), having reserved the right under Section 8.02 of the Schlumberger Limited Restoration Savings Plan, as amended and restated effective January 1, 2008, and as thereafter amended (the “Plan”), to amend the Plan, does hereby amend the Plan, effective January 1, 2013, as follows:</w:t>
      </w:r>
    </w:p>
    <w:p>
      <w:pPr>
        <w:spacing w:after="0" w:line="59" w:lineRule="exact"/>
        <w:rPr>
          <w:sz w:val="20"/>
          <w:szCs w:val="20"/>
          <w:color w:val="auto"/>
        </w:rPr>
      </w:pPr>
    </w:p>
    <w:p>
      <w:pPr>
        <w:ind w:left="1100" w:hanging="179"/>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 2.01 of the Plan is hereby amended in its entirety to read as follows:</w:t>
      </w:r>
    </w:p>
    <w:p>
      <w:pPr>
        <w:spacing w:after="0" w:line="8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“2.01 Employer Determination</w:t>
      </w:r>
    </w:p>
    <w:p>
      <w:pPr>
        <w:spacing w:after="0" w:line="96" w:lineRule="exact"/>
        <w:rPr>
          <w:sz w:val="20"/>
          <w:szCs w:val="20"/>
          <w:color w:val="auto"/>
        </w:rPr>
      </w:pPr>
    </w:p>
    <w:p>
      <w:pPr>
        <w:ind w:left="460" w:right="120" w:firstLine="876"/>
        <w:spacing w:after="0" w:line="256" w:lineRule="auto"/>
        <w:rPr>
          <w:sz w:val="20"/>
          <w:szCs w:val="20"/>
          <w:color w:val="auto"/>
        </w:rPr>
      </w:pPr>
      <w:r>
        <w:rPr>
          <w:rFonts w:ascii="Arial" w:cs="Arial" w:eastAsia="Arial" w:hAnsi="Arial"/>
          <w:sz w:val="18"/>
          <w:szCs w:val="18"/>
          <w:color w:val="auto"/>
        </w:rPr>
        <w:t>Each year, prior to the last day of the Enrollment Period, the Employer shall determine those Eligible Employees who may participate in the Plan during the subsequent Plan Year. Such determination shall be made in accordance with the requirements set forth in Section 2.02. The Employer may also designate Employees who are newly hired or are transferred to the Employer (each, an ‘Initial Eligibility Event’) as Eligible Employees regardless of the timing of such Initial Eligibility Event.”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 Section 2.02 of the Plan is hereby amended to add the following paragraph after the first paragraph of such section:</w:t>
      </w:r>
    </w:p>
    <w:p>
      <w:pPr>
        <w:spacing w:after="0" w:line="90"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“Subject to Section 4.01, an Employee initially designated as an Eligible Employee during a Plan Year who is projected to have Excess Compensation during such Plan Year may elect to defer Base Compensation that is also Excess Compensation. Such election shall remain in effect until the first day of the Plan Year following the end of the next Enrollment Period to occur after the Employee’s designation as an Eligible Employee.”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Section 3.01 of the Plan is hereby amended to add the following sentence to the end of such section:</w:t>
      </w:r>
    </w:p>
    <w:p>
      <w:pPr>
        <w:spacing w:after="0" w:line="90" w:lineRule="exact"/>
        <w:rPr>
          <w:sz w:val="20"/>
          <w:szCs w:val="20"/>
          <w:color w:val="auto"/>
        </w:rPr>
      </w:pPr>
    </w:p>
    <w:p>
      <w:pPr>
        <w:jc w:val="both"/>
        <w:ind w:left="460" w:right="20"/>
        <w:spacing w:after="0" w:line="259" w:lineRule="auto"/>
        <w:rPr>
          <w:sz w:val="20"/>
          <w:szCs w:val="20"/>
          <w:color w:val="auto"/>
        </w:rPr>
      </w:pPr>
      <w:r>
        <w:rPr>
          <w:rFonts w:ascii="Arial" w:cs="Arial" w:eastAsia="Arial" w:hAnsi="Arial"/>
          <w:sz w:val="18"/>
          <w:szCs w:val="18"/>
          <w:color w:val="auto"/>
        </w:rPr>
        <w:t>“Notwithstanding the above, and subject to Section 4.01, an Employee initially designated as an Eligible Employee during a Plan Year may make a deferral election within 30 days following the date such Employee is initially designated as an Eligible Employee. Such election shall remain in effect until the first day of the Plan Year following the next Enrollment Period.”</w:t>
      </w:r>
    </w:p>
    <w:p>
      <w:pPr>
        <w:sectPr>
          <w:pgSz w:w="11900" w:h="16838" w:orient="portrait"/>
          <w:cols w:equalWidth="0" w:num="1">
            <w:col w:w="11420"/>
          </w:cols>
          <w:pgMar w:left="240" w:top="131" w:right="23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The first sentence of Section 4.01 of the Plan is hereby amended to read as follows:</w:t>
      </w:r>
    </w:p>
    <w:p>
      <w:pPr>
        <w:spacing w:after="0" w:line="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“Effective for Elective Deferrals occurring after the June 2012 Enrollment Period, an Eligible Employee may irrevocably elect to defer, in any whole percentage, an amount from 1% to 50% of such Eligible Employee’s Excess Compensation.”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Section 4.01 of the Plan is hereby amended to add the following paragraph to the end of such section:</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 Employee who becomes an Eligible Employee on or prior to the last day of the Enrollment Period may also make an election to defer, up to the limits set forth above, Base Compensation that is also Excess Compensation for the remainder of the Plan Year. An Employee who becomes an Eligible Employee after the last day of the Enrollment Period may make an election to defer, up to the limits set forth above: (i) Base Compensation that is also Excess Compensation earned for the remainder of the Plan Year and (ii) Base Compensation that is also Excess Compensation earned in the next following Plan Year. For purposes of clarity, an Employee’s deferral election shall remain in effect until the first day of the Plan Year following the next Enrollment Period to occur after the Employee’s designation as an Eligible Employee.”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Section 4.02 of the Plan is hereby amended to read as follows: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b w:val="1"/>
          <w:bCs w:val="1"/>
          <w:color w:val="auto"/>
        </w:rPr>
        <w:t>Matching Contributions</w:t>
      </w:r>
      <w:r>
        <w:rPr>
          <w:rFonts w:ascii="Arial" w:cs="Arial" w:eastAsia="Arial" w:hAnsi="Arial"/>
          <w:sz w:val="18"/>
          <w:szCs w:val="18"/>
          <w:color w:val="auto"/>
        </w:rPr>
        <w:t>. Each year the Employer shall determine the Matching Contribution.</w:t>
      </w:r>
    </w:p>
    <w:p>
      <w:pPr>
        <w:spacing w:after="0" w:line="177"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Effective January 1, 2013, for Participants who were hired prior to October 1, 2004 and for Participants who did not elect to cease participation in the Qualified Defined Benefit Plans effective January 1, 2005, the Matching Contribution shall be equal to 50% of the first 6% of each participant’s Elective Deferrals made during the Plan Year. Such contributions shall be made by the Employer as soon as administratively practicable following each payroll period.</w:t>
      </w:r>
    </w:p>
    <w:p>
      <w:pPr>
        <w:spacing w:after="0" w:line="143" w:lineRule="exact"/>
        <w:rPr>
          <w:sz w:val="20"/>
          <w:szCs w:val="20"/>
          <w:color w:val="auto"/>
        </w:rPr>
      </w:pPr>
    </w:p>
    <w:p>
      <w:pPr>
        <w:ind w:right="120" w:firstLine="438"/>
        <w:spacing w:after="0" w:line="256" w:lineRule="auto"/>
        <w:rPr>
          <w:sz w:val="20"/>
          <w:szCs w:val="20"/>
          <w:color w:val="auto"/>
        </w:rPr>
      </w:pPr>
      <w:r>
        <w:rPr>
          <w:rFonts w:ascii="Arial" w:cs="Arial" w:eastAsia="Arial" w:hAnsi="Arial"/>
          <w:sz w:val="18"/>
          <w:szCs w:val="18"/>
          <w:color w:val="auto"/>
        </w:rPr>
        <w:t>Effective January 1, 2013, for Participants who were hired on or after October 1, 2004 and for Participants who elected to cease participation in the Qualified Defined Benefit Plans effective January 1, 2005, the Matching Contribution shall be equal to 100% of the first 6% of each participant’s Elective Deferrals made during the Plan Year. Such contributions shall be made by the Employer as soon as administratively practicable following each payroll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Section 5.01 of the Plan is hereby amended to read as follows:</w:t>
      </w:r>
    </w:p>
    <w:p>
      <w:pPr>
        <w:spacing w:after="0" w:line="84" w:lineRule="exact"/>
        <w:rPr>
          <w:sz w:val="20"/>
          <w:szCs w:val="20"/>
          <w:color w:val="auto"/>
        </w:rPr>
      </w:pPr>
    </w:p>
    <w:p>
      <w:pPr>
        <w:ind w:right="140" w:firstLine="438"/>
        <w:spacing w:after="0" w:line="275"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b w:val="1"/>
          <w:bCs w:val="1"/>
          <w:color w:val="auto"/>
        </w:rPr>
        <w:t>Allocation of Elective Deferrals</w:t>
      </w:r>
      <w:r>
        <w:rPr>
          <w:rFonts w:ascii="Arial" w:cs="Arial" w:eastAsia="Arial" w:hAnsi="Arial"/>
          <w:sz w:val="18"/>
          <w:szCs w:val="18"/>
          <w:color w:val="auto"/>
        </w:rPr>
        <w:t>. As of each pay period, the Employer shall allocate the Elective Deferrals made during such pay period to a Participant’s Account.”</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31" w:name="page32"/>
    <w:bookmarkEnd w:id="3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 Section 5.02 of the Plan is hereby amended to read as follows:</w:t>
      </w:r>
    </w:p>
    <w:p>
      <w:pPr>
        <w:spacing w:after="0" w:line="84" w:lineRule="exact"/>
        <w:rPr>
          <w:sz w:val="20"/>
          <w:szCs w:val="20"/>
          <w:color w:val="auto"/>
        </w:rPr>
      </w:pPr>
    </w:p>
    <w:p>
      <w:pPr>
        <w:ind w:left="460" w:right="340" w:firstLine="438"/>
        <w:spacing w:after="0" w:line="275"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b w:val="1"/>
          <w:bCs w:val="1"/>
          <w:color w:val="auto"/>
        </w:rPr>
        <w:t>Allocation of Matching Contributions</w:t>
      </w:r>
      <w:r>
        <w:rPr>
          <w:rFonts w:ascii="Arial" w:cs="Arial" w:eastAsia="Arial" w:hAnsi="Arial"/>
          <w:sz w:val="18"/>
          <w:szCs w:val="18"/>
          <w:color w:val="auto"/>
        </w:rPr>
        <w:t>. As of each pay period, the Employer shall allocate the Matching Contributions, if any, among the Accounts of Participants or Former Participants who made Elective Deferrals during the such pay period.”</w:t>
      </w:r>
    </w:p>
    <w:p>
      <w:pPr>
        <w:sectPr>
          <w:pgSz w:w="11900" w:h="16838" w:orient="portrait"/>
          <w:cols w:equalWidth="0" w:num="1">
            <w:col w:w="11420"/>
          </w:cols>
          <w:pgMar w:left="240" w:top="280" w:right="239" w:bottom="1440" w:gutter="0" w:footer="0" w:header="0"/>
        </w:sectPr>
      </w:pPr>
    </w:p>
    <w:p>
      <w:pPr>
        <w:spacing w:after="0" w:line="12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9. The table in Section 6.01(a) of the Plan is hereby amended to read as follows:</w:t>
      </w:r>
    </w:p>
    <w:p>
      <w:pPr>
        <w:spacing w:after="0" w:line="243"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“Completed</w:t>
      </w:r>
    </w:p>
    <w:p>
      <w:pPr>
        <w:ind w:left="1840"/>
        <w:spacing w:after="0"/>
        <w:rPr>
          <w:sz w:val="20"/>
          <w:szCs w:val="20"/>
          <w:color w:val="auto"/>
        </w:rPr>
      </w:pPr>
      <w:r>
        <w:rPr>
          <w:rFonts w:ascii="Arial" w:cs="Arial" w:eastAsia="Arial" w:hAnsi="Arial"/>
          <w:sz w:val="14"/>
          <w:szCs w:val="14"/>
          <w:color w:val="auto"/>
        </w:rPr>
        <w:t>Years of Active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-8255</wp:posOffset>
            </wp:positionV>
            <wp:extent cx="8661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Less than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 least 2 years but less than 3 years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 least 3 years but less than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4 or more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jc w:val="center"/>
        <w:ind w:right="2100"/>
        <w:spacing w:after="0"/>
        <w:rPr>
          <w:sz w:val="20"/>
          <w:szCs w:val="20"/>
          <w:color w:val="auto"/>
        </w:rPr>
      </w:pPr>
      <w:r>
        <w:rPr>
          <w:rFonts w:ascii="Arial" w:cs="Arial" w:eastAsia="Arial" w:hAnsi="Arial"/>
          <w:sz w:val="14"/>
          <w:szCs w:val="14"/>
          <w:color w:val="auto"/>
        </w:rPr>
        <w:t>Vested</w:t>
      </w:r>
    </w:p>
    <w:p>
      <w:pPr>
        <w:jc w:val="center"/>
        <w:ind w:right="2100"/>
        <w:spacing w:after="0"/>
        <w:rPr>
          <w:sz w:val="20"/>
          <w:szCs w:val="20"/>
          <w:color w:val="auto"/>
        </w:rPr>
      </w:pPr>
      <w:r>
        <w:rPr>
          <w:rFonts w:ascii="Arial" w:cs="Arial" w:eastAsia="Arial" w:hAnsi="Arial"/>
          <w:sz w:val="11"/>
          <w:szCs w:val="11"/>
          <w:u w:val="single" w:color="auto"/>
          <w:color w:val="auto"/>
        </w:rPr>
        <w:t>Percentage</w:t>
      </w:r>
    </w:p>
    <w:p>
      <w:pPr>
        <w:spacing w:after="0" w:line="34" w:lineRule="exact"/>
        <w:rPr>
          <w:sz w:val="20"/>
          <w:szCs w:val="20"/>
          <w:color w:val="auto"/>
        </w:rPr>
      </w:pPr>
    </w:p>
    <w:p>
      <w:pPr>
        <w:jc w:val="right"/>
        <w:ind w:right="1960"/>
        <w:spacing w:after="0"/>
        <w:rPr>
          <w:sz w:val="20"/>
          <w:szCs w:val="20"/>
          <w:color w:val="auto"/>
        </w:rPr>
      </w:pPr>
      <w:r>
        <w:rPr>
          <w:rFonts w:ascii="Arial" w:cs="Arial" w:eastAsia="Arial" w:hAnsi="Arial"/>
          <w:sz w:val="18"/>
          <w:szCs w:val="18"/>
          <w:color w:val="auto"/>
        </w:rPr>
        <w:t>0%</w:t>
      </w:r>
    </w:p>
    <w:p>
      <w:pPr>
        <w:spacing w:after="0" w:line="8" w:lineRule="exact"/>
        <w:rPr>
          <w:sz w:val="20"/>
          <w:szCs w:val="20"/>
          <w:color w:val="auto"/>
        </w:rPr>
      </w:pPr>
    </w:p>
    <w:p>
      <w:pPr>
        <w:jc w:val="right"/>
        <w:ind w:right="1960"/>
        <w:spacing w:after="0"/>
        <w:rPr>
          <w:sz w:val="20"/>
          <w:szCs w:val="20"/>
          <w:color w:val="auto"/>
        </w:rPr>
      </w:pPr>
      <w:r>
        <w:rPr>
          <w:rFonts w:ascii="Arial" w:cs="Arial" w:eastAsia="Arial" w:hAnsi="Arial"/>
          <w:sz w:val="18"/>
          <w:szCs w:val="18"/>
          <w:color w:val="auto"/>
        </w:rPr>
        <w:t>33.33%</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66.67%</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100%”</w:t>
      </w:r>
    </w:p>
    <w:p>
      <w:pPr>
        <w:spacing w:after="0" w:line="187" w:lineRule="exact"/>
        <w:rPr>
          <w:sz w:val="20"/>
          <w:szCs w:val="20"/>
          <w:color w:val="auto"/>
        </w:rPr>
      </w:pPr>
    </w:p>
    <w:p>
      <w:pPr>
        <w:sectPr>
          <w:pgSz w:w="11900" w:h="16838" w:orient="portrait"/>
          <w:cols w:equalWidth="0" w:num="2">
            <w:col w:w="8000" w:space="720"/>
            <w:col w:w="2700"/>
          </w:cols>
          <w:pgMar w:left="240" w:top="280" w:right="239" w:bottom="1440" w:gutter="0" w:footer="0" w:header="0"/>
          <w:type w:val="continuous"/>
        </w:sectPr>
      </w:pPr>
    </w:p>
    <w:p>
      <w:pPr>
        <w:ind w:firstLine="913"/>
        <w:spacing w:after="0" w:line="259" w:lineRule="auto"/>
        <w:rPr>
          <w:sz w:val="20"/>
          <w:szCs w:val="20"/>
          <w:color w:val="auto"/>
        </w:rPr>
      </w:pPr>
      <w:r>
        <w:rPr>
          <w:rFonts w:ascii="Arial" w:cs="Arial" w:eastAsia="Arial" w:hAnsi="Arial"/>
          <w:sz w:val="18"/>
          <w:szCs w:val="18"/>
          <w:color w:val="auto"/>
        </w:rPr>
        <w:t>IN WITNESS WHEREOF, the Company has caused these presents to be executed by its duly authorized officer in a number of copies, each of which shall be deemed an original but all of which shall constitute but one and the same instrument which may be sufficiently evidenced by an executed copy hereof, this 31</w:t>
      </w:r>
      <w:r>
        <w:rPr>
          <w:rFonts w:ascii="Arial" w:cs="Arial" w:eastAsia="Arial" w:hAnsi="Arial"/>
          <w:sz w:val="11"/>
          <w:szCs w:val="11"/>
          <w:color w:val="auto"/>
        </w:rPr>
        <w:t>st</w:t>
      </w:r>
      <w:r>
        <w:rPr>
          <w:rFonts w:ascii="Arial" w:cs="Arial" w:eastAsia="Arial" w:hAnsi="Arial"/>
          <w:sz w:val="18"/>
          <w:szCs w:val="18"/>
          <w:color w:val="auto"/>
        </w:rPr>
        <w:t xml:space="preserve"> day of December, 2012, but effective as of the date set forth herein.</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LIMITED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10.4</w:t>
      </w:r>
    </w:p>
    <w:p>
      <w:pPr>
        <w:spacing w:after="0" w:line="327" w:lineRule="exact"/>
        <w:rPr>
          <w:sz w:val="20"/>
          <w:szCs w:val="20"/>
          <w:color w:val="auto"/>
        </w:rPr>
      </w:pPr>
    </w:p>
    <w:p>
      <w:pPr>
        <w:ind w:left="2840" w:right="2820" w:firstLine="377"/>
        <w:spacing w:after="0" w:line="339" w:lineRule="auto"/>
        <w:rPr>
          <w:sz w:val="20"/>
          <w:szCs w:val="20"/>
          <w:color w:val="auto"/>
        </w:rPr>
      </w:pPr>
      <w:r>
        <w:rPr>
          <w:rFonts w:ascii="Arial" w:cs="Arial" w:eastAsia="Arial" w:hAnsi="Arial"/>
          <w:sz w:val="16"/>
          <w:szCs w:val="16"/>
          <w:b w:val="1"/>
          <w:bCs w:val="1"/>
          <w:color w:val="auto"/>
        </w:rPr>
        <w:t>SCHLUMBERGER 2010 OMNIBUS STOCK INCENTIVE PLAN 2013 ONE YEAR PERFORMANCE SHARE UNIT AWARD AGREEMENT</w:t>
      </w:r>
    </w:p>
    <w:p>
      <w:pPr>
        <w:spacing w:after="0" w:line="8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This Performance Share Unit Award Agreement (“Agreement”) is entered into effective by and between Schlumberger Limited (the “Company”), and Simon Ayat (“Employee”), pursuant to the Schlumberger 2010 Omnibus Stock Incentive Plan (the “Plan”). Employee and the Company agree to execute such further instruments and to take such further action as may reasonably be necessary to carry out the intent of this Agreement.</w:t>
      </w:r>
    </w:p>
    <w:p>
      <w:pPr>
        <w:spacing w:after="0" w:line="107" w:lineRule="exact"/>
        <w:rPr>
          <w:sz w:val="20"/>
          <w:szCs w:val="20"/>
          <w:color w:val="auto"/>
        </w:rPr>
      </w:pPr>
    </w:p>
    <w:p>
      <w:pPr>
        <w:ind w:right="100" w:firstLine="464"/>
        <w:spacing w:after="0" w:line="254"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In consideration of Employee’s continued employment as hereinafter set forth, the Company hereby grants to Employee an award of “Performance Share Units”, provided that (except as otherwise provided in this Agreement) the final number of Performance Share Units shall be determined in accordance with the performance criteria set forth on Attachment I. The Target Performance Share Units subject to this award is set forth in an award notice previously delivered to Employee. The Performance Share Units are notional units of measurement denominated in shares of Common Stock. Each Performance Share Unit represents a right to receive one share of Common Stock or equivalent value, subject to the conditions and restrictions on transferability set forth below and in the Plan.</w:t>
      </w:r>
    </w:p>
    <w:p>
      <w:pPr>
        <w:spacing w:after="0" w:line="144" w:lineRule="exact"/>
        <w:rPr>
          <w:rFonts w:ascii="Arial" w:cs="Arial" w:eastAsia="Arial" w:hAnsi="Arial"/>
          <w:sz w:val="18"/>
          <w:szCs w:val="18"/>
          <w:color w:val="auto"/>
        </w:rPr>
      </w:pPr>
    </w:p>
    <w:p>
      <w:pPr>
        <w:ind w:right="120" w:firstLine="464"/>
        <w:spacing w:after="0" w:line="291" w:lineRule="auto"/>
        <w:tabs>
          <w:tab w:leader="none" w:pos="632"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Vesting of Performance Share Units</w:t>
      </w:r>
      <w:r>
        <w:rPr>
          <w:rFonts w:ascii="Arial" w:cs="Arial" w:eastAsia="Arial" w:hAnsi="Arial"/>
          <w:sz w:val="16"/>
          <w:szCs w:val="16"/>
          <w:color w:val="auto"/>
        </w:rPr>
        <w:t>. The period of time between the date of grant specified in the award notice (the “Grant Date”) and the vesting of Performance Share Units (and the termination of restrictions thereon) shall be referred to herein as the “Performance Period.” On January 17, 2014 (the “Vesting Date”), a number of Performance Share Units shall vest based on the extent to which the Company has satisfied the performance condition set forth on Attachment I to this Agreement, provided that Employee is continuously employed by the Company in a position eligible to receive Performance Share Units pursuant to this Agreement (as determined by the Committee in its sole and absolute discretion) (an “Eligible Position”) through the Vesting Date and has not experienced a Termination of Employment as of such date.</w:t>
      </w:r>
    </w:p>
    <w:p>
      <w:pPr>
        <w:spacing w:after="0" w:line="120" w:lineRule="exact"/>
        <w:rPr>
          <w:rFonts w:ascii="Arial" w:cs="Arial" w:eastAsia="Arial" w:hAnsi="Arial"/>
          <w:sz w:val="16"/>
          <w:szCs w:val="16"/>
          <w:color w:val="auto"/>
        </w:rPr>
      </w:pPr>
    </w:p>
    <w:p>
      <w:pPr>
        <w:ind w:right="120" w:firstLine="464"/>
        <w:spacing w:after="0" w:line="256"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Settlement of Performance Share Units</w:t>
      </w:r>
      <w:r>
        <w:rPr>
          <w:rFonts w:ascii="Arial" w:cs="Arial" w:eastAsia="Arial" w:hAnsi="Arial"/>
          <w:sz w:val="18"/>
          <w:szCs w:val="18"/>
          <w:color w:val="auto"/>
        </w:rPr>
        <w:t>. Payment of vested Performance Share Units shall be made in shares of Common Stock as soon as administratively practicable, but in no event later than 2-1/2 months following the year in which the Performance Share Units vest (the “Settlement Date”); provided, however, that the Committee may, in its sole and absolute discretion, settle the vested Performance Share Units in cash based on the Fair Market Value of the shares of Common Stock on the Settlement Date.</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Forfeitures of Performance Share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260" w:firstLine="443"/>
        <w:spacing w:after="0" w:line="256" w:lineRule="auto"/>
        <w:tabs>
          <w:tab w:leader="none" w:pos="1137" w:val="left"/>
        </w:tabs>
        <w:numPr>
          <w:ilvl w:val="1"/>
          <w:numId w:val="27"/>
        </w:numPr>
        <w:rPr>
          <w:rFonts w:ascii="Arial" w:cs="Arial" w:eastAsia="Arial" w:hAnsi="Arial"/>
          <w:sz w:val="18"/>
          <w:szCs w:val="18"/>
          <w:color w:val="auto"/>
        </w:rPr>
      </w:pPr>
      <w:r>
        <w:rPr>
          <w:rFonts w:ascii="Arial" w:cs="Arial" w:eastAsia="Arial" w:hAnsi="Arial"/>
          <w:sz w:val="18"/>
          <w:szCs w:val="18"/>
          <w:color w:val="auto"/>
        </w:rPr>
        <w:t>Until the Performance Period specified in Section 2 has expired, upon Employee’s Termination of Employment or Employee ceasing to be employed in an Eligible Position, Employee shall immediately forfeit all Performance Share Units, without the payment of any consideration. Upon forfeiture, neither Employee nor any successors, heirs, assigns, or legal representatives of Employee shall thereafter have any further rights or interest in the Performance Share Units.</w:t>
      </w:r>
    </w:p>
    <w:p>
      <w:pPr>
        <w:spacing w:after="0" w:line="62"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Notwithstanding any provision in this Agreement to the contrary, if Employee engages in Detrimental Activity (as defined below) prior to the Settlement Date, Employee shall immediately forfeit all Performance Share Units without the payment of any consideration.</w:t>
      </w:r>
    </w:p>
    <w:p>
      <w:pPr>
        <w:sectPr>
          <w:pgSz w:w="11900" w:h="16838" w:orient="portrait"/>
          <w:cols w:equalWidth="0" w:num="1">
            <w:col w:w="11420"/>
          </w:cols>
          <w:pgMar w:left="240" w:top="131" w:right="239" w:bottom="1440" w:gutter="0" w:footer="0" w:header="0"/>
        </w:sectPr>
      </w:pPr>
    </w:p>
    <w:bookmarkStart w:id="33" w:name="page34"/>
    <w:bookmarkEnd w:id="33"/>
    <w:p>
      <w:pPr>
        <w:ind w:left="620" w:hanging="176"/>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Restrictions on Transfer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right="60" w:firstLine="443"/>
        <w:spacing w:after="0" w:line="259" w:lineRule="auto"/>
        <w:tabs>
          <w:tab w:leader="none" w:pos="1117"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Performance Share Units granted hereunder to Employee may not be sold, assigned, transferred, pledged or otherwise encumbered, whether voluntarily or involuntarily, by operation of law or otherwise, other than to the Company as a result of the forfeiture of units as provided herein or pursuant to Section 10.</w:t>
      </w:r>
    </w:p>
    <w:p>
      <w:pPr>
        <w:spacing w:after="0" w:line="59" w:lineRule="exact"/>
        <w:rPr>
          <w:rFonts w:ascii="Arial" w:cs="Arial" w:eastAsia="Arial" w:hAnsi="Arial"/>
          <w:sz w:val="18"/>
          <w:szCs w:val="18"/>
          <w:color w:val="auto"/>
        </w:rPr>
      </w:pPr>
    </w:p>
    <w:p>
      <w:pPr>
        <w:ind w:left="440" w:firstLine="443"/>
        <w:spacing w:after="0" w:line="290" w:lineRule="auto"/>
        <w:tabs>
          <w:tab w:leader="none" w:pos="1127" w:val="left"/>
        </w:tabs>
        <w:numPr>
          <w:ilvl w:val="1"/>
          <w:numId w:val="28"/>
        </w:numPr>
        <w:rPr>
          <w:rFonts w:ascii="Arial" w:cs="Arial" w:eastAsia="Arial" w:hAnsi="Arial"/>
          <w:sz w:val="16"/>
          <w:szCs w:val="16"/>
          <w:color w:val="auto"/>
        </w:rPr>
      </w:pPr>
      <w:r>
        <w:rPr>
          <w:rFonts w:ascii="Arial" w:cs="Arial" w:eastAsia="Arial" w:hAnsi="Arial"/>
          <w:sz w:val="16"/>
          <w:szCs w:val="16"/>
          <w:color w:val="auto"/>
        </w:rPr>
        <w:t>Consistent with the foregoing, except as contemplated by Section 10,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shall attempt to transfer, anticipate, alienate, assign, sell, pledge, encumber or charge any right or benefit hereunder, other than as contemplated by Section 10, or if any creditor shall attempt to subject the same to a writ of garnishment, attachment, execution, sequestration, or any other form of process or involuntary lien or seizure, then such attempt shall have no effect and shall be void.</w:t>
      </w:r>
    </w:p>
    <w:p>
      <w:pPr>
        <w:spacing w:after="0" w:line="118" w:lineRule="exact"/>
        <w:rPr>
          <w:rFonts w:ascii="Arial" w:cs="Arial" w:eastAsia="Arial" w:hAnsi="Arial"/>
          <w:sz w:val="16"/>
          <w:szCs w:val="16"/>
          <w:color w:val="auto"/>
        </w:rPr>
      </w:pPr>
    </w:p>
    <w:p>
      <w:pPr>
        <w:ind w:left="-20" w:right="160" w:firstLine="464"/>
        <w:spacing w:after="0" w:line="268" w:lineRule="auto"/>
        <w:tabs>
          <w:tab w:leader="none" w:pos="61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Employee shall have no rights as a stockholder with regard to the Performance Share Units. Rights as a stockholder shall arise only if the Performance Share Units are settled in shares of Common Stock as set forth in Section 3.</w:t>
      </w:r>
    </w:p>
    <w:p>
      <w:pPr>
        <w:spacing w:after="0" w:line="131" w:lineRule="exact"/>
        <w:rPr>
          <w:rFonts w:ascii="Arial" w:cs="Arial" w:eastAsia="Arial" w:hAnsi="Arial"/>
          <w:sz w:val="18"/>
          <w:szCs w:val="18"/>
          <w:color w:val="auto"/>
        </w:rPr>
      </w:pPr>
    </w:p>
    <w:p>
      <w:pPr>
        <w:ind w:left="-20" w:right="60" w:firstLine="464"/>
        <w:spacing w:after="0" w:line="290" w:lineRule="auto"/>
        <w:tabs>
          <w:tab w:leader="none" w:pos="61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To the extent that the receipt of the Performance Share Units or the payment upon lapse of any restrictions results in income to Employee for federal or state income tax purposes or in any other cases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from the payment for vested Performance Share Units or from any cash or other form of remuneration then or thereafter payable to Employee an amount equal to any tax required to be withheld by reason of such resulting compensation income. The Performance Share Units are intended to be “short-term deferrals” exempt from Section 409A and shall be construed and interpreted accordingly.</w:t>
      </w:r>
    </w:p>
    <w:p>
      <w:pPr>
        <w:spacing w:after="0" w:line="118" w:lineRule="exact"/>
        <w:rPr>
          <w:rFonts w:ascii="Arial" w:cs="Arial" w:eastAsia="Arial" w:hAnsi="Arial"/>
          <w:sz w:val="16"/>
          <w:szCs w:val="16"/>
          <w:color w:val="auto"/>
        </w:rPr>
      </w:pPr>
    </w:p>
    <w:p>
      <w:pPr>
        <w:ind w:left="-20" w:right="20" w:firstLine="464"/>
        <w:spacing w:after="0" w:line="306" w:lineRule="auto"/>
        <w:tabs>
          <w:tab w:leader="none" w:pos="61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Changes in Capital Structure</w:t>
      </w:r>
      <w:r>
        <w:rPr>
          <w:rFonts w:ascii="Arial" w:cs="Arial" w:eastAsia="Arial" w:hAnsi="Arial"/>
          <w:sz w:val="16"/>
          <w:szCs w:val="16"/>
          <w:color w:val="auto"/>
        </w:rPr>
        <w:t>. As more fully described in the Plan, if the outstanding shares of Common Stock shall at any time be changed or exchanged by declaration of a stock dividend, stock split, combination of shares, or recapitalization, the number and kind of Performance Share Units shall be appropriately and equitably adjusted so as to maintain their equivalence to the proportionate number of shares.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6</w:t>
      </w:r>
    </w:p>
    <w:p>
      <w:pPr>
        <w:sectPr>
          <w:pgSz w:w="11900" w:h="16838" w:orient="portrait"/>
          <w:cols w:equalWidth="0" w:num="1">
            <w:col w:w="11400"/>
          </w:cols>
          <w:pgMar w:left="260" w:top="280" w:right="239" w:bottom="1440" w:gutter="0" w:footer="0" w:header="0"/>
        </w:sectPr>
      </w:pPr>
    </w:p>
    <w:bookmarkStart w:id="34" w:name="page35"/>
    <w:bookmarkEnd w:id="34"/>
    <w:p>
      <w:pPr>
        <w:ind w:left="-20" w:firstLine="464"/>
        <w:spacing w:after="0" w:line="294"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Securities Laws</w:t>
      </w:r>
      <w:r>
        <w:rPr>
          <w:rFonts w:ascii="Arial" w:cs="Arial" w:eastAsia="Arial" w:hAnsi="Arial"/>
          <w:sz w:val="16"/>
          <w:szCs w:val="16"/>
          <w:color w:val="auto"/>
        </w:rPr>
        <w:t>. The Company shall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15" w:lineRule="exact"/>
        <w:rPr>
          <w:rFonts w:ascii="Arial" w:cs="Arial" w:eastAsia="Arial" w:hAnsi="Arial"/>
          <w:sz w:val="16"/>
          <w:szCs w:val="16"/>
          <w:color w:val="auto"/>
        </w:rPr>
      </w:pPr>
    </w:p>
    <w:p>
      <w:pPr>
        <w:ind w:left="-20" w:right="20" w:firstLine="464"/>
        <w:spacing w:after="0" w:line="294"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The Performance Share Units are not transferable (either voluntarily or involuntarily) by the recipient except by will or the laws of descent and distribution. Payment of the Performance Share Units after your death shall be made to your estate or, in the sole and absolute discretion of the Committee, to the person or persons entitled to receive such payment under the laws of descent and distribution. No purported assignment or transfer, whether voluntary or involuntary, by operation of law or otherwise, shall vest in the purported assignee or transferee any interest or right therein whatsoever but immediately upon any such purported assignment or transfer, or any attempt to make the same, the Performance Share Units shall terminate and become of no further effect.</w:t>
      </w:r>
    </w:p>
    <w:p>
      <w:pPr>
        <w:spacing w:after="0" w:line="115" w:lineRule="exact"/>
        <w:rPr>
          <w:rFonts w:ascii="Arial" w:cs="Arial" w:eastAsia="Arial" w:hAnsi="Arial"/>
          <w:sz w:val="16"/>
          <w:szCs w:val="16"/>
          <w:color w:val="auto"/>
        </w:rPr>
      </w:pPr>
    </w:p>
    <w:p>
      <w:pPr>
        <w:ind w:left="-20" w:right="100" w:firstLine="464"/>
        <w:spacing w:after="0" w:line="306" w:lineRule="auto"/>
        <w:tabs>
          <w:tab w:leader="none" w:pos="69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06" w:lineRule="exact"/>
        <w:rPr>
          <w:rFonts w:ascii="Arial" w:cs="Arial" w:eastAsia="Arial" w:hAnsi="Arial"/>
          <w:sz w:val="16"/>
          <w:szCs w:val="16"/>
          <w:color w:val="auto"/>
        </w:rPr>
      </w:pPr>
    </w:p>
    <w:p>
      <w:pPr>
        <w:ind w:left="700" w:hanging="2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90" w:lineRule="exact"/>
        <w:rPr>
          <w:rFonts w:ascii="Arial" w:cs="Arial" w:eastAsia="Arial" w:hAnsi="Arial"/>
          <w:sz w:val="18"/>
          <w:szCs w:val="18"/>
          <w:color w:val="auto"/>
        </w:rPr>
      </w:pPr>
    </w:p>
    <w:p>
      <w:pPr>
        <w:ind w:left="440" w:right="440" w:firstLine="443"/>
        <w:spacing w:after="0" w:line="268" w:lineRule="auto"/>
        <w:tabs>
          <w:tab w:leader="none" w:pos="1117" w:val="left"/>
        </w:tabs>
        <w:numPr>
          <w:ilvl w:val="1"/>
          <w:numId w:val="29"/>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Performance Share Units (or other form of stock incentive awards) other than in the sole discretion of the Committee;</w:t>
      </w:r>
    </w:p>
    <w:p>
      <w:pPr>
        <w:spacing w:after="0" w:line="50" w:lineRule="exact"/>
        <w:rPr>
          <w:rFonts w:ascii="Arial" w:cs="Arial" w:eastAsia="Arial" w:hAnsi="Arial"/>
          <w:sz w:val="18"/>
          <w:szCs w:val="18"/>
          <w:color w:val="auto"/>
        </w:rPr>
      </w:pPr>
    </w:p>
    <w:p>
      <w:pPr>
        <w:ind w:left="1140" w:hanging="257"/>
        <w:spacing w:after="0"/>
        <w:tabs>
          <w:tab w:leader="none" w:pos="11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give Employee or any other person any interest in any fund or in any specified asset or assets of the Company (other than the Performance Share</w:t>
      </w:r>
    </w:p>
    <w:p>
      <w:pPr>
        <w:spacing w:after="0" w:line="49"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8"/>
          <w:szCs w:val="18"/>
          <w:color w:val="auto"/>
        </w:rPr>
        <w:t>Units); or</w:t>
      </w:r>
    </w:p>
    <w:p>
      <w:pPr>
        <w:spacing w:after="0" w:line="83" w:lineRule="exact"/>
        <w:rPr>
          <w:rFonts w:ascii="Arial" w:cs="Arial" w:eastAsia="Arial" w:hAnsi="Arial"/>
          <w:sz w:val="15"/>
          <w:szCs w:val="15"/>
          <w:color w:val="auto"/>
        </w:rPr>
      </w:pPr>
    </w:p>
    <w:p>
      <w:pPr>
        <w:ind w:left="1120" w:hanging="237"/>
        <w:spacing w:after="0"/>
        <w:tabs>
          <w:tab w:leader="none" w:pos="11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 or any Subsidiary.</w:t>
      </w:r>
    </w:p>
    <w:p>
      <w:pPr>
        <w:spacing w:after="0" w:line="171" w:lineRule="exact"/>
        <w:rPr>
          <w:rFonts w:ascii="Arial" w:cs="Arial" w:eastAsia="Arial" w:hAnsi="Arial"/>
          <w:sz w:val="18"/>
          <w:szCs w:val="18"/>
          <w:color w:val="auto"/>
        </w:rPr>
      </w:pPr>
    </w:p>
    <w:p>
      <w:pPr>
        <w:ind w:left="-20" w:right="140" w:firstLine="464"/>
        <w:spacing w:after="0" w:line="268"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131" w:lineRule="exact"/>
        <w:rPr>
          <w:rFonts w:ascii="Arial" w:cs="Arial" w:eastAsia="Arial" w:hAnsi="Arial"/>
          <w:sz w:val="18"/>
          <w:szCs w:val="18"/>
          <w:color w:val="auto"/>
        </w:rPr>
      </w:pPr>
    </w:p>
    <w:p>
      <w:pPr>
        <w:jc w:val="both"/>
        <w:ind w:left="-20" w:right="160" w:firstLine="464"/>
        <w:spacing w:after="0" w:line="259"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140" w:lineRule="exact"/>
        <w:rPr>
          <w:rFonts w:ascii="Arial" w:cs="Arial" w:eastAsia="Arial" w:hAnsi="Arial"/>
          <w:sz w:val="18"/>
          <w:szCs w:val="18"/>
          <w:color w:val="auto"/>
        </w:rPr>
      </w:pPr>
    </w:p>
    <w:p>
      <w:pPr>
        <w:ind w:left="-20" w:right="40" w:firstLine="464"/>
        <w:spacing w:after="0" w:line="259"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15.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6</w:t>
      </w:r>
    </w:p>
    <w:p>
      <w:pPr>
        <w:sectPr>
          <w:pgSz w:w="11900" w:h="16838" w:orient="portrait"/>
          <w:cols w:equalWidth="0" w:num="1">
            <w:col w:w="11400"/>
          </w:cols>
          <w:pgMar w:left="260" w:top="280" w:right="239" w:bottom="1440" w:gutter="0" w:footer="0" w:header="0"/>
        </w:sectPr>
      </w:pPr>
    </w:p>
    <w:bookmarkStart w:id="35" w:name="page36"/>
    <w:bookmarkEnd w:id="35"/>
    <w:p>
      <w:pPr>
        <w:ind w:firstLine="443"/>
        <w:spacing w:after="0" w:line="286" w:lineRule="auto"/>
        <w:tabs>
          <w:tab w:leader="none" w:pos="677" w:val="left"/>
        </w:tabs>
        <w:numPr>
          <w:ilvl w:val="1"/>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“Detrimental Activity” means activity that is determined by the Committee in its sole and absolute discretion to be detrimental to the interests of the Company or any of its Subsidiaries, including but not limited to situations where a Employee: (i) divulges trade secrets, proprietary data or other confidential information relating to the Company or to the business of the Company and any Subsidiaries, (ii) enters into employment with or provides services to any company listed on the Philadelphia Oil Service Sector Index (or any successor index) as of the date of Employee’s Termination of Employment (or any affiliate thereof) under circumstances suggesting that Employee shall be using unique or special knowledge gained as a Company employee or Subsidiary employee to compete with the Company or its Subsidiaries, (iii) engages or employs, or solicits or contacts with a view to the engagement or employment of, any person who is an officer or employee of the Company or its Subsidiaries, (iv) canvasses, solicits, approaches or entices away or causes to be canvassed, solicited, approached or enticed away from the Company or its Subsidiaries any person who or which is a customer of any of such entities during the Performance Period, (v) is determined to have engaged (whether or not prior to termination) in either gross misconduct or criminal activity harmful to the Company or a Subsidiary, or (vi) takes any action that harms the business interests, reputation, or goodwill of the Company or its Subsidiaries. The Committee may delegate its authority to determine whether Employee has engaged in “detrimental activity” to an officer of the Company or to a subcommittee of the Committee.</w:t>
      </w:r>
    </w:p>
    <w:p>
      <w:pPr>
        <w:spacing w:after="0" w:line="43" w:lineRule="exact"/>
        <w:rPr>
          <w:rFonts w:ascii="Arial" w:cs="Arial" w:eastAsia="Arial" w:hAnsi="Arial"/>
          <w:sz w:val="16"/>
          <w:szCs w:val="16"/>
          <w:color w:val="auto"/>
        </w:rPr>
      </w:pPr>
    </w:p>
    <w:p>
      <w:pPr>
        <w:ind w:right="160" w:firstLine="443"/>
        <w:spacing w:after="0" w:line="259" w:lineRule="auto"/>
        <w:tabs>
          <w:tab w:leader="none" w:pos="6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59" w:lineRule="exact"/>
        <w:rPr>
          <w:rFonts w:ascii="Arial" w:cs="Arial" w:eastAsia="Arial" w:hAnsi="Arial"/>
          <w:sz w:val="18"/>
          <w:szCs w:val="18"/>
          <w:color w:val="auto"/>
        </w:rPr>
      </w:pPr>
    </w:p>
    <w:p>
      <w:pPr>
        <w:ind w:right="40" w:firstLine="443"/>
        <w:spacing w:after="0" w:line="256" w:lineRule="auto"/>
        <w:tabs>
          <w:tab w:leader="none" w:pos="67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and its Subsidiaries. Temporary absences from employment because of illness, vacation or leave of absence and transfers among the Company and its Subsidiaries shall not be considered a Termination of Employment. Any questions as to whether and when there has been a Termination of Employment, and the cause of such termination, shall be determined by the Committee in its sole and absolute discretion.</w:t>
      </w:r>
    </w:p>
    <w:p>
      <w:pPr>
        <w:spacing w:after="0" w:line="143" w:lineRule="exact"/>
        <w:rPr>
          <w:rFonts w:ascii="Arial" w:cs="Arial" w:eastAsia="Arial" w:hAnsi="Arial"/>
          <w:sz w:val="18"/>
          <w:szCs w:val="18"/>
          <w:color w:val="auto"/>
        </w:rPr>
      </w:pPr>
    </w:p>
    <w:p>
      <w:pPr>
        <w:ind w:left="260" w:hanging="256"/>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40" w:firstLine="443"/>
        <w:spacing w:after="0" w:line="335" w:lineRule="auto"/>
        <w:tabs>
          <w:tab w:leader="none" w:pos="677" w:val="left"/>
        </w:tabs>
        <w:numPr>
          <w:ilvl w:val="1"/>
          <w:numId w:val="31"/>
        </w:numPr>
        <w:rPr>
          <w:rFonts w:ascii="Arial" w:cs="Arial" w:eastAsia="Arial" w:hAnsi="Arial"/>
          <w:sz w:val="15"/>
          <w:szCs w:val="15"/>
          <w:color w:val="auto"/>
        </w:rPr>
      </w:pPr>
      <w:r>
        <w:rPr>
          <w:rFonts w:ascii="Arial" w:cs="Arial" w:eastAsia="Arial" w:hAnsi="Arial"/>
          <w:sz w:val="15"/>
          <w:szCs w:val="15"/>
          <w:color w:val="auto"/>
        </w:rPr>
        <w:t>Employee hereby acknowledges that he or she has received, reviewed and accepted the terms and conditions applicable to this Agreement. Employee hereby accepts such terms and conditions, subject to the provisions of the Plan and administrative interpretations thereof. Employee further agrees that such terms and conditions shall control this Agreement, notwithstanding any provisions in any employment agreement or in any prior awards.</w:t>
      </w:r>
    </w:p>
    <w:p>
      <w:pPr>
        <w:spacing w:after="0" w:line="7" w:lineRule="exact"/>
        <w:rPr>
          <w:rFonts w:ascii="Arial" w:cs="Arial" w:eastAsia="Arial" w:hAnsi="Arial"/>
          <w:sz w:val="15"/>
          <w:szCs w:val="15"/>
          <w:color w:val="auto"/>
        </w:rPr>
      </w:pPr>
    </w:p>
    <w:p>
      <w:pPr>
        <w:ind w:right="100" w:firstLine="443"/>
        <w:spacing w:after="0" w:line="268" w:lineRule="auto"/>
        <w:tabs>
          <w:tab w:leader="none" w:pos="687" w:val="left"/>
        </w:tabs>
        <w:numPr>
          <w:ilvl w:val="1"/>
          <w:numId w:val="31"/>
        </w:numPr>
        <w:rPr>
          <w:rFonts w:ascii="Arial" w:cs="Arial" w:eastAsia="Arial" w:hAnsi="Arial"/>
          <w:sz w:val="18"/>
          <w:szCs w:val="18"/>
          <w:color w:val="auto"/>
        </w:rPr>
      </w:pPr>
      <w:r>
        <w:rPr>
          <w:rFonts w:ascii="Arial" w:cs="Arial" w:eastAsia="Arial" w:hAnsi="Arial"/>
          <w:sz w:val="18"/>
          <w:szCs w:val="18"/>
          <w:color w:val="auto"/>
        </w:rPr>
        <w:t>Employee hereby acknowledges that he or she is to consult with and rely upon only Employee’s own tax, legal, and financial advisors regarding the consequences and risks of this Agreement and the award of Performance Share Units.</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Page 4 of 6</w:t>
      </w:r>
    </w:p>
    <w:p>
      <w:pPr>
        <w:sectPr>
          <w:pgSz w:w="11900" w:h="16838" w:orient="portrait"/>
          <w:cols w:equalWidth="0" w:num="1">
            <w:col w:w="10920"/>
          </w:cols>
          <w:pgMar w:left="700" w:top="280" w:right="279" w:bottom="1440" w:gutter="0" w:footer="0" w:header="0"/>
        </w:sectPr>
      </w:pPr>
    </w:p>
    <w:bookmarkStart w:id="36" w:name="page37"/>
    <w:bookmarkEnd w:id="36"/>
    <w:p>
      <w:pPr>
        <w:ind w:left="460" w:firstLine="443"/>
        <w:spacing w:after="0" w:line="332" w:lineRule="auto"/>
        <w:tabs>
          <w:tab w:leader="none" w:pos="1137" w:val="left"/>
        </w:tabs>
        <w:numPr>
          <w:ilvl w:val="1"/>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4" w:lineRule="exact"/>
        <w:rPr>
          <w:rFonts w:ascii="Arial" w:cs="Arial" w:eastAsia="Arial" w:hAnsi="Arial"/>
          <w:sz w:val="16"/>
          <w:szCs w:val="16"/>
          <w:color w:val="auto"/>
        </w:rPr>
      </w:pPr>
    </w:p>
    <w:p>
      <w:pPr>
        <w:ind w:left="460" w:right="20" w:firstLine="443"/>
        <w:spacing w:after="0" w:line="256" w:lineRule="auto"/>
        <w:tabs>
          <w:tab w:leader="none" w:pos="114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Texas (except that no effect shall be given to any conflicts of law principles thereof that would require the application of the laws of another jurisdiction). Venue for any dispute arising under this Agreement shall lie exclusively in the state and/or federal courts of Harris County, Texas and the Southern District of Texas, Houston Division, respectively.</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WITNESS WHEREOF, Schlumberger Limited has caused this Agreement to be duly executed by one of its officers thereunto duly authorized, and Employee has executed this Agreement, effective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5 of 6</w:t>
      </w:r>
    </w:p>
    <w:p>
      <w:pPr>
        <w:sectPr>
          <w:pgSz w:w="11900" w:h="16838" w:orient="portrait"/>
          <w:cols w:equalWidth="0" w:num="1">
            <w:col w:w="11340"/>
          </w:cols>
          <w:pgMar w:left="240" w:top="280" w:right="31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I</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Performance Condition</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Subject to the provisions of this Agreement, vesting of the Performance Share Units is conditioned upon the Company achieving annual Return on Capital Employed (“ROCE”) of greater than 12.5% for the period beginning on January 1, 2013 and ending on December 31, 2013. ROCE means the sum of (i) income from continuing operations before charges and credits and (ii) the after tax impact of net interest expense, divided by the sum of (x) the average quarterly equity, including noncontrolling interests and (y) the average quarterly net debt.</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number of Performance Share Units that shall vest as of the vesting date shall be equal to the product of (i) the Target Performance Share Units and (ii) the Payout Factor (with any fractional shares rounded up to the next whole share).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ROCE achieved shall be certified by the Committee and shall determine the Payout Factor based on the chart below. The Payout Factor for ROCE achievement levels between points on this chart shall be determined by linear interpolation between the values listed. In no event shall the Payout Factor exceed 250%. If the ROCE achieved is less than or equal to 12.5%, the Payout Factor shall be zero.</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4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Annual ROCE Achieved</w:t>
            </w:r>
          </w:p>
        </w:tc>
        <w:tc>
          <w:tcPr>
            <w:tcW w:w="3560" w:type="dxa"/>
            <w:vAlign w:val="bottom"/>
          </w:tcPr>
          <w:p>
            <w:pPr>
              <w:ind w:left="1360"/>
              <w:spacing w:after="0"/>
              <w:rPr>
                <w:sz w:val="20"/>
                <w:szCs w:val="20"/>
                <w:color w:val="auto"/>
              </w:rPr>
            </w:pPr>
            <w:r>
              <w:rPr>
                <w:rFonts w:ascii="Arial" w:cs="Arial" w:eastAsia="Arial" w:hAnsi="Arial"/>
                <w:sz w:val="14"/>
                <w:szCs w:val="14"/>
                <w:b w:val="1"/>
                <w:bCs w:val="1"/>
                <w:color w:val="auto"/>
              </w:rPr>
              <w:t>Payout Factor</w:t>
            </w:r>
          </w:p>
        </w:tc>
      </w:tr>
      <w:tr>
        <w:trPr>
          <w:trHeight w:val="210"/>
        </w:trPr>
        <w:tc>
          <w:tcPr>
            <w:tcW w:w="3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Less than or equal to 12.5%</w:t>
            </w:r>
          </w:p>
        </w:tc>
        <w:tc>
          <w:tcPr>
            <w:tcW w:w="24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0%</w:t>
            </w:r>
          </w:p>
        </w:tc>
      </w:tr>
      <w:tr>
        <w:trPr>
          <w:trHeight w:val="216"/>
        </w:trPr>
        <w:tc>
          <w:tcPr>
            <w:tcW w:w="4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15% (“Target”)</w:t>
            </w: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24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r>
      <w:tr>
        <w:trPr>
          <w:trHeight w:val="222"/>
        </w:trPr>
        <w:tc>
          <w:tcPr>
            <w:tcW w:w="42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Greater than or equal to 25%</w:t>
            </w: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250%</w:t>
            </w: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6 of 6</w:t>
      </w:r>
    </w:p>
    <w:p>
      <w:pPr>
        <w:sectPr>
          <w:pgSz w:w="11900" w:h="16838" w:orient="portrait"/>
          <w:cols w:equalWidth="0" w:num="1">
            <w:col w:w="11320"/>
          </w:cols>
          <w:pgMar w:left="240" w:top="27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10.5</w:t>
      </w:r>
    </w:p>
    <w:p>
      <w:pPr>
        <w:spacing w:after="0" w:line="327" w:lineRule="exact"/>
        <w:rPr>
          <w:sz w:val="20"/>
          <w:szCs w:val="20"/>
          <w:color w:val="auto"/>
        </w:rPr>
      </w:pPr>
    </w:p>
    <w:p>
      <w:pPr>
        <w:ind w:left="2800" w:right="2800" w:firstLine="401"/>
        <w:spacing w:after="0" w:line="339" w:lineRule="auto"/>
        <w:rPr>
          <w:sz w:val="20"/>
          <w:szCs w:val="20"/>
          <w:color w:val="auto"/>
        </w:rPr>
      </w:pPr>
      <w:r>
        <w:rPr>
          <w:rFonts w:ascii="Arial" w:cs="Arial" w:eastAsia="Arial" w:hAnsi="Arial"/>
          <w:sz w:val="16"/>
          <w:szCs w:val="16"/>
          <w:b w:val="1"/>
          <w:bCs w:val="1"/>
          <w:color w:val="auto"/>
        </w:rPr>
        <w:t>SCHLUMBERGER 2010 OMNIBUS STOCK INCENTIVE PLAN 2013 TWO YEAR PERFORMANCE SHARE UNIT AWARD AGREEMENT</w:t>
      </w:r>
    </w:p>
    <w:p>
      <w:pPr>
        <w:spacing w:after="0" w:line="80" w:lineRule="exact"/>
        <w:rPr>
          <w:sz w:val="20"/>
          <w:szCs w:val="20"/>
          <w:color w:val="auto"/>
        </w:rPr>
      </w:pPr>
    </w:p>
    <w:p>
      <w:pPr>
        <w:ind w:left="880" w:right="300" w:hanging="420"/>
        <w:spacing w:after="0" w:line="305" w:lineRule="auto"/>
        <w:rPr>
          <w:sz w:val="20"/>
          <w:szCs w:val="20"/>
          <w:color w:val="auto"/>
        </w:rPr>
      </w:pPr>
      <w:r>
        <w:rPr>
          <w:rFonts w:ascii="Arial" w:cs="Arial" w:eastAsia="Arial" w:hAnsi="Arial"/>
          <w:sz w:val="15"/>
          <w:szCs w:val="15"/>
          <w:color w:val="auto"/>
        </w:rPr>
        <w:t>This Performance Share Unit Award Agreement (“Agreement”) is entered into effective by and between Schlumberger Limited (the “Company”), and (“Employee”), pursuant to the Schlumberger 2010 Omnibus Stock Incentive Plan (the “Plan”). Employee and the Company agree to execute such</w:t>
      </w:r>
    </w:p>
    <w:p>
      <w:pPr>
        <w:spacing w:after="0"/>
        <w:rPr>
          <w:sz w:val="20"/>
          <w:szCs w:val="20"/>
          <w:color w:val="auto"/>
        </w:rPr>
      </w:pPr>
      <w:r>
        <w:rPr>
          <w:rFonts w:ascii="Arial" w:cs="Arial" w:eastAsia="Arial" w:hAnsi="Arial"/>
          <w:sz w:val="18"/>
          <w:szCs w:val="18"/>
          <w:color w:val="auto"/>
        </w:rPr>
        <w:t>further instruments and to take such further action as may reasonably be necessary to carry out the intent of this Agreement.</w:t>
      </w:r>
    </w:p>
    <w:p>
      <w:pPr>
        <w:spacing w:after="0" w:line="165" w:lineRule="exact"/>
        <w:rPr>
          <w:sz w:val="20"/>
          <w:szCs w:val="20"/>
          <w:color w:val="auto"/>
        </w:rPr>
      </w:pPr>
    </w:p>
    <w:p>
      <w:pPr>
        <w:ind w:right="100" w:firstLine="464"/>
        <w:spacing w:after="0" w:line="254"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In consideration of Employee’s continued employment as hereinafter set forth, the Company hereby grants to Employee an award of “Performance Share Units”, provided that (except as otherwise provided in this Agreement) the final number of Performance Share Units shall be determined in accordance with the performance criteria set forth on Attachment I. The Target Performance Share Units subject to this award is set forth in an award notice previously delivered to Employee. The Performance Share Units are notional units of measurement denominated in shares of Common Stock. Each Performance Share Unit represents a right to receive one share of Common Stock or equivalent value, subject to the conditions and restrictions on transferability set forth below and in the Plan.</w:t>
      </w:r>
    </w:p>
    <w:p>
      <w:pPr>
        <w:spacing w:after="0" w:line="144" w:lineRule="exact"/>
        <w:rPr>
          <w:rFonts w:ascii="Arial" w:cs="Arial" w:eastAsia="Arial" w:hAnsi="Arial"/>
          <w:sz w:val="18"/>
          <w:szCs w:val="18"/>
          <w:color w:val="auto"/>
        </w:rPr>
      </w:pPr>
    </w:p>
    <w:p>
      <w:pPr>
        <w:ind w:right="100" w:firstLine="464"/>
        <w:spacing w:after="0" w:line="259"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Vesting of Performance Share Units</w:t>
      </w:r>
      <w:r>
        <w:rPr>
          <w:rFonts w:ascii="Arial" w:cs="Arial" w:eastAsia="Arial" w:hAnsi="Arial"/>
          <w:sz w:val="18"/>
          <w:szCs w:val="18"/>
          <w:color w:val="auto"/>
        </w:rPr>
        <w:t>. The period of time between the date of grant specified in the award notice (the “Grant Date”) and the vesting of Performance Share Units (and the termination of restrictions thereon) shall be referred to herein as the “Performance Period.” The Performance Share Units shall become vested as follows:</w:t>
      </w:r>
    </w:p>
    <w:p>
      <w:pPr>
        <w:spacing w:after="0" w:line="59" w:lineRule="exact"/>
        <w:rPr>
          <w:rFonts w:ascii="Arial" w:cs="Arial" w:eastAsia="Arial" w:hAnsi="Arial"/>
          <w:sz w:val="18"/>
          <w:szCs w:val="18"/>
          <w:color w:val="auto"/>
        </w:rPr>
      </w:pPr>
    </w:p>
    <w:p>
      <w:pPr>
        <w:ind w:left="460" w:right="140" w:firstLine="443"/>
        <w:spacing w:after="0" w:line="306" w:lineRule="auto"/>
        <w:tabs>
          <w:tab w:leader="none" w:pos="1137" w:val="left"/>
        </w:tabs>
        <w:numPr>
          <w:ilvl w:val="1"/>
          <w:numId w:val="34"/>
        </w:numPr>
        <w:rPr>
          <w:rFonts w:ascii="Arial" w:cs="Arial" w:eastAsia="Arial" w:hAnsi="Arial"/>
          <w:sz w:val="16"/>
          <w:szCs w:val="16"/>
          <w:color w:val="auto"/>
        </w:rPr>
      </w:pPr>
      <w:r>
        <w:rPr>
          <w:rFonts w:ascii="Arial" w:cs="Arial" w:eastAsia="Arial" w:hAnsi="Arial"/>
          <w:sz w:val="16"/>
          <w:szCs w:val="16"/>
          <w:color w:val="auto"/>
        </w:rPr>
        <w:t>On January 17, 2015 (the “Vesting Date”), a number of Performance Share Units shall vest based on the extent to which the Company has satisfied the performance condition set forth on Attachment I to this Agreement, provided that Employee is continuously employed by the Company in an Eligible Position (as defined below) through the Vesting Date and has not experienced a Termination of Employment as of such date.</w:t>
      </w:r>
    </w:p>
    <w:p>
      <w:pPr>
        <w:spacing w:after="0" w:line="25" w:lineRule="exact"/>
        <w:rPr>
          <w:rFonts w:ascii="Arial" w:cs="Arial" w:eastAsia="Arial" w:hAnsi="Arial"/>
          <w:sz w:val="16"/>
          <w:szCs w:val="16"/>
          <w:color w:val="auto"/>
        </w:rPr>
      </w:pPr>
    </w:p>
    <w:p>
      <w:pPr>
        <w:ind w:left="460" w:right="100" w:firstLine="443"/>
        <w:spacing w:after="0" w:line="294" w:lineRule="auto"/>
        <w:tabs>
          <w:tab w:leader="none" w:pos="1147" w:val="left"/>
        </w:tabs>
        <w:numPr>
          <w:ilvl w:val="1"/>
          <w:numId w:val="34"/>
        </w:numPr>
        <w:rPr>
          <w:rFonts w:ascii="Arial" w:cs="Arial" w:eastAsia="Arial" w:hAnsi="Arial"/>
          <w:sz w:val="16"/>
          <w:szCs w:val="16"/>
          <w:color w:val="auto"/>
        </w:rPr>
      </w:pPr>
      <w:r>
        <w:rPr>
          <w:rFonts w:ascii="Arial" w:cs="Arial" w:eastAsia="Arial" w:hAnsi="Arial"/>
          <w:sz w:val="16"/>
          <w:szCs w:val="16"/>
          <w:color w:val="auto"/>
        </w:rPr>
        <w:t>If Employee’s Termination of Employment (as defined below) occurs due to Retirement (as defined below), Disability (as defined below) or death (each, a “Qualifying Termination”) on or after the first anniversary of the Grant Date, then on the Vesting Date Employee shall vest in the number of Performance Share Units determined by multiplying (i) the number of Performance Share Units that would have vested as determined in accordance Subsection 2(a) had Employee’s Termination of Employment not occurred and (ii) a fraction, the numerator of which is the number of days that elapsed between the Grant Date and the date of Employee’s Termination of Employment and the denominator of which is 730.</w:t>
      </w:r>
    </w:p>
    <w:p>
      <w:pPr>
        <w:spacing w:after="0" w:line="34" w:lineRule="exact"/>
        <w:rPr>
          <w:rFonts w:ascii="Arial" w:cs="Arial" w:eastAsia="Arial" w:hAnsi="Arial"/>
          <w:sz w:val="16"/>
          <w:szCs w:val="16"/>
          <w:color w:val="auto"/>
        </w:rPr>
      </w:pPr>
    </w:p>
    <w:p>
      <w:pPr>
        <w:ind w:left="460" w:right="260" w:firstLine="443"/>
        <w:spacing w:after="0" w:line="306" w:lineRule="auto"/>
        <w:tabs>
          <w:tab w:leader="none" w:pos="1137" w:val="left"/>
        </w:tabs>
        <w:numPr>
          <w:ilvl w:val="1"/>
          <w:numId w:val="34"/>
        </w:numPr>
        <w:rPr>
          <w:rFonts w:ascii="Arial" w:cs="Arial" w:eastAsia="Arial" w:hAnsi="Arial"/>
          <w:sz w:val="16"/>
          <w:szCs w:val="16"/>
          <w:color w:val="auto"/>
        </w:rPr>
      </w:pPr>
      <w:r>
        <w:rPr>
          <w:rFonts w:ascii="Arial" w:cs="Arial" w:eastAsia="Arial" w:hAnsi="Arial"/>
          <w:sz w:val="16"/>
          <w:szCs w:val="16"/>
          <w:color w:val="auto"/>
        </w:rPr>
        <w:t>If Employee ceases to be employed in a position eligible to receive Performance Share Units pursuant to this Agreement (as determined by the Committee in its sole and absolute discretion) (an “Eligible Position”) on or after the first anniversary of the Grant Date, then on the Vesting Date Employee shall vest in the number of Performance Share Units determined by multiplying (i) the number of Performance Share</w:t>
      </w:r>
    </w:p>
    <w:p>
      <w:pPr>
        <w:sectPr>
          <w:pgSz w:w="11900" w:h="16838" w:orient="portrait"/>
          <w:cols w:equalWidth="0" w:num="1">
            <w:col w:w="11420"/>
          </w:cols>
          <w:pgMar w:left="240" w:top="131" w:right="239" w:bottom="1440" w:gutter="0" w:footer="0" w:header="0"/>
        </w:sectPr>
      </w:pPr>
    </w:p>
    <w:bookmarkStart w:id="39" w:name="page40"/>
    <w:bookmarkEnd w:id="39"/>
    <w:p>
      <w:pPr>
        <w:ind w:left="380" w:right="20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Units that would have vested as determined in accordance Subsection 2(a) had Employee not ceased to be employed in an Eligible Position and (ii) a fraction, the numerator of which is the number of days that elapsed between the Grant Date and the date Employee ceased to be employed in an Eligible Position and the denominator of which is 730, provided that Employee (x) is continuously employed by the Company through the Vesting Date or</w:t>
      </w:r>
    </w:p>
    <w:p>
      <w:pPr>
        <w:spacing w:after="0" w:line="1" w:lineRule="exact"/>
        <w:rPr>
          <w:sz w:val="20"/>
          <w:szCs w:val="20"/>
          <w:color w:val="auto"/>
        </w:rPr>
      </w:pPr>
    </w:p>
    <w:p>
      <w:pPr>
        <w:ind w:left="380" w:right="40" w:firstLine="4"/>
        <w:spacing w:after="0" w:line="292" w:lineRule="auto"/>
        <w:tabs>
          <w:tab w:leader="none" w:pos="629"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experiences a Qualifying Termination after Employee ceases to be employed in an Eligible Position. For the avoidance of doubt, if Employee experiences a Qualifying Termination after Employee ceases to be employed in an Eligible Position, the provisions of this Subsection 2(c) shall determine the number of Performance Share Units that shall vest on the Vesting Date. If Employee ceases to be employed in an Eligible Position and then is again employed is an Eligible Position (while remaining continuously employed by the Company) during the Performance Period, the numerator in clause (ii) of this Subsection 2(c) shall be equal to the total number of days that Employee is employed in an Eligible Position during the Performance Period.</w:t>
      </w:r>
    </w:p>
    <w:p>
      <w:pPr>
        <w:spacing w:after="0" w:line="117" w:lineRule="exact"/>
        <w:rPr>
          <w:sz w:val="20"/>
          <w:szCs w:val="20"/>
          <w:color w:val="auto"/>
        </w:rPr>
      </w:pPr>
    </w:p>
    <w:p>
      <w:pPr>
        <w:ind w:left="-80" w:right="60" w:firstLine="464"/>
        <w:spacing w:after="0" w:line="256" w:lineRule="auto"/>
        <w:tabs>
          <w:tab w:leader="none" w:pos="55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Settlement of Performance Share Units</w:t>
      </w:r>
      <w:r>
        <w:rPr>
          <w:rFonts w:ascii="Arial" w:cs="Arial" w:eastAsia="Arial" w:hAnsi="Arial"/>
          <w:sz w:val="18"/>
          <w:szCs w:val="18"/>
          <w:color w:val="auto"/>
        </w:rPr>
        <w:t>. Payment of vested Performance Share Units shall be made in shares of Common Stock as soon as administratively practicable, but in no event later than 2-1/2 months following the year in which the Performance Share Units vest (the “Settlement Date”); provided, however, that the Committee may, in its sole and absolute discretion, settle the vested Performance Share Units in cash based on the Fair Market Value of the shares of Common Stock on the Settlement Date.</w:t>
      </w:r>
    </w:p>
    <w:p>
      <w:pPr>
        <w:spacing w:after="0" w:line="143" w:lineRule="exact"/>
        <w:rPr>
          <w:rFonts w:ascii="Arial" w:cs="Arial" w:eastAsia="Arial" w:hAnsi="Arial"/>
          <w:sz w:val="18"/>
          <w:szCs w:val="18"/>
          <w:color w:val="auto"/>
        </w:rPr>
      </w:pPr>
    </w:p>
    <w:p>
      <w:pPr>
        <w:ind w:left="560" w:hanging="176"/>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Forfeitures of Performance Share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380" w:right="80" w:firstLine="443"/>
        <w:spacing w:after="0" w:line="298" w:lineRule="auto"/>
        <w:tabs>
          <w:tab w:leader="none" w:pos="1057" w:val="left"/>
        </w:tabs>
        <w:numPr>
          <w:ilvl w:val="1"/>
          <w:numId w:val="36"/>
        </w:numPr>
        <w:rPr>
          <w:rFonts w:ascii="Arial" w:cs="Arial" w:eastAsia="Arial" w:hAnsi="Arial"/>
          <w:sz w:val="16"/>
          <w:szCs w:val="16"/>
          <w:color w:val="auto"/>
        </w:rPr>
      </w:pPr>
      <w:r>
        <w:rPr>
          <w:rFonts w:ascii="Arial" w:cs="Arial" w:eastAsia="Arial" w:hAnsi="Arial"/>
          <w:sz w:val="16"/>
          <w:szCs w:val="16"/>
          <w:color w:val="auto"/>
        </w:rPr>
        <w:t>Until the Performance Period specified in Section 2 has expired, upon Employee’s Termination of Employment from the Company other than as described in Subsection 2(b) or Employee ceasing to be employed in an Eligible Position other than as described in Subsection 2(c), Employee shall immediately forfeit all Performance Share Units, without the payment of any consideration. Upon forfeiture, neither Employee nor any successors, heirs, assigns, or legal representatives of Employee shall thereafter have any further rights or interest in the Performance Share Units.</w:t>
      </w:r>
    </w:p>
    <w:p>
      <w:pPr>
        <w:spacing w:after="0" w:line="31" w:lineRule="exact"/>
        <w:rPr>
          <w:rFonts w:ascii="Arial" w:cs="Arial" w:eastAsia="Arial" w:hAnsi="Arial"/>
          <w:sz w:val="16"/>
          <w:szCs w:val="16"/>
          <w:color w:val="auto"/>
        </w:rPr>
      </w:pPr>
    </w:p>
    <w:p>
      <w:pPr>
        <w:ind w:left="380" w:right="260" w:firstLine="443"/>
        <w:spacing w:after="0" w:line="332" w:lineRule="auto"/>
        <w:tabs>
          <w:tab w:leader="none" w:pos="1067" w:val="left"/>
        </w:tabs>
        <w:numPr>
          <w:ilvl w:val="1"/>
          <w:numId w:val="36"/>
        </w:numPr>
        <w:rPr>
          <w:rFonts w:ascii="Arial" w:cs="Arial" w:eastAsia="Arial" w:hAnsi="Arial"/>
          <w:sz w:val="16"/>
          <w:szCs w:val="16"/>
          <w:color w:val="auto"/>
        </w:rPr>
      </w:pPr>
      <w:r>
        <w:rPr>
          <w:rFonts w:ascii="Arial" w:cs="Arial" w:eastAsia="Arial" w:hAnsi="Arial"/>
          <w:sz w:val="16"/>
          <w:szCs w:val="16"/>
          <w:color w:val="auto"/>
        </w:rPr>
        <w:t>Notwithstanding any provision in this Agreement to the contrary, if Employee engages in Detrimental Activity (as defined below) prior to the Settlement Date, Employee shall immediately forfeit all Performance Share Units without the payment of any consideration.</w:t>
      </w:r>
    </w:p>
    <w:p>
      <w:pPr>
        <w:spacing w:after="0" w:line="85" w:lineRule="exact"/>
        <w:rPr>
          <w:rFonts w:ascii="Arial" w:cs="Arial" w:eastAsia="Arial" w:hAnsi="Arial"/>
          <w:sz w:val="16"/>
          <w:szCs w:val="16"/>
          <w:color w:val="auto"/>
        </w:rPr>
      </w:pPr>
    </w:p>
    <w:p>
      <w:pPr>
        <w:ind w:left="560" w:hanging="176"/>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380" w:firstLine="443"/>
        <w:spacing w:after="0" w:line="259" w:lineRule="auto"/>
        <w:tabs>
          <w:tab w:leader="none" w:pos="10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Performance Share Units granted hereunder to Employee may not be sold, assigned, transferred, pledged or otherwise encumbered, whether voluntarily or involuntarily, by operation of law or otherwise, other than to the Company as a result of the forfeiture of units as provided herein or pursuant to Section 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7</w:t>
      </w:r>
    </w:p>
    <w:p>
      <w:pPr>
        <w:sectPr>
          <w:pgSz w:w="11900" w:h="16838" w:orient="portrait"/>
          <w:cols w:equalWidth="0" w:num="1">
            <w:col w:w="11280"/>
          </w:cols>
          <w:pgMar w:left="320" w:top="280" w:right="299" w:bottom="1440" w:gutter="0" w:footer="0" w:header="0"/>
        </w:sectPr>
      </w:pPr>
    </w:p>
    <w:bookmarkStart w:id="40" w:name="page41"/>
    <w:bookmarkEnd w:id="40"/>
    <w:p>
      <w:pPr>
        <w:ind w:left="440" w:firstLine="443"/>
        <w:spacing w:after="0" w:line="290" w:lineRule="auto"/>
        <w:tabs>
          <w:tab w:leader="none" w:pos="1127" w:val="left"/>
        </w:tabs>
        <w:numPr>
          <w:ilvl w:val="1"/>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 with the foregoing, except as contemplated by Section 10,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shall attempt to transfer, anticipate, alienate, assign, sell, pledge, encumber or charge any right or benefit hereunder, other than as contemplated by Section 10, or if any creditor shall attempt to subject the same to a writ of garnishment, attachment, execution, sequestration, or any other form of process or involuntary lien or seizure, then such attempt shall have no effect and shall be void.</w:t>
      </w:r>
    </w:p>
    <w:p>
      <w:pPr>
        <w:spacing w:after="0" w:line="118" w:lineRule="exact"/>
        <w:rPr>
          <w:rFonts w:ascii="Arial" w:cs="Arial" w:eastAsia="Arial" w:hAnsi="Arial"/>
          <w:sz w:val="16"/>
          <w:szCs w:val="16"/>
          <w:color w:val="auto"/>
        </w:rPr>
      </w:pPr>
    </w:p>
    <w:p>
      <w:pPr>
        <w:ind w:left="-20" w:right="160" w:firstLine="464"/>
        <w:spacing w:after="0" w:line="268" w:lineRule="auto"/>
        <w:tabs>
          <w:tab w:leader="none" w:pos="61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Employee shall have no rights as a stockholder with regard to the Performance Share Units. Rights as a stockholder shall arise only if the Performance Share Units are settled in shares of Common Stock as set forth in Section 3.</w:t>
      </w:r>
    </w:p>
    <w:p>
      <w:pPr>
        <w:spacing w:after="0" w:line="131" w:lineRule="exact"/>
        <w:rPr>
          <w:rFonts w:ascii="Arial" w:cs="Arial" w:eastAsia="Arial" w:hAnsi="Arial"/>
          <w:sz w:val="18"/>
          <w:szCs w:val="18"/>
          <w:color w:val="auto"/>
        </w:rPr>
      </w:pPr>
    </w:p>
    <w:p>
      <w:pPr>
        <w:ind w:left="-20" w:right="60" w:firstLine="464"/>
        <w:spacing w:after="0" w:line="290" w:lineRule="auto"/>
        <w:tabs>
          <w:tab w:leader="none" w:pos="61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To the extent that the receipt of the Performance Share Units or the payment upon lapse of any restrictions results in income to Employee for federal or state income tax purposes or in any other cases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from the payment for vested Performance Share Units or from any cash or other form of remuneration then or thereafter payable to Employee an amount equal to any tax required to be withheld by reason of such resulting compensation income. The Performance Share Units are intended to be “short-term deferrals” exempt from Section 409A and shall be construed and interpreted accordingly.</w:t>
      </w:r>
    </w:p>
    <w:p>
      <w:pPr>
        <w:spacing w:after="0" w:line="118" w:lineRule="exact"/>
        <w:rPr>
          <w:rFonts w:ascii="Arial" w:cs="Arial" w:eastAsia="Arial" w:hAnsi="Arial"/>
          <w:sz w:val="16"/>
          <w:szCs w:val="16"/>
          <w:color w:val="auto"/>
        </w:rPr>
      </w:pPr>
    </w:p>
    <w:p>
      <w:pPr>
        <w:ind w:left="-20" w:right="20" w:firstLine="464"/>
        <w:spacing w:after="0" w:line="306" w:lineRule="auto"/>
        <w:tabs>
          <w:tab w:leader="none" w:pos="61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Changes in Capital Structure</w:t>
      </w:r>
      <w:r>
        <w:rPr>
          <w:rFonts w:ascii="Arial" w:cs="Arial" w:eastAsia="Arial" w:hAnsi="Arial"/>
          <w:sz w:val="16"/>
          <w:szCs w:val="16"/>
          <w:color w:val="auto"/>
        </w:rPr>
        <w:t>. As more fully described in the Plan, if the outstanding shares of Common Stock shall at any time be changed or exchanged by declaration of a stock dividend, stock split, combination of shares, or recapitalization, the number and kind of Performance Share Units shall be appropriately and equitably adjusted so as to maintain their equivalence to the proportionate number of shares.</w:t>
      </w:r>
    </w:p>
    <w:p>
      <w:pPr>
        <w:spacing w:after="0" w:line="106" w:lineRule="exact"/>
        <w:rPr>
          <w:rFonts w:ascii="Arial" w:cs="Arial" w:eastAsia="Arial" w:hAnsi="Arial"/>
          <w:sz w:val="16"/>
          <w:szCs w:val="16"/>
          <w:color w:val="auto"/>
        </w:rPr>
      </w:pPr>
    </w:p>
    <w:p>
      <w:pPr>
        <w:ind w:left="-20" w:firstLine="464"/>
        <w:spacing w:after="0" w:line="294" w:lineRule="auto"/>
        <w:tabs>
          <w:tab w:leader="none" w:pos="61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w:t>
      </w:r>
      <w:r>
        <w:rPr>
          <w:rFonts w:ascii="Arial" w:cs="Arial" w:eastAsia="Arial" w:hAnsi="Arial"/>
          <w:sz w:val="16"/>
          <w:szCs w:val="16"/>
          <w:color w:val="auto"/>
        </w:rPr>
        <w:t>. The Company shall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15" w:lineRule="exact"/>
        <w:rPr>
          <w:rFonts w:ascii="Arial" w:cs="Arial" w:eastAsia="Arial" w:hAnsi="Arial"/>
          <w:sz w:val="16"/>
          <w:szCs w:val="16"/>
          <w:color w:val="auto"/>
        </w:rPr>
      </w:pPr>
    </w:p>
    <w:p>
      <w:pPr>
        <w:ind w:left="-20" w:right="20" w:firstLine="464"/>
        <w:spacing w:after="0" w:line="294"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The Performance Share Units are not transferable (either voluntarily or involuntarily) by the recipient except by will or the laws of descent and distribution. Payment of the Performance Share Units after your death shall be made to your estate or, in the sole and absolute discretion of the Committee, to the person or persons entitled to receive such payment under the laws of descent and distribution. No purported assignment or transfer, whether voluntary or involuntary, by operation of law or otherwise, shall vest in the purported assignee or transferee any interest or right therein whatsoever but immediately upon any such purported assignment or transfer, or any attempt to make the same, the Performance Share Units shall terminate and become of no further effect.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7</w:t>
      </w:r>
    </w:p>
    <w:p>
      <w:pPr>
        <w:sectPr>
          <w:pgSz w:w="11900" w:h="16838" w:orient="portrait"/>
          <w:cols w:equalWidth="0" w:num="1">
            <w:col w:w="11400"/>
          </w:cols>
          <w:pgMar w:left="260" w:top="280" w:right="239" w:bottom="1440" w:gutter="0" w:footer="0" w:header="0"/>
        </w:sectPr>
      </w:pPr>
    </w:p>
    <w:bookmarkStart w:id="41" w:name="page42"/>
    <w:bookmarkEnd w:id="41"/>
    <w:p>
      <w:pPr>
        <w:ind w:left="-60" w:right="60" w:firstLine="464"/>
        <w:spacing w:after="0" w:line="306" w:lineRule="auto"/>
        <w:tabs>
          <w:tab w:leader="none" w:pos="65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6"/>
          <w:szCs w:val="16"/>
          <w:color w:val="auto"/>
        </w:rPr>
        <w:t>. This Agreement shall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06" w:lineRule="exact"/>
        <w:rPr>
          <w:rFonts w:ascii="Arial" w:cs="Arial" w:eastAsia="Arial" w:hAnsi="Arial"/>
          <w:sz w:val="16"/>
          <w:szCs w:val="16"/>
          <w:color w:val="auto"/>
        </w:rPr>
      </w:pPr>
    </w:p>
    <w:p>
      <w:pPr>
        <w:ind w:left="660" w:hanging="25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90" w:lineRule="exact"/>
        <w:rPr>
          <w:rFonts w:ascii="Arial" w:cs="Arial" w:eastAsia="Arial" w:hAnsi="Arial"/>
          <w:sz w:val="18"/>
          <w:szCs w:val="18"/>
          <w:color w:val="auto"/>
        </w:rPr>
      </w:pPr>
    </w:p>
    <w:p>
      <w:pPr>
        <w:ind w:left="400" w:right="400" w:firstLine="443"/>
        <w:spacing w:after="0" w:line="268" w:lineRule="auto"/>
        <w:tabs>
          <w:tab w:leader="none" w:pos="1077" w:val="left"/>
        </w:tabs>
        <w:numPr>
          <w:ilvl w:val="1"/>
          <w:numId w:val="39"/>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Performance Share Units (or other form of stock incentive awards) other than in the sole discretion of the Committee;</w:t>
      </w:r>
    </w:p>
    <w:p>
      <w:pPr>
        <w:spacing w:after="0" w:line="50" w:lineRule="exact"/>
        <w:rPr>
          <w:rFonts w:ascii="Arial" w:cs="Arial" w:eastAsia="Arial" w:hAnsi="Arial"/>
          <w:sz w:val="18"/>
          <w:szCs w:val="18"/>
          <w:color w:val="auto"/>
        </w:rPr>
      </w:pPr>
    </w:p>
    <w:p>
      <w:pPr>
        <w:ind w:left="1100" w:hanging="257"/>
        <w:spacing w:after="0"/>
        <w:tabs>
          <w:tab w:leader="none" w:pos="1100" w:val="left"/>
        </w:tabs>
        <w:numPr>
          <w:ilvl w:val="1"/>
          <w:numId w:val="39"/>
        </w:numPr>
        <w:rPr>
          <w:rFonts w:ascii="Arial" w:cs="Arial" w:eastAsia="Arial" w:hAnsi="Arial"/>
          <w:sz w:val="15"/>
          <w:szCs w:val="15"/>
          <w:color w:val="auto"/>
        </w:rPr>
      </w:pPr>
      <w:r>
        <w:rPr>
          <w:rFonts w:ascii="Arial" w:cs="Arial" w:eastAsia="Arial" w:hAnsi="Arial"/>
          <w:sz w:val="15"/>
          <w:szCs w:val="15"/>
          <w:color w:val="auto"/>
        </w:rPr>
        <w:t>give Employee or any other person any interest in any fund or in any specified asset or assets of the Company (other than the Performance Share</w:t>
      </w:r>
    </w:p>
    <w:p>
      <w:pPr>
        <w:spacing w:after="0" w:line="49"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8"/>
          <w:szCs w:val="18"/>
          <w:color w:val="auto"/>
        </w:rPr>
        <w:t>Units); or</w:t>
      </w:r>
    </w:p>
    <w:p>
      <w:pPr>
        <w:spacing w:after="0" w:line="83" w:lineRule="exact"/>
        <w:rPr>
          <w:rFonts w:ascii="Arial" w:cs="Arial" w:eastAsia="Arial" w:hAnsi="Arial"/>
          <w:sz w:val="15"/>
          <w:szCs w:val="15"/>
          <w:color w:val="auto"/>
        </w:rPr>
      </w:pPr>
    </w:p>
    <w:p>
      <w:pPr>
        <w:ind w:left="1080" w:hanging="237"/>
        <w:spacing w:after="0"/>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 or any Subsidiary.</w:t>
      </w:r>
    </w:p>
    <w:p>
      <w:pPr>
        <w:spacing w:after="0" w:line="171" w:lineRule="exact"/>
        <w:rPr>
          <w:rFonts w:ascii="Arial" w:cs="Arial" w:eastAsia="Arial" w:hAnsi="Arial"/>
          <w:sz w:val="18"/>
          <w:szCs w:val="18"/>
          <w:color w:val="auto"/>
        </w:rPr>
      </w:pPr>
    </w:p>
    <w:p>
      <w:pPr>
        <w:ind w:left="-60" w:right="100" w:firstLine="464"/>
        <w:spacing w:after="0" w:line="26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131" w:lineRule="exact"/>
        <w:rPr>
          <w:rFonts w:ascii="Arial" w:cs="Arial" w:eastAsia="Arial" w:hAnsi="Arial"/>
          <w:sz w:val="18"/>
          <w:szCs w:val="18"/>
          <w:color w:val="auto"/>
        </w:rPr>
      </w:pPr>
    </w:p>
    <w:p>
      <w:pPr>
        <w:jc w:val="both"/>
        <w:ind w:left="-60" w:right="120" w:firstLine="464"/>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140" w:lineRule="exact"/>
        <w:rPr>
          <w:rFonts w:ascii="Arial" w:cs="Arial" w:eastAsia="Arial" w:hAnsi="Arial"/>
          <w:sz w:val="18"/>
          <w:szCs w:val="18"/>
          <w:color w:val="auto"/>
        </w:rPr>
      </w:pPr>
    </w:p>
    <w:p>
      <w:pPr>
        <w:ind w:left="-60" w:firstLine="464"/>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15.</w:t>
      </w:r>
    </w:p>
    <w:p>
      <w:pPr>
        <w:spacing w:after="0" w:line="59" w:lineRule="exact"/>
        <w:rPr>
          <w:rFonts w:ascii="Arial" w:cs="Arial" w:eastAsia="Arial" w:hAnsi="Arial"/>
          <w:sz w:val="18"/>
          <w:szCs w:val="18"/>
          <w:color w:val="auto"/>
        </w:rPr>
      </w:pPr>
    </w:p>
    <w:p>
      <w:pPr>
        <w:ind w:left="400" w:right="80" w:firstLine="443"/>
        <w:spacing w:after="0" w:line="290" w:lineRule="auto"/>
        <w:tabs>
          <w:tab w:leader="none" w:pos="1077"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“Detrimental Activity” means activity that is determined by the Committee in its sole and absolute discretion to be detrimental to the interests of the Company or any of its Subsidiaries, including but not limited to situations where a Employee: (i) divulges trade secrets, proprietary data or other confidential information relating to the Company or to the business of the Company and any Subsidiaries, (ii) enters into employment with or provides services to any company listed on the Philadelphia Oil Service Sector Index (or any successor index) as of the date of Employee’s Termination of Employment (or any affiliate thereof) under circumstances suggesting that Employee shall be using unique or special knowledge gained as a Company employee or Subsidiary employee to compete with the Company or its Subsidiaries, (iii) engages or employs, or solicits or contacts with a view to the engagement or employment of, any person who is an officer or employee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7</w:t>
      </w:r>
    </w:p>
    <w:p>
      <w:pPr>
        <w:sectPr>
          <w:pgSz w:w="11900" w:h="16838" w:orient="portrait"/>
          <w:cols w:equalWidth="0" w:num="1">
            <w:col w:w="11320"/>
          </w:cols>
          <w:pgMar w:left="300" w:top="280" w:right="279" w:bottom="1440" w:gutter="0" w:footer="0" w:header="0"/>
        </w:sectPr>
      </w:pPr>
    </w:p>
    <w:bookmarkStart w:id="42" w:name="page43"/>
    <w:bookmarkEnd w:id="4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its Subsidiaries, (iv) canvasses, solicits, approaches or entices away or causes to be canvassed, solicited, approached or enticed away from the Company or its Subsidiaries any person who or which is a customer of any of such entities during the Performance Period, (v) is determined to have engaged (whether or not prior to termination) in either gross misconduct or criminal activity harmful to the Company or a Subsidiary, or (vi) takes any action that harms the business interests, reputation, or goodwill of the Company or its Subsidiaries. The Committee may delegate its authority to determine whether Employee has engaged in “detrimental activity” to an officer of the Company or to a subcommittee of the Committee.</w:t>
      </w:r>
    </w:p>
    <w:p>
      <w:pPr>
        <w:spacing w:after="0" w:line="35" w:lineRule="exact"/>
        <w:rPr>
          <w:sz w:val="20"/>
          <w:szCs w:val="20"/>
          <w:color w:val="auto"/>
        </w:rPr>
      </w:pPr>
    </w:p>
    <w:p>
      <w:pPr>
        <w:ind w:right="140" w:firstLine="443"/>
        <w:spacing w:after="0" w:line="259" w:lineRule="auto"/>
        <w:tabs>
          <w:tab w:leader="none" w:pos="68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59" w:lineRule="exact"/>
        <w:rPr>
          <w:rFonts w:ascii="Arial" w:cs="Arial" w:eastAsia="Arial" w:hAnsi="Arial"/>
          <w:sz w:val="18"/>
          <w:szCs w:val="18"/>
          <w:color w:val="auto"/>
        </w:rPr>
      </w:pPr>
    </w:p>
    <w:p>
      <w:pPr>
        <w:ind w:right="80" w:firstLine="443"/>
        <w:spacing w:after="0" w:line="268" w:lineRule="auto"/>
        <w:tabs>
          <w:tab w:leader="none" w:pos="677"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“Retirement” means the Termination of Employment of Employee with the Company and all Subsidiaries at or after (i) age 55 or (ii) age 50 and completion of at least 10 years of service with the Company and all Subsidiaries.</w:t>
      </w:r>
    </w:p>
    <w:p>
      <w:pPr>
        <w:spacing w:after="0" w:line="50" w:lineRule="exact"/>
        <w:rPr>
          <w:rFonts w:ascii="Arial" w:cs="Arial" w:eastAsia="Arial" w:hAnsi="Arial"/>
          <w:sz w:val="18"/>
          <w:szCs w:val="18"/>
          <w:color w:val="auto"/>
        </w:rPr>
      </w:pPr>
    </w:p>
    <w:p>
      <w:pPr>
        <w:ind w:right="20" w:firstLine="443"/>
        <w:spacing w:after="0" w:line="256" w:lineRule="auto"/>
        <w:tabs>
          <w:tab w:leader="none" w:pos="68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and its Subsidiaries. Temporary absences from employment because of illness, vacation or leave of absence and transfers among the Company and its Subsidiaries shall not be considered a Termination of Employment. Any questions as to whether and when there has been a Termination of Employment, and the cause of such termination, shall be determined by the Committee in its sole and absolute discretion.</w:t>
      </w:r>
    </w:p>
    <w:p>
      <w:pPr>
        <w:spacing w:after="0" w:line="143" w:lineRule="exact"/>
        <w:rPr>
          <w:rFonts w:ascii="Arial" w:cs="Arial" w:eastAsia="Arial" w:hAnsi="Arial"/>
          <w:sz w:val="18"/>
          <w:szCs w:val="18"/>
          <w:color w:val="auto"/>
        </w:rPr>
      </w:pPr>
    </w:p>
    <w:p>
      <w:pPr>
        <w:ind w:left="260" w:hanging="256"/>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20" w:firstLine="443"/>
        <w:spacing w:after="0" w:line="335" w:lineRule="auto"/>
        <w:tabs>
          <w:tab w:leader="none" w:pos="677" w:val="left"/>
        </w:tabs>
        <w:numPr>
          <w:ilvl w:val="1"/>
          <w:numId w:val="41"/>
        </w:numPr>
        <w:rPr>
          <w:rFonts w:ascii="Arial" w:cs="Arial" w:eastAsia="Arial" w:hAnsi="Arial"/>
          <w:sz w:val="15"/>
          <w:szCs w:val="15"/>
          <w:color w:val="auto"/>
        </w:rPr>
      </w:pPr>
      <w:r>
        <w:rPr>
          <w:rFonts w:ascii="Arial" w:cs="Arial" w:eastAsia="Arial" w:hAnsi="Arial"/>
          <w:sz w:val="15"/>
          <w:szCs w:val="15"/>
          <w:color w:val="auto"/>
        </w:rPr>
        <w:t>Employee hereby acknowledges that he or she has received, reviewed and accepted the terms and conditions applicable to this Agreement. Employee hereby accepts such terms and conditions, subject to the provisions of the Plan and administrative interpretations thereof. Employee further agrees that such terms and conditions shall control this Agreement, notwithstanding any provisions in any employment agreement or in any prior awards.</w:t>
      </w:r>
    </w:p>
    <w:p>
      <w:pPr>
        <w:spacing w:after="0" w:line="7" w:lineRule="exact"/>
        <w:rPr>
          <w:rFonts w:ascii="Arial" w:cs="Arial" w:eastAsia="Arial" w:hAnsi="Arial"/>
          <w:sz w:val="15"/>
          <w:szCs w:val="15"/>
          <w:color w:val="auto"/>
        </w:rPr>
      </w:pPr>
    </w:p>
    <w:p>
      <w:pPr>
        <w:ind w:right="80" w:firstLine="443"/>
        <w:spacing w:after="0" w:line="268" w:lineRule="auto"/>
        <w:tabs>
          <w:tab w:leader="none" w:pos="6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Employee hereby acknowledges that he or she is to consult with and rely upon only Employee’s own tax, legal, and financial advisors regarding the consequences and risks of this Agreement and the award of Performance Share Units.</w:t>
      </w:r>
    </w:p>
    <w:p>
      <w:pPr>
        <w:spacing w:after="0" w:line="50" w:lineRule="exact"/>
        <w:rPr>
          <w:rFonts w:ascii="Arial" w:cs="Arial" w:eastAsia="Arial" w:hAnsi="Arial"/>
          <w:sz w:val="18"/>
          <w:szCs w:val="18"/>
          <w:color w:val="auto"/>
        </w:rPr>
      </w:pPr>
    </w:p>
    <w:p>
      <w:pPr>
        <w:ind w:right="20" w:firstLine="443"/>
        <w:spacing w:after="0" w:line="332" w:lineRule="auto"/>
        <w:tabs>
          <w:tab w:leader="none" w:pos="677"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4" w:lineRule="exact"/>
        <w:rPr>
          <w:rFonts w:ascii="Arial" w:cs="Arial" w:eastAsia="Arial" w:hAnsi="Arial"/>
          <w:sz w:val="16"/>
          <w:szCs w:val="16"/>
          <w:color w:val="auto"/>
        </w:rPr>
      </w:pPr>
    </w:p>
    <w:p>
      <w:pPr>
        <w:ind w:right="40" w:firstLine="443"/>
        <w:spacing w:after="0" w:line="256" w:lineRule="auto"/>
        <w:tabs>
          <w:tab w:leader="none" w:pos="6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Texas (except that no effect shall be given to any conflicts of law principles thereof that would require the application of the laws of another jurisdiction). Venue for any dispute arising under this Agreement shall lie exclusively in the state and/or federal courts of Harris County, Texas and the Southern District of Texas, Houston Division, respectively.</w:t>
      </w:r>
    </w:p>
    <w:p>
      <w:pPr>
        <w:spacing w:after="0" w:line="13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5 of 7</w:t>
      </w:r>
    </w:p>
    <w:p>
      <w:pPr>
        <w:sectPr>
          <w:pgSz w:w="11900" w:h="16838" w:orient="portrait"/>
          <w:cols w:equalWidth="0" w:num="1">
            <w:col w:w="10900"/>
          </w:cols>
          <w:pgMar w:left="700" w:top="280" w:right="29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Schlumberger Limited has caused this Agreement to be duly executed by one of its officers thereunto duly authorized, and Employee has executed this Agreement, effective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Page 6 of 7</w:t>
      </w:r>
    </w:p>
    <w:p>
      <w:pPr>
        <w:sectPr>
          <w:pgSz w:w="11900" w:h="16838" w:orient="portrait"/>
          <w:cols w:equalWidth="0" w:num="1">
            <w:col w:w="11020"/>
          </w:cols>
          <w:pgMar w:left="240" w:top="280" w:right="63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Performance Condition</w:t>
      </w:r>
    </w:p>
    <w:p>
      <w:pPr>
        <w:spacing w:after="0" w:line="14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Subject to the provisions of this Agreement, vesting of the Performance Share Units is conditioned upon the Company achieving average annual Return on Capital Employed (“ROCE”) of greater than 12.5% for the period beginning on January 1, 2013 and ending on December 31, 2014 (the “Measurement Period”). ROCE means the sum of (i) income from continuing operations before charges and credits and (ii) the after tax impact of net interest expense, divided by the sum of (x) the average quarterly equity, including noncontrolling interests and (y) the average quarterly net debt.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Average Annual ROCE shall be calculated as the average ROCE for each calendar year contained in the Measurement Period.</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number of Performance Share Units that shall vest as of the vesting date shall be equal to the product of (i) the Target Performance Share Units and (ii) the Payout Factor (with any fractional shares rounded up to the next whole share).</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ROCE achieved shall be certified by the Committee and shall determine the Payout Factor based on the chart below. The Payout Factor for ROCE achievement levels between points on this chart shall be determined by linear interpolation between the values listed. In no event shall the Payout Factor exceed 250%. If the ROCE achieved is less than or equal to 12.5%, the Payout Factor shall be zero.</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4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Average Annual ROCE Achieved</w:t>
            </w:r>
          </w:p>
        </w:tc>
        <w:tc>
          <w:tcPr>
            <w:tcW w:w="3560" w:type="dxa"/>
            <w:vAlign w:val="bottom"/>
          </w:tcPr>
          <w:p>
            <w:pPr>
              <w:ind w:left="1360"/>
              <w:spacing w:after="0"/>
              <w:rPr>
                <w:sz w:val="20"/>
                <w:szCs w:val="20"/>
                <w:color w:val="auto"/>
              </w:rPr>
            </w:pPr>
            <w:r>
              <w:rPr>
                <w:rFonts w:ascii="Arial" w:cs="Arial" w:eastAsia="Arial" w:hAnsi="Arial"/>
                <w:sz w:val="14"/>
                <w:szCs w:val="14"/>
                <w:b w:val="1"/>
                <w:bCs w:val="1"/>
                <w:color w:val="auto"/>
              </w:rPr>
              <w:t>Payout Factor</w:t>
            </w:r>
          </w:p>
        </w:tc>
      </w:tr>
      <w:tr>
        <w:trPr>
          <w:trHeight w:val="210"/>
        </w:trPr>
        <w:tc>
          <w:tcPr>
            <w:tcW w:w="3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Less than or equal to 12.5%</w:t>
            </w:r>
          </w:p>
        </w:tc>
        <w:tc>
          <w:tcPr>
            <w:tcW w:w="24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0%</w:t>
            </w:r>
          </w:p>
        </w:tc>
      </w:tr>
      <w:tr>
        <w:trPr>
          <w:trHeight w:val="216"/>
        </w:trPr>
        <w:tc>
          <w:tcPr>
            <w:tcW w:w="4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15% (“Target”)</w:t>
            </w: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24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r>
      <w:tr>
        <w:trPr>
          <w:trHeight w:val="222"/>
        </w:trPr>
        <w:tc>
          <w:tcPr>
            <w:tcW w:w="42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Greater than or equal to 25%</w:t>
            </w: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250%</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 of 7</w:t>
      </w:r>
    </w:p>
    <w:p>
      <w:pPr>
        <w:sectPr>
          <w:pgSz w:w="11900" w:h="16838" w:orient="portrait"/>
          <w:cols w:equalWidth="0" w:num="1">
            <w:col w:w="11360"/>
          </w:cols>
          <w:pgMar w:left="240" w:top="274" w:right="2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10.6</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2010 OMNIBUS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THREE YEAR PERFORMANCE SHARE UNIT AWARD AGREEMENT</w:t>
      </w:r>
    </w:p>
    <w:p>
      <w:pPr>
        <w:spacing w:after="0" w:line="165" w:lineRule="exact"/>
        <w:rPr>
          <w:sz w:val="20"/>
          <w:szCs w:val="20"/>
          <w:color w:val="auto"/>
        </w:rPr>
      </w:pPr>
    </w:p>
    <w:p>
      <w:pPr>
        <w:ind w:left="880" w:right="300" w:hanging="420"/>
        <w:spacing w:after="0" w:line="305" w:lineRule="auto"/>
        <w:rPr>
          <w:sz w:val="20"/>
          <w:szCs w:val="20"/>
          <w:color w:val="auto"/>
        </w:rPr>
      </w:pPr>
      <w:r>
        <w:rPr>
          <w:rFonts w:ascii="Arial" w:cs="Arial" w:eastAsia="Arial" w:hAnsi="Arial"/>
          <w:sz w:val="15"/>
          <w:szCs w:val="15"/>
          <w:color w:val="auto"/>
        </w:rPr>
        <w:t>This Performance Share Unit Award Agreement (“Agreement”) is entered into effective by and between Schlumberger Limited (the “Company”), and (“Employee”), pursuant to the Schlumberger 2010 Omnibus Stock Incentive Plan (the “Plan”). Employee and the Company agree to execute such</w:t>
      </w:r>
    </w:p>
    <w:p>
      <w:pPr>
        <w:spacing w:after="0"/>
        <w:rPr>
          <w:sz w:val="20"/>
          <w:szCs w:val="20"/>
          <w:color w:val="auto"/>
        </w:rPr>
      </w:pPr>
      <w:r>
        <w:rPr>
          <w:rFonts w:ascii="Arial" w:cs="Arial" w:eastAsia="Arial" w:hAnsi="Arial"/>
          <w:sz w:val="18"/>
          <w:szCs w:val="18"/>
          <w:color w:val="auto"/>
        </w:rPr>
        <w:t>further instruments and to take such further action as may reasonably be necessary to carry out the intent of this Agreement.</w:t>
      </w:r>
    </w:p>
    <w:p>
      <w:pPr>
        <w:spacing w:after="0" w:line="165" w:lineRule="exact"/>
        <w:rPr>
          <w:sz w:val="20"/>
          <w:szCs w:val="20"/>
          <w:color w:val="auto"/>
        </w:rPr>
      </w:pPr>
    </w:p>
    <w:p>
      <w:pPr>
        <w:ind w:right="100" w:firstLine="464"/>
        <w:spacing w:after="0" w:line="254" w:lineRule="auto"/>
        <w:tabs>
          <w:tab w:leader="none" w:pos="63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In consideration of Employee’s continued employment as hereinafter set forth, the Company hereby grants to Employee an award of “Performance Share Units”, provided that (except as otherwise provided in this Agreement) the final number of Performance Share Units shall be determined in accordance with the performance criteria set forth on Attachment I. The Target Performance Share Units subject to this award is set forth in an award notice previously delivered to Employee. The Performance Share Units are notional units of measurement denominated in shares of Common Stock. Each Performance Share Unit represents a right to receive one share of Common Stock or equivalent value, subject to the conditions and restrictions on transferability set forth below and in the Plan.</w:t>
      </w:r>
    </w:p>
    <w:p>
      <w:pPr>
        <w:spacing w:after="0" w:line="144" w:lineRule="exact"/>
        <w:rPr>
          <w:rFonts w:ascii="Arial" w:cs="Arial" w:eastAsia="Arial" w:hAnsi="Arial"/>
          <w:sz w:val="18"/>
          <w:szCs w:val="18"/>
          <w:color w:val="auto"/>
        </w:rPr>
      </w:pPr>
    </w:p>
    <w:p>
      <w:pPr>
        <w:ind w:right="100" w:firstLine="464"/>
        <w:spacing w:after="0" w:line="259" w:lineRule="auto"/>
        <w:tabs>
          <w:tab w:leader="none" w:pos="63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Vesting of Performance Share Units</w:t>
      </w:r>
      <w:r>
        <w:rPr>
          <w:rFonts w:ascii="Arial" w:cs="Arial" w:eastAsia="Arial" w:hAnsi="Arial"/>
          <w:sz w:val="18"/>
          <w:szCs w:val="18"/>
          <w:color w:val="auto"/>
        </w:rPr>
        <w:t>. The period of time between the date of grant specified in the award notice (the “Grant Date”) and the vesting of Performance Share Units (and the termination of restrictions thereon) shall be referred to herein as the “Performance Period.” The Performance Share Units shall become vested as follows:</w:t>
      </w:r>
    </w:p>
    <w:p>
      <w:pPr>
        <w:spacing w:after="0" w:line="59" w:lineRule="exact"/>
        <w:rPr>
          <w:rFonts w:ascii="Arial" w:cs="Arial" w:eastAsia="Arial" w:hAnsi="Arial"/>
          <w:sz w:val="18"/>
          <w:szCs w:val="18"/>
          <w:color w:val="auto"/>
        </w:rPr>
      </w:pPr>
    </w:p>
    <w:p>
      <w:pPr>
        <w:ind w:left="460" w:right="140" w:firstLine="443"/>
        <w:spacing w:after="0" w:line="306" w:lineRule="auto"/>
        <w:tabs>
          <w:tab w:leader="none" w:pos="1137" w:val="left"/>
        </w:tabs>
        <w:numPr>
          <w:ilvl w:val="1"/>
          <w:numId w:val="42"/>
        </w:numPr>
        <w:rPr>
          <w:rFonts w:ascii="Arial" w:cs="Arial" w:eastAsia="Arial" w:hAnsi="Arial"/>
          <w:sz w:val="16"/>
          <w:szCs w:val="16"/>
          <w:color w:val="auto"/>
        </w:rPr>
      </w:pPr>
      <w:r>
        <w:rPr>
          <w:rFonts w:ascii="Arial" w:cs="Arial" w:eastAsia="Arial" w:hAnsi="Arial"/>
          <w:sz w:val="16"/>
          <w:szCs w:val="16"/>
          <w:color w:val="auto"/>
        </w:rPr>
        <w:t>On January 17, 2016 (the “Vesting Date”), a number of Performance Share Units shall vest based on the extent to which the Company has satisfied the performance condition set forth on Attachment I to this Agreement, provided that Employee is continuously employed by the Company in an Eligible Position (as defined below) through the Vesting Date and has not experienced a Termination of Employment as of such date.</w:t>
      </w:r>
    </w:p>
    <w:p>
      <w:pPr>
        <w:spacing w:after="0" w:line="25" w:lineRule="exact"/>
        <w:rPr>
          <w:rFonts w:ascii="Arial" w:cs="Arial" w:eastAsia="Arial" w:hAnsi="Arial"/>
          <w:sz w:val="16"/>
          <w:szCs w:val="16"/>
          <w:color w:val="auto"/>
        </w:rPr>
      </w:pPr>
    </w:p>
    <w:p>
      <w:pPr>
        <w:ind w:left="460" w:right="100" w:firstLine="443"/>
        <w:spacing w:after="0" w:line="294" w:lineRule="auto"/>
        <w:tabs>
          <w:tab w:leader="none" w:pos="1147" w:val="left"/>
        </w:tabs>
        <w:numPr>
          <w:ilvl w:val="1"/>
          <w:numId w:val="42"/>
        </w:numPr>
        <w:rPr>
          <w:rFonts w:ascii="Arial" w:cs="Arial" w:eastAsia="Arial" w:hAnsi="Arial"/>
          <w:sz w:val="16"/>
          <w:szCs w:val="16"/>
          <w:color w:val="auto"/>
        </w:rPr>
      </w:pPr>
      <w:r>
        <w:rPr>
          <w:rFonts w:ascii="Arial" w:cs="Arial" w:eastAsia="Arial" w:hAnsi="Arial"/>
          <w:sz w:val="16"/>
          <w:szCs w:val="16"/>
          <w:color w:val="auto"/>
        </w:rPr>
        <w:t>If Employee’s Termination of Employment (as defined below) occurs due to Retirement (as defined below), Disability (as defined below) or death (each, a “Qualifying Termination”) on or after the first anniversary of the Grant Date, then on the Vesting Date Employee shall vest in the number of Performance Share Units determined by multiplying (i) the number of Performance Share Units that would have vested as determined in accordance Subsection 2(a) had Employee’s Termination of Employment not occurred and (ii) a fraction, the numerator of which is the number of days that elapsed between the Grant Date and the date of Employee’s Termination of Employment and the denominator of which is 1095.</w:t>
      </w:r>
    </w:p>
    <w:p>
      <w:pPr>
        <w:spacing w:after="0" w:line="34" w:lineRule="exact"/>
        <w:rPr>
          <w:rFonts w:ascii="Arial" w:cs="Arial" w:eastAsia="Arial" w:hAnsi="Arial"/>
          <w:sz w:val="16"/>
          <w:szCs w:val="16"/>
          <w:color w:val="auto"/>
        </w:rPr>
      </w:pPr>
    </w:p>
    <w:p>
      <w:pPr>
        <w:ind w:left="460" w:right="260" w:firstLine="443"/>
        <w:spacing w:after="0" w:line="306" w:lineRule="auto"/>
        <w:tabs>
          <w:tab w:leader="none" w:pos="1137" w:val="left"/>
        </w:tabs>
        <w:numPr>
          <w:ilvl w:val="1"/>
          <w:numId w:val="42"/>
        </w:numPr>
        <w:rPr>
          <w:rFonts w:ascii="Arial" w:cs="Arial" w:eastAsia="Arial" w:hAnsi="Arial"/>
          <w:sz w:val="16"/>
          <w:szCs w:val="16"/>
          <w:color w:val="auto"/>
        </w:rPr>
      </w:pPr>
      <w:r>
        <w:rPr>
          <w:rFonts w:ascii="Arial" w:cs="Arial" w:eastAsia="Arial" w:hAnsi="Arial"/>
          <w:sz w:val="16"/>
          <w:szCs w:val="16"/>
          <w:color w:val="auto"/>
        </w:rPr>
        <w:t>If Employee ceases to be employed in a position eligible to receive Performance Share Units pursuant to this Agreement (as determined by the Committee in its sole and absolute discretion) (an “Eligible Position”) on or after the first anniversary of the Grant Date, then on the Vesting Date Employee shall vest in the number of Performance Share Units determined by multiplying (i) the number of Performance Share</w:t>
      </w:r>
    </w:p>
    <w:p>
      <w:pPr>
        <w:sectPr>
          <w:pgSz w:w="11900" w:h="16838" w:orient="portrait"/>
          <w:cols w:equalWidth="0" w:num="1">
            <w:col w:w="11420"/>
          </w:cols>
          <w:pgMar w:left="240" w:top="131" w:right="239" w:bottom="1440" w:gutter="0" w:footer="0" w:header="0"/>
        </w:sectPr>
      </w:pPr>
    </w:p>
    <w:bookmarkStart w:id="46" w:name="page47"/>
    <w:bookmarkEnd w:id="46"/>
    <w:p>
      <w:pPr>
        <w:ind w:left="380" w:right="20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Units that would have vested as determined in accordance Subsection 2(a) had Employee not ceased to be employed in an Eligible Position and (ii) a fraction, the numerator of which is the number of days that elapsed between the Grant Date and the date Employee ceased to be employed in an Eligible Position and the denominator of which is 1095, provided that Employee (x) is continuously employed by the Company through the Vesting Date or</w:t>
      </w:r>
    </w:p>
    <w:p>
      <w:pPr>
        <w:spacing w:after="0" w:line="1" w:lineRule="exact"/>
        <w:rPr>
          <w:sz w:val="20"/>
          <w:szCs w:val="20"/>
          <w:color w:val="auto"/>
        </w:rPr>
      </w:pPr>
    </w:p>
    <w:p>
      <w:pPr>
        <w:ind w:left="380" w:right="40" w:firstLine="4"/>
        <w:spacing w:after="0" w:line="292" w:lineRule="auto"/>
        <w:tabs>
          <w:tab w:leader="none" w:pos="629"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experiences a Qualifying Termination after Employee ceases to be employed in an Eligible Position. For the avoidance of doubt, if Employee experiences a Qualifying Termination after Employee ceases to be employed in an Eligible Position, the provisions of this Subsection 2(c) shall determine the number of Performance Share Units that shall vest on the Vesting Date. If Employee ceases to be employed in an Eligible Position and then is again employed is an Eligible Position (while remaining continuously employed by the Company) during the Performance Period, the numerator in clause (ii) of this Subsection 2(c) shall be equal to the total number of days that Employee is employed in an Eligible Position during the Performance Period.</w:t>
      </w:r>
    </w:p>
    <w:p>
      <w:pPr>
        <w:spacing w:after="0" w:line="117" w:lineRule="exact"/>
        <w:rPr>
          <w:sz w:val="20"/>
          <w:szCs w:val="20"/>
          <w:color w:val="auto"/>
        </w:rPr>
      </w:pPr>
    </w:p>
    <w:p>
      <w:pPr>
        <w:ind w:left="-80" w:right="60" w:firstLine="464"/>
        <w:spacing w:after="0" w:line="256" w:lineRule="auto"/>
        <w:tabs>
          <w:tab w:leader="none" w:pos="5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Settlement of Performance Share Units</w:t>
      </w:r>
      <w:r>
        <w:rPr>
          <w:rFonts w:ascii="Arial" w:cs="Arial" w:eastAsia="Arial" w:hAnsi="Arial"/>
          <w:sz w:val="18"/>
          <w:szCs w:val="18"/>
          <w:color w:val="auto"/>
        </w:rPr>
        <w:t>. Payment of vested Performance Share Units shall be made in shares of Common Stock as soon as administratively practicable, but in no event later than 2-1/2 months following the year in which the Performance Share Units vest (the “Settlement Date”); provided, however, that the Committee may, in its sole and absolute discretion, settle the vested Performance Share Units in cash based on the Fair Market Value of the shares of Common Stock on the Settlement Date.</w:t>
      </w:r>
    </w:p>
    <w:p>
      <w:pPr>
        <w:spacing w:after="0" w:line="143" w:lineRule="exact"/>
        <w:rPr>
          <w:rFonts w:ascii="Arial" w:cs="Arial" w:eastAsia="Arial" w:hAnsi="Arial"/>
          <w:sz w:val="18"/>
          <w:szCs w:val="18"/>
          <w:color w:val="auto"/>
        </w:rPr>
      </w:pPr>
    </w:p>
    <w:p>
      <w:pPr>
        <w:ind w:left="560" w:hanging="176"/>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Forfeitures of Performance Share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380" w:right="80" w:firstLine="443"/>
        <w:spacing w:after="0" w:line="298" w:lineRule="auto"/>
        <w:tabs>
          <w:tab w:leader="none" w:pos="1057" w:val="left"/>
        </w:tabs>
        <w:numPr>
          <w:ilvl w:val="1"/>
          <w:numId w:val="44"/>
        </w:numPr>
        <w:rPr>
          <w:rFonts w:ascii="Arial" w:cs="Arial" w:eastAsia="Arial" w:hAnsi="Arial"/>
          <w:sz w:val="16"/>
          <w:szCs w:val="16"/>
          <w:color w:val="auto"/>
        </w:rPr>
      </w:pPr>
      <w:r>
        <w:rPr>
          <w:rFonts w:ascii="Arial" w:cs="Arial" w:eastAsia="Arial" w:hAnsi="Arial"/>
          <w:sz w:val="16"/>
          <w:szCs w:val="16"/>
          <w:color w:val="auto"/>
        </w:rPr>
        <w:t>Until the Performance Period specified in Section 2 has expired, upon Employee’s Termination of Employment from the Company other than as described in Subsection 2(b) or Employee ceasing to be employed in an Eligible Position other than as described in Subsection 2(c), Employee shall immediately forfeit all Performance Share Units, without the payment of any consideration. Upon forfeiture, neither Employee nor any successors, heirs, assigns, or legal representatives of Employee shall thereafter have any further rights or interest in the Performance Share Units.</w:t>
      </w:r>
    </w:p>
    <w:p>
      <w:pPr>
        <w:spacing w:after="0" w:line="31" w:lineRule="exact"/>
        <w:rPr>
          <w:rFonts w:ascii="Arial" w:cs="Arial" w:eastAsia="Arial" w:hAnsi="Arial"/>
          <w:sz w:val="16"/>
          <w:szCs w:val="16"/>
          <w:color w:val="auto"/>
        </w:rPr>
      </w:pPr>
    </w:p>
    <w:p>
      <w:pPr>
        <w:ind w:left="380" w:right="260" w:firstLine="443"/>
        <w:spacing w:after="0" w:line="332" w:lineRule="auto"/>
        <w:tabs>
          <w:tab w:leader="none" w:pos="1067" w:val="left"/>
        </w:tabs>
        <w:numPr>
          <w:ilvl w:val="1"/>
          <w:numId w:val="44"/>
        </w:numPr>
        <w:rPr>
          <w:rFonts w:ascii="Arial" w:cs="Arial" w:eastAsia="Arial" w:hAnsi="Arial"/>
          <w:sz w:val="16"/>
          <w:szCs w:val="16"/>
          <w:color w:val="auto"/>
        </w:rPr>
      </w:pPr>
      <w:r>
        <w:rPr>
          <w:rFonts w:ascii="Arial" w:cs="Arial" w:eastAsia="Arial" w:hAnsi="Arial"/>
          <w:sz w:val="16"/>
          <w:szCs w:val="16"/>
          <w:color w:val="auto"/>
        </w:rPr>
        <w:t>Notwithstanding any provision in this Agreement to the contrary, if Employee engages in Detrimental Activity (as defined below) prior to the Settlement Date, Employee shall immediately forfeit all Performance Share Units without the payment of any consideration.</w:t>
      </w:r>
    </w:p>
    <w:p>
      <w:pPr>
        <w:spacing w:after="0" w:line="85" w:lineRule="exact"/>
        <w:rPr>
          <w:rFonts w:ascii="Arial" w:cs="Arial" w:eastAsia="Arial" w:hAnsi="Arial"/>
          <w:sz w:val="16"/>
          <w:szCs w:val="16"/>
          <w:color w:val="auto"/>
        </w:rPr>
      </w:pPr>
    </w:p>
    <w:p>
      <w:pPr>
        <w:ind w:left="560" w:hanging="176"/>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380" w:firstLine="443"/>
        <w:spacing w:after="0" w:line="259" w:lineRule="auto"/>
        <w:tabs>
          <w:tab w:leader="none" w:pos="1057" w:val="left"/>
        </w:tabs>
        <w:numPr>
          <w:ilvl w:val="1"/>
          <w:numId w:val="44"/>
        </w:numPr>
        <w:rPr>
          <w:rFonts w:ascii="Arial" w:cs="Arial" w:eastAsia="Arial" w:hAnsi="Arial"/>
          <w:sz w:val="18"/>
          <w:szCs w:val="18"/>
          <w:color w:val="auto"/>
        </w:rPr>
      </w:pPr>
      <w:r>
        <w:rPr>
          <w:rFonts w:ascii="Arial" w:cs="Arial" w:eastAsia="Arial" w:hAnsi="Arial"/>
          <w:sz w:val="18"/>
          <w:szCs w:val="18"/>
          <w:color w:val="auto"/>
        </w:rPr>
        <w:t>Performance Share Units granted hereunder to Employee may not be sold, assigned, transferred, pledged or otherwise encumbered, whether voluntarily or involuntarily, by operation of law or otherwise, other than to the Company as a result of the forfeiture of units as provided herein or pursuant to Section 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7</w:t>
      </w:r>
    </w:p>
    <w:p>
      <w:pPr>
        <w:sectPr>
          <w:pgSz w:w="11900" w:h="16838" w:orient="portrait"/>
          <w:cols w:equalWidth="0" w:num="1">
            <w:col w:w="11280"/>
          </w:cols>
          <w:pgMar w:left="320" w:top="280" w:right="299" w:bottom="1440" w:gutter="0" w:footer="0" w:header="0"/>
        </w:sectPr>
      </w:pPr>
    </w:p>
    <w:bookmarkStart w:id="47" w:name="page48"/>
    <w:bookmarkEnd w:id="47"/>
    <w:p>
      <w:pPr>
        <w:ind w:left="440" w:firstLine="443"/>
        <w:spacing w:after="0" w:line="290" w:lineRule="auto"/>
        <w:tabs>
          <w:tab w:leader="none" w:pos="1127" w:val="left"/>
        </w:tabs>
        <w:numPr>
          <w:ilvl w:val="1"/>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 with the foregoing, except as contemplated by Section 10,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shall attempt to transfer, anticipate, alienate, assign, sell, pledge, encumber or charge any right or benefit hereunder, other than as contemplated by Section 10, or if any creditor shall attempt to subject the same to a writ of garnishment, attachment, execution, sequestration, or any other form of process or involuntary lien or seizure, then such attempt shall have no effect and shall be void.</w:t>
      </w:r>
    </w:p>
    <w:p>
      <w:pPr>
        <w:spacing w:after="0" w:line="118" w:lineRule="exact"/>
        <w:rPr>
          <w:rFonts w:ascii="Arial" w:cs="Arial" w:eastAsia="Arial" w:hAnsi="Arial"/>
          <w:sz w:val="16"/>
          <w:szCs w:val="16"/>
          <w:color w:val="auto"/>
        </w:rPr>
      </w:pPr>
    </w:p>
    <w:p>
      <w:pPr>
        <w:ind w:left="-20" w:right="160" w:firstLine="464"/>
        <w:spacing w:after="0" w:line="268" w:lineRule="auto"/>
        <w:tabs>
          <w:tab w:leader="none" w:pos="61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Employee shall have no rights as a stockholder with regard to the Performance Share Units. Rights as a stockholder shall arise only if the Performance Share Units are settled in shares of Common Stock as set forth in Section 3.</w:t>
      </w:r>
    </w:p>
    <w:p>
      <w:pPr>
        <w:spacing w:after="0" w:line="131" w:lineRule="exact"/>
        <w:rPr>
          <w:rFonts w:ascii="Arial" w:cs="Arial" w:eastAsia="Arial" w:hAnsi="Arial"/>
          <w:sz w:val="18"/>
          <w:szCs w:val="18"/>
          <w:color w:val="auto"/>
        </w:rPr>
      </w:pPr>
    </w:p>
    <w:p>
      <w:pPr>
        <w:ind w:left="-20" w:right="60" w:firstLine="464"/>
        <w:spacing w:after="0" w:line="290" w:lineRule="auto"/>
        <w:tabs>
          <w:tab w:leader="none" w:pos="61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To the extent that the receipt of the Performance Share Units or the payment upon lapse of any restrictions results in income to Employee for federal or state income tax purposes or in any other cases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from the payment for vested Performance Share Units or from any cash or other form of remuneration then or thereafter payable to Employee an amount equal to any tax required to be withheld by reason of such resulting compensation income. The Performance Share Units are intended to be “short-term deferrals” exempt from Section 409A and shall be construed and interpreted accordingly.</w:t>
      </w:r>
    </w:p>
    <w:p>
      <w:pPr>
        <w:spacing w:after="0" w:line="118" w:lineRule="exact"/>
        <w:rPr>
          <w:rFonts w:ascii="Arial" w:cs="Arial" w:eastAsia="Arial" w:hAnsi="Arial"/>
          <w:sz w:val="16"/>
          <w:szCs w:val="16"/>
          <w:color w:val="auto"/>
        </w:rPr>
      </w:pPr>
    </w:p>
    <w:p>
      <w:pPr>
        <w:ind w:left="-20" w:right="20" w:firstLine="464"/>
        <w:spacing w:after="0" w:line="306" w:lineRule="auto"/>
        <w:tabs>
          <w:tab w:leader="none" w:pos="61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Changes in Capital Structure</w:t>
      </w:r>
      <w:r>
        <w:rPr>
          <w:rFonts w:ascii="Arial" w:cs="Arial" w:eastAsia="Arial" w:hAnsi="Arial"/>
          <w:sz w:val="16"/>
          <w:szCs w:val="16"/>
          <w:color w:val="auto"/>
        </w:rPr>
        <w:t>. As more fully described in the Plan, if the outstanding shares of Common Stock shall at any time be changed or exchanged by declaration of a stock dividend, stock split, combination of shares, or recapitalization, the number and kind of Performance Share Units shall be appropriately and equitably adjusted so as to maintain their equivalence to the proportionate number of shares.</w:t>
      </w:r>
    </w:p>
    <w:p>
      <w:pPr>
        <w:spacing w:after="0" w:line="106" w:lineRule="exact"/>
        <w:rPr>
          <w:rFonts w:ascii="Arial" w:cs="Arial" w:eastAsia="Arial" w:hAnsi="Arial"/>
          <w:sz w:val="16"/>
          <w:szCs w:val="16"/>
          <w:color w:val="auto"/>
        </w:rPr>
      </w:pPr>
    </w:p>
    <w:p>
      <w:pPr>
        <w:ind w:left="-20" w:firstLine="464"/>
        <w:spacing w:after="0" w:line="294" w:lineRule="auto"/>
        <w:tabs>
          <w:tab w:leader="none" w:pos="61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w:t>
      </w:r>
      <w:r>
        <w:rPr>
          <w:rFonts w:ascii="Arial" w:cs="Arial" w:eastAsia="Arial" w:hAnsi="Arial"/>
          <w:sz w:val="16"/>
          <w:szCs w:val="16"/>
          <w:color w:val="auto"/>
        </w:rPr>
        <w:t>. The Company shall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15" w:lineRule="exact"/>
        <w:rPr>
          <w:rFonts w:ascii="Arial" w:cs="Arial" w:eastAsia="Arial" w:hAnsi="Arial"/>
          <w:sz w:val="16"/>
          <w:szCs w:val="16"/>
          <w:color w:val="auto"/>
        </w:rPr>
      </w:pPr>
    </w:p>
    <w:p>
      <w:pPr>
        <w:ind w:left="-20" w:right="20" w:firstLine="464"/>
        <w:spacing w:after="0" w:line="294"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The Performance Share Units are not transferable (either voluntarily or involuntarily) by the recipient except by will or the laws of descent and distribution. Payment of the Performance Share Units after your death shall be made to your estate or, in the sole and absolute discretion of the Committee, to the person or persons entitled to receive such payment under the laws of descent and distribution. No purported assignment or transfer, whether voluntary or involuntary, by operation of law or otherwise, shall vest in the purported assignee or transferee any interest or right therein whatsoever but immediately upon any such purported assignment or transfer, or any attempt to make the same, the Performance Share Units shall terminate and become of no further effect.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7</w:t>
      </w:r>
    </w:p>
    <w:p>
      <w:pPr>
        <w:sectPr>
          <w:pgSz w:w="11900" w:h="16838" w:orient="portrait"/>
          <w:cols w:equalWidth="0" w:num="1">
            <w:col w:w="11400"/>
          </w:cols>
          <w:pgMar w:left="260" w:top="280" w:right="239" w:bottom="1440" w:gutter="0" w:footer="0" w:header="0"/>
        </w:sectPr>
      </w:pPr>
    </w:p>
    <w:bookmarkStart w:id="48" w:name="page49"/>
    <w:bookmarkEnd w:id="48"/>
    <w:p>
      <w:pPr>
        <w:ind w:left="-60" w:right="60" w:firstLine="464"/>
        <w:spacing w:after="0" w:line="306" w:lineRule="auto"/>
        <w:tabs>
          <w:tab w:leader="none" w:pos="65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6"/>
          <w:szCs w:val="16"/>
          <w:color w:val="auto"/>
        </w:rPr>
        <w:t>. This Agreement shall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06" w:lineRule="exact"/>
        <w:rPr>
          <w:rFonts w:ascii="Arial" w:cs="Arial" w:eastAsia="Arial" w:hAnsi="Arial"/>
          <w:sz w:val="16"/>
          <w:szCs w:val="16"/>
          <w:color w:val="auto"/>
        </w:rPr>
      </w:pPr>
    </w:p>
    <w:p>
      <w:pPr>
        <w:ind w:left="660" w:hanging="25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90" w:lineRule="exact"/>
        <w:rPr>
          <w:rFonts w:ascii="Arial" w:cs="Arial" w:eastAsia="Arial" w:hAnsi="Arial"/>
          <w:sz w:val="18"/>
          <w:szCs w:val="18"/>
          <w:color w:val="auto"/>
        </w:rPr>
      </w:pPr>
    </w:p>
    <w:p>
      <w:pPr>
        <w:ind w:left="400" w:right="400" w:firstLine="443"/>
        <w:spacing w:after="0" w:line="268" w:lineRule="auto"/>
        <w:tabs>
          <w:tab w:leader="none" w:pos="1077" w:val="left"/>
        </w:tabs>
        <w:numPr>
          <w:ilvl w:val="1"/>
          <w:numId w:val="47"/>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Performance Share Units (or other form of stock incentive awards) other than in the sole discretion of the Committee;</w:t>
      </w:r>
    </w:p>
    <w:p>
      <w:pPr>
        <w:spacing w:after="0" w:line="50" w:lineRule="exact"/>
        <w:rPr>
          <w:rFonts w:ascii="Arial" w:cs="Arial" w:eastAsia="Arial" w:hAnsi="Arial"/>
          <w:sz w:val="18"/>
          <w:szCs w:val="18"/>
          <w:color w:val="auto"/>
        </w:rPr>
      </w:pPr>
    </w:p>
    <w:p>
      <w:pPr>
        <w:ind w:left="1100" w:hanging="257"/>
        <w:spacing w:after="0"/>
        <w:tabs>
          <w:tab w:leader="none" w:pos="1100" w:val="left"/>
        </w:tabs>
        <w:numPr>
          <w:ilvl w:val="1"/>
          <w:numId w:val="47"/>
        </w:numPr>
        <w:rPr>
          <w:rFonts w:ascii="Arial" w:cs="Arial" w:eastAsia="Arial" w:hAnsi="Arial"/>
          <w:sz w:val="15"/>
          <w:szCs w:val="15"/>
          <w:color w:val="auto"/>
        </w:rPr>
      </w:pPr>
      <w:r>
        <w:rPr>
          <w:rFonts w:ascii="Arial" w:cs="Arial" w:eastAsia="Arial" w:hAnsi="Arial"/>
          <w:sz w:val="15"/>
          <w:szCs w:val="15"/>
          <w:color w:val="auto"/>
        </w:rPr>
        <w:t>give Employee or any other person any interest in any fund or in any specified asset or assets of the Company (other than the Performance Share</w:t>
      </w:r>
    </w:p>
    <w:p>
      <w:pPr>
        <w:spacing w:after="0" w:line="49"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8"/>
          <w:szCs w:val="18"/>
          <w:color w:val="auto"/>
        </w:rPr>
        <w:t>Units); or</w:t>
      </w:r>
    </w:p>
    <w:p>
      <w:pPr>
        <w:spacing w:after="0" w:line="83" w:lineRule="exact"/>
        <w:rPr>
          <w:rFonts w:ascii="Arial" w:cs="Arial" w:eastAsia="Arial" w:hAnsi="Arial"/>
          <w:sz w:val="15"/>
          <w:szCs w:val="15"/>
          <w:color w:val="auto"/>
        </w:rPr>
      </w:pPr>
    </w:p>
    <w:p>
      <w:pPr>
        <w:ind w:left="1080" w:hanging="237"/>
        <w:spacing w:after="0"/>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 or any Subsidiary.</w:t>
      </w:r>
    </w:p>
    <w:p>
      <w:pPr>
        <w:spacing w:after="0" w:line="171" w:lineRule="exact"/>
        <w:rPr>
          <w:rFonts w:ascii="Arial" w:cs="Arial" w:eastAsia="Arial" w:hAnsi="Arial"/>
          <w:sz w:val="18"/>
          <w:szCs w:val="18"/>
          <w:color w:val="auto"/>
        </w:rPr>
      </w:pPr>
    </w:p>
    <w:p>
      <w:pPr>
        <w:ind w:left="-60" w:right="100" w:firstLine="464"/>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131" w:lineRule="exact"/>
        <w:rPr>
          <w:rFonts w:ascii="Arial" w:cs="Arial" w:eastAsia="Arial" w:hAnsi="Arial"/>
          <w:sz w:val="18"/>
          <w:szCs w:val="18"/>
          <w:color w:val="auto"/>
        </w:rPr>
      </w:pPr>
    </w:p>
    <w:p>
      <w:pPr>
        <w:jc w:val="both"/>
        <w:ind w:left="-60" w:right="120" w:firstLine="464"/>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140" w:lineRule="exact"/>
        <w:rPr>
          <w:rFonts w:ascii="Arial" w:cs="Arial" w:eastAsia="Arial" w:hAnsi="Arial"/>
          <w:sz w:val="18"/>
          <w:szCs w:val="18"/>
          <w:color w:val="auto"/>
        </w:rPr>
      </w:pPr>
    </w:p>
    <w:p>
      <w:pPr>
        <w:ind w:left="-60" w:firstLine="464"/>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15.</w:t>
      </w:r>
    </w:p>
    <w:p>
      <w:pPr>
        <w:spacing w:after="0" w:line="59" w:lineRule="exact"/>
        <w:rPr>
          <w:rFonts w:ascii="Arial" w:cs="Arial" w:eastAsia="Arial" w:hAnsi="Arial"/>
          <w:sz w:val="18"/>
          <w:szCs w:val="18"/>
          <w:color w:val="auto"/>
        </w:rPr>
      </w:pPr>
    </w:p>
    <w:p>
      <w:pPr>
        <w:ind w:left="400" w:right="80" w:firstLine="443"/>
        <w:spacing w:after="0" w:line="290" w:lineRule="auto"/>
        <w:tabs>
          <w:tab w:leader="none" w:pos="1077"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“Detrimental Activity” means activity that is determined by the Committee in its sole and absolute discretion to be detrimental to the interests of the Company or any of its Subsidiaries, including but not limited to situations where a Employee: (i) divulges trade secrets, proprietary data or other confidential information relating to the Company or to the business of the Company and any Subsidiaries, (ii) enters into employment with or provides services to any company listed on the Philadelphia Oil Service Sector Index (or any successor index) as of the date of Employee’s Termination of Employment (or any affiliate thereof) under circumstances suggesting that Employee shall be using unique or special knowledge gained as a Company employee or Subsidiary employee to compete with the Company or its Subsidiaries, (iii) engages or employs, or solicits or contacts with a view to the engagement or employment of, any person who is an officer or employee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7</w:t>
      </w:r>
    </w:p>
    <w:p>
      <w:pPr>
        <w:sectPr>
          <w:pgSz w:w="11900" w:h="16838" w:orient="portrait"/>
          <w:cols w:equalWidth="0" w:num="1">
            <w:col w:w="11320"/>
          </w:cols>
          <w:pgMar w:left="300" w:top="280" w:right="279" w:bottom="1440" w:gutter="0" w:footer="0" w:header="0"/>
        </w:sectPr>
      </w:pPr>
    </w:p>
    <w:bookmarkStart w:id="49" w:name="page50"/>
    <w:bookmarkEnd w:id="49"/>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its Subsidiaries, (iv) canvasses, solicits, approaches or entices away or causes to be canvassed, solicited, approached or enticed away from the Company or its Subsidiaries any person who or which is a customer of any of such entities during the Performance Period, (v) is determined to have engaged (whether or not prior to termination) in either gross misconduct or criminal activity harmful to the Company or a Subsidiary, or (vi) takes any action that harms the business interests, reputation, or goodwill of the Company or its Subsidiaries. The Committee may delegate its authority to determine whether Employee has engaged in “detrimental activity” to an officer of the Company or to a subcommittee of the Committee.</w:t>
      </w:r>
    </w:p>
    <w:p>
      <w:pPr>
        <w:spacing w:after="0" w:line="35" w:lineRule="exact"/>
        <w:rPr>
          <w:sz w:val="20"/>
          <w:szCs w:val="20"/>
          <w:color w:val="auto"/>
        </w:rPr>
      </w:pPr>
    </w:p>
    <w:p>
      <w:pPr>
        <w:ind w:right="140" w:firstLine="443"/>
        <w:spacing w:after="0" w:line="259" w:lineRule="auto"/>
        <w:tabs>
          <w:tab w:leader="none" w:pos="68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59" w:lineRule="exact"/>
        <w:rPr>
          <w:rFonts w:ascii="Arial" w:cs="Arial" w:eastAsia="Arial" w:hAnsi="Arial"/>
          <w:sz w:val="18"/>
          <w:szCs w:val="18"/>
          <w:color w:val="auto"/>
        </w:rPr>
      </w:pPr>
    </w:p>
    <w:p>
      <w:pPr>
        <w:ind w:right="80" w:firstLine="443"/>
        <w:spacing w:after="0" w:line="268" w:lineRule="auto"/>
        <w:tabs>
          <w:tab w:leader="none" w:pos="677"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“Retirement” means the Termination of Employment of Employee with the Company and all Subsidiaries at or after (i) age 55 or (ii) age 50 and completion of at least 10 years of service with the Company and all Subsidiaries.</w:t>
      </w:r>
    </w:p>
    <w:p>
      <w:pPr>
        <w:spacing w:after="0" w:line="50" w:lineRule="exact"/>
        <w:rPr>
          <w:rFonts w:ascii="Arial" w:cs="Arial" w:eastAsia="Arial" w:hAnsi="Arial"/>
          <w:sz w:val="18"/>
          <w:szCs w:val="18"/>
          <w:color w:val="auto"/>
        </w:rPr>
      </w:pPr>
    </w:p>
    <w:p>
      <w:pPr>
        <w:ind w:right="20" w:firstLine="443"/>
        <w:spacing w:after="0" w:line="256" w:lineRule="auto"/>
        <w:tabs>
          <w:tab w:leader="none" w:pos="687" w:val="left"/>
        </w:tabs>
        <w:numPr>
          <w:ilvl w:val="1"/>
          <w:numId w:val="48"/>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and its Subsidiaries. Temporary absences from employment because of illness, vacation or leave of absence and transfers among the Company and its Subsidiaries shall not be considered a Termination of Employment. Any questions as to whether and when there has been a Termination of Employment, and the cause of such termination, shall be determined by the Committee in its sole and absolute discretion.</w:t>
      </w:r>
    </w:p>
    <w:p>
      <w:pPr>
        <w:spacing w:after="0" w:line="143" w:lineRule="exact"/>
        <w:rPr>
          <w:rFonts w:ascii="Arial" w:cs="Arial" w:eastAsia="Arial" w:hAnsi="Arial"/>
          <w:sz w:val="18"/>
          <w:szCs w:val="18"/>
          <w:color w:val="auto"/>
        </w:rPr>
      </w:pPr>
    </w:p>
    <w:p>
      <w:pPr>
        <w:ind w:left="260" w:hanging="256"/>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20" w:firstLine="443"/>
        <w:spacing w:after="0" w:line="335" w:lineRule="auto"/>
        <w:tabs>
          <w:tab w:leader="none" w:pos="677" w:val="left"/>
        </w:tabs>
        <w:numPr>
          <w:ilvl w:val="1"/>
          <w:numId w:val="49"/>
        </w:numPr>
        <w:rPr>
          <w:rFonts w:ascii="Arial" w:cs="Arial" w:eastAsia="Arial" w:hAnsi="Arial"/>
          <w:sz w:val="15"/>
          <w:szCs w:val="15"/>
          <w:color w:val="auto"/>
        </w:rPr>
      </w:pPr>
      <w:r>
        <w:rPr>
          <w:rFonts w:ascii="Arial" w:cs="Arial" w:eastAsia="Arial" w:hAnsi="Arial"/>
          <w:sz w:val="15"/>
          <w:szCs w:val="15"/>
          <w:color w:val="auto"/>
        </w:rPr>
        <w:t>Employee hereby acknowledges that he or she has received, reviewed and accepted the terms and conditions applicable to this Agreement. Employee hereby accepts such terms and conditions, subject to the provisions of the Plan and administrative interpretations thereof. Employee further agrees that such terms and conditions shall control this Agreement, notwithstanding any provisions in any employment agreement or in any prior awards.</w:t>
      </w:r>
    </w:p>
    <w:p>
      <w:pPr>
        <w:spacing w:after="0" w:line="7" w:lineRule="exact"/>
        <w:rPr>
          <w:rFonts w:ascii="Arial" w:cs="Arial" w:eastAsia="Arial" w:hAnsi="Arial"/>
          <w:sz w:val="15"/>
          <w:szCs w:val="15"/>
          <w:color w:val="auto"/>
        </w:rPr>
      </w:pPr>
    </w:p>
    <w:p>
      <w:pPr>
        <w:ind w:right="80" w:firstLine="443"/>
        <w:spacing w:after="0" w:line="268" w:lineRule="auto"/>
        <w:tabs>
          <w:tab w:leader="none" w:pos="687" w:val="left"/>
        </w:tabs>
        <w:numPr>
          <w:ilvl w:val="1"/>
          <w:numId w:val="49"/>
        </w:numPr>
        <w:rPr>
          <w:rFonts w:ascii="Arial" w:cs="Arial" w:eastAsia="Arial" w:hAnsi="Arial"/>
          <w:sz w:val="18"/>
          <w:szCs w:val="18"/>
          <w:color w:val="auto"/>
        </w:rPr>
      </w:pPr>
      <w:r>
        <w:rPr>
          <w:rFonts w:ascii="Arial" w:cs="Arial" w:eastAsia="Arial" w:hAnsi="Arial"/>
          <w:sz w:val="18"/>
          <w:szCs w:val="18"/>
          <w:color w:val="auto"/>
        </w:rPr>
        <w:t>Employee hereby acknowledges that he or she is to consult with and rely upon only Employee’s own tax, legal, and financial advisors regarding the consequences and risks of this Agreement and the award of Performance Share Units.</w:t>
      </w:r>
    </w:p>
    <w:p>
      <w:pPr>
        <w:spacing w:after="0" w:line="50" w:lineRule="exact"/>
        <w:rPr>
          <w:rFonts w:ascii="Arial" w:cs="Arial" w:eastAsia="Arial" w:hAnsi="Arial"/>
          <w:sz w:val="18"/>
          <w:szCs w:val="18"/>
          <w:color w:val="auto"/>
        </w:rPr>
      </w:pPr>
    </w:p>
    <w:p>
      <w:pPr>
        <w:ind w:right="20" w:firstLine="443"/>
        <w:spacing w:after="0" w:line="332" w:lineRule="auto"/>
        <w:tabs>
          <w:tab w:leader="none" w:pos="677"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4" w:lineRule="exact"/>
        <w:rPr>
          <w:rFonts w:ascii="Arial" w:cs="Arial" w:eastAsia="Arial" w:hAnsi="Arial"/>
          <w:sz w:val="16"/>
          <w:szCs w:val="16"/>
          <w:color w:val="auto"/>
        </w:rPr>
      </w:pPr>
    </w:p>
    <w:p>
      <w:pPr>
        <w:ind w:right="40" w:firstLine="443"/>
        <w:spacing w:after="0" w:line="256" w:lineRule="auto"/>
        <w:tabs>
          <w:tab w:leader="none" w:pos="687"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Texas (except that no effect shall be given to any conflicts of law principles thereof that would require the application of the laws of another jurisdiction). Venue for any dispute arising under this Agreement shall lie exclusively in the state and/or federal courts of Harris County, Texas and the Southern District of Texas, Houston Division, respectively.</w:t>
      </w:r>
    </w:p>
    <w:p>
      <w:pPr>
        <w:spacing w:after="0" w:line="13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5 of 7</w:t>
      </w:r>
    </w:p>
    <w:p>
      <w:pPr>
        <w:sectPr>
          <w:pgSz w:w="11900" w:h="16838" w:orient="portrait"/>
          <w:cols w:equalWidth="0" w:num="1">
            <w:col w:w="10900"/>
          </w:cols>
          <w:pgMar w:left="700" w:top="280" w:right="299"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Schlumberger Limited has caused this Agreement to be duly executed by one of its officers thereunto duly authorized, and Employee has executed this Agreement, effective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Page 6 of 7</w:t>
      </w:r>
    </w:p>
    <w:p>
      <w:pPr>
        <w:sectPr>
          <w:pgSz w:w="11900" w:h="16838" w:orient="portrait"/>
          <w:cols w:equalWidth="0" w:num="1">
            <w:col w:w="11020"/>
          </w:cols>
          <w:pgMar w:left="240" w:top="280" w:right="63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Performance Condition</w:t>
      </w:r>
    </w:p>
    <w:p>
      <w:pPr>
        <w:spacing w:after="0" w:line="16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Subject to the provisions of this Agreement, vesting of the Performance Share Units is conditioned upon the Company achieving average annual Return on Capital Employed (“ROCE”) of greater than 12.5% for the period beginning on January 1, 2013 and ending on December 31, 2015 (the “Measurement Period”). ROCE means the sum of (i) income from continuing operations before charges and credits and (ii) the after tax impact of net interest expense, divided by the sum of (x) the average quarterly equity, including noncontrolling interests and (y) the average quarterly net debt.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Average Annual ROCE shall be calculated as the average ROCE for each calendar year contained in the Measurement Period.</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number of Performance Share Units that shall vest as of the vesting date shall be equal to the product of (i) the Target Performance Share Units and (ii) the Payout Factor (with any fractional shares rounded up to the next whole share).</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ROCE achieved shall be certified by the Committee and shall determine the Payout Factor based on the chart below. The Payout Factor for ROCE achievement levels between points on this chart shall be determined by linear interpolation between the values listed. In no event shall the Payout Factor exceed 250%. If the ROCE achieved is less than or equal to 12.5%, the Payout Factor shall be zero.</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4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Average Annual ROCE Achieved</w:t>
            </w:r>
          </w:p>
        </w:tc>
        <w:tc>
          <w:tcPr>
            <w:tcW w:w="3560" w:type="dxa"/>
            <w:vAlign w:val="bottom"/>
          </w:tcPr>
          <w:p>
            <w:pPr>
              <w:ind w:left="1360"/>
              <w:spacing w:after="0"/>
              <w:rPr>
                <w:sz w:val="20"/>
                <w:szCs w:val="20"/>
                <w:color w:val="auto"/>
              </w:rPr>
            </w:pPr>
            <w:r>
              <w:rPr>
                <w:rFonts w:ascii="Arial" w:cs="Arial" w:eastAsia="Arial" w:hAnsi="Arial"/>
                <w:sz w:val="14"/>
                <w:szCs w:val="14"/>
                <w:b w:val="1"/>
                <w:bCs w:val="1"/>
                <w:color w:val="auto"/>
              </w:rPr>
              <w:t>Payout Factor</w:t>
            </w:r>
          </w:p>
        </w:tc>
      </w:tr>
      <w:tr>
        <w:trPr>
          <w:trHeight w:val="210"/>
        </w:trPr>
        <w:tc>
          <w:tcPr>
            <w:tcW w:w="3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Less than or equal to 12.5%</w:t>
            </w:r>
          </w:p>
        </w:tc>
        <w:tc>
          <w:tcPr>
            <w:tcW w:w="24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0%</w:t>
            </w:r>
          </w:p>
        </w:tc>
      </w:tr>
      <w:tr>
        <w:trPr>
          <w:trHeight w:val="216"/>
        </w:trPr>
        <w:tc>
          <w:tcPr>
            <w:tcW w:w="4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15% (“Target”)</w:t>
            </w: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24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r>
      <w:tr>
        <w:trPr>
          <w:trHeight w:val="222"/>
        </w:trPr>
        <w:tc>
          <w:tcPr>
            <w:tcW w:w="42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Greater than or equal to 25%</w:t>
            </w: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250%</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 of 7</w:t>
      </w:r>
    </w:p>
    <w:p>
      <w:pPr>
        <w:sectPr>
          <w:pgSz w:w="11900" w:h="16838" w:orient="portrait"/>
          <w:cols w:equalWidth="0" w:num="1">
            <w:col w:w="11360"/>
          </w:cols>
          <w:pgMar w:left="240" w:top="274" w:right="2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10.7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of the Schlumberger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Omnibus Stock Incentive Plan for Employees in France</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Board of Directors (the “Board”) of Schlumberger Limited (the “Company”) has established the Schlumberger 2010 Omnibus Stock Incentive Plan (the “2010 Plan”) in order to 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This includes the Company’s branch in France and the Company’s subsidiaries in France of which the Company holds directly or indirectly at least 50% of the share capital (the “French Subsidiary”).</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Section 21 of the 2010 Plan specifically authorizes the Committee to establish sub-plans as the Committee deems appropriate or advisable to implement the 2010 Plan.</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Committee, therefore, intends with this document to establish a sub-plan of the 2010 Plan for the purpose of granting awards that qualify for the specific treatment applicable to French Qualified Stock-Options, French Qualified Restricted Stock Units and French Qualified Performance Share Units awards to employees who are resident of France and who are or may become subject to French tax (i.e. income tax and/or social security tax) as a result of awards granted under the 2010 Plan (the “French Grantees”). The terms of the 2010 Plan, as set out in Appendix 1, 2, 3 &amp; 4 hereto, shall, subject to the modifications in the following rules, constitute the Rules of the Schlumberger 2010 Omnibus Stock Incentive Plan for Employees in France (the “French Plan”).</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adoption of this French Plan shall not confer upon the French Grantees, or any employees of the French Subsidiary, any employment rights and shall not be construed as part of the French Grantees’ employment contracts, if any. Subject to the terms of the 2010 Plan, the Committee reserves the right to amend or terminate the French Plan at any time. Such amendments would only apply to future grants and would not be retroactive.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amendment and restatement of the French Plan is effective as of January 1, 2013 and is adopted as of April 18, 2013.</w:t>
      </w:r>
    </w:p>
    <w:p>
      <w:pPr>
        <w:sectPr>
          <w:pgSz w:w="11900" w:h="16838" w:orient="portrait"/>
          <w:cols w:equalWidth="0" w:num="1">
            <w:col w:w="11420"/>
          </w:cols>
          <w:pgMar w:left="240" w:top="13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 French Terms applicable to Stock-Options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is intended that Stock-Options granted under the French Plan shall qualify for the specific tax and social security charges treatment applicable to French Qualified Stock-Options granted under Articles L. 225-177 to L. 225-186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w:t>
      </w:r>
    </w:p>
    <w:p>
      <w:pPr>
        <w:spacing w:after="0" w:line="191"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9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Capitalized terms not otherwise defined herein shall have the same meanings as set forth in the 2010 Plan. The terms set out below will have the following meanings:</w:t>
      </w:r>
    </w:p>
    <w:p>
      <w:pPr>
        <w:spacing w:after="0" w:line="51" w:lineRule="exact"/>
        <w:rPr>
          <w:sz w:val="20"/>
          <w:szCs w:val="20"/>
          <w:color w:val="auto"/>
        </w:rPr>
      </w:pPr>
    </w:p>
    <w:p>
      <w:pPr>
        <w:ind w:left="900" w:hanging="446"/>
        <w:spacing w:after="0"/>
        <w:tabs>
          <w:tab w:leader="none" w:pos="900" w:val="left"/>
        </w:tabs>
        <w:numPr>
          <w:ilvl w:val="1"/>
          <w:numId w:val="51"/>
        </w:numPr>
        <w:rPr>
          <w:rFonts w:ascii="Arial" w:cs="Arial" w:eastAsia="Arial" w:hAnsi="Arial"/>
          <w:sz w:val="18"/>
          <w:szCs w:val="18"/>
          <w:b w:val="1"/>
          <w:bCs w:val="1"/>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The term “Option” shall have the following meaning:</w:t>
      </w:r>
    </w:p>
    <w:p>
      <w:pPr>
        <w:spacing w:after="0" w:line="90" w:lineRule="exact"/>
        <w:rPr>
          <w:rFonts w:ascii="Arial" w:cs="Arial" w:eastAsia="Arial" w:hAnsi="Arial"/>
          <w:sz w:val="18"/>
          <w:szCs w:val="18"/>
          <w:b w:val="1"/>
          <w:bCs w:val="1"/>
          <w:color w:val="auto"/>
        </w:rPr>
      </w:pPr>
    </w:p>
    <w:p>
      <w:pPr>
        <w:ind w:left="1480" w:right="40" w:hanging="567"/>
        <w:spacing w:after="0" w:line="268" w:lineRule="auto"/>
        <w:tabs>
          <w:tab w:leader="none" w:pos="1480" w:val="left"/>
        </w:tabs>
        <w:numPr>
          <w:ilvl w:val="3"/>
          <w:numId w:val="51"/>
        </w:numPr>
        <w:rPr>
          <w:rFonts w:ascii="Arial" w:cs="Arial" w:eastAsia="Arial" w:hAnsi="Arial"/>
          <w:sz w:val="18"/>
          <w:szCs w:val="18"/>
          <w:b w:val="1"/>
          <w:bCs w:val="1"/>
          <w:color w:val="auto"/>
        </w:rPr>
      </w:pPr>
      <w:r>
        <w:rPr>
          <w:rFonts w:ascii="Arial" w:cs="Arial" w:eastAsia="Arial" w:hAnsi="Arial"/>
          <w:sz w:val="18"/>
          <w:szCs w:val="18"/>
          <w:color w:val="auto"/>
        </w:rPr>
        <w:t>Purchase stock options that are rights to acquire shares of Common Shares of the Company (“Shares”) repurchased by the Company prior to the vesting of the Options; or</w:t>
      </w:r>
    </w:p>
    <w:p>
      <w:pPr>
        <w:spacing w:after="0" w:line="50" w:lineRule="exact"/>
        <w:rPr>
          <w:rFonts w:ascii="Arial" w:cs="Arial" w:eastAsia="Arial" w:hAnsi="Arial"/>
          <w:sz w:val="18"/>
          <w:szCs w:val="18"/>
          <w:b w:val="1"/>
          <w:bCs w:val="1"/>
          <w:color w:val="auto"/>
        </w:rPr>
      </w:pPr>
    </w:p>
    <w:p>
      <w:pPr>
        <w:ind w:left="1480" w:hanging="567"/>
        <w:spacing w:after="0"/>
        <w:tabs>
          <w:tab w:leader="none" w:pos="1480" w:val="left"/>
        </w:tabs>
        <w:numPr>
          <w:ilvl w:val="3"/>
          <w:numId w:val="51"/>
        </w:numPr>
        <w:rPr>
          <w:rFonts w:ascii="Arial" w:cs="Arial" w:eastAsia="Arial" w:hAnsi="Arial"/>
          <w:sz w:val="18"/>
          <w:szCs w:val="18"/>
          <w:b w:val="1"/>
          <w:bCs w:val="1"/>
          <w:color w:val="auto"/>
        </w:rPr>
      </w:pPr>
      <w:r>
        <w:rPr>
          <w:rFonts w:ascii="Arial" w:cs="Arial" w:eastAsia="Arial" w:hAnsi="Arial"/>
          <w:sz w:val="18"/>
          <w:szCs w:val="18"/>
          <w:color w:val="auto"/>
        </w:rPr>
        <w:t>Subscription stock options that are rights to subscribe for newly issued Shares.</w:t>
      </w:r>
    </w:p>
    <w:p>
      <w:pPr>
        <w:spacing w:after="0" w:line="171" w:lineRule="exact"/>
        <w:rPr>
          <w:rFonts w:ascii="Arial" w:cs="Arial" w:eastAsia="Arial" w:hAnsi="Arial"/>
          <w:sz w:val="18"/>
          <w:szCs w:val="18"/>
          <w:b w:val="1"/>
          <w:bCs w:val="1"/>
          <w:color w:val="auto"/>
        </w:rPr>
      </w:pPr>
    </w:p>
    <w:p>
      <w:pPr>
        <w:jc w:val="both"/>
        <w:ind w:right="460" w:firstLine="464"/>
        <w:spacing w:after="0" w:line="352" w:lineRule="auto"/>
        <w:tabs>
          <w:tab w:leader="none" w:pos="715" w:val="left"/>
        </w:tabs>
        <w:numPr>
          <w:ilvl w:val="2"/>
          <w:numId w:val="51"/>
        </w:numPr>
        <w:rPr>
          <w:rFonts w:ascii="Arial" w:cs="Arial" w:eastAsia="Arial" w:hAnsi="Arial"/>
          <w:sz w:val="15"/>
          <w:szCs w:val="15"/>
          <w:b w:val="1"/>
          <w:bCs w:val="1"/>
          <w:color w:val="auto"/>
        </w:rPr>
      </w:pPr>
      <w:r>
        <w:rPr>
          <w:rFonts w:ascii="Arial" w:cs="Arial" w:eastAsia="Arial" w:hAnsi="Arial"/>
          <w:sz w:val="15"/>
          <w:szCs w:val="15"/>
          <w:u w:val="single" w:color="auto"/>
          <w:color w:val="auto"/>
        </w:rPr>
        <w:t>Closed Period</w:t>
      </w:r>
      <w:r>
        <w:rPr>
          <w:rFonts w:ascii="Arial" w:cs="Arial" w:eastAsia="Arial" w:hAnsi="Arial"/>
          <w:sz w:val="15"/>
          <w:szCs w:val="15"/>
          <w:color w:val="auto"/>
        </w:rPr>
        <w:t>. The term “Closed Period” means specific periods as set forth by Article L. 225-177 of the French Commercial Code, as amended, during which French Qualified Stock-Options cannot be granted, so long as such Closed Periods are applicable to Options, as described in Section 8 below.</w:t>
      </w:r>
    </w:p>
    <w:p>
      <w:pPr>
        <w:spacing w:after="0" w:line="7" w:lineRule="exact"/>
        <w:rPr>
          <w:rFonts w:ascii="Arial" w:cs="Arial" w:eastAsia="Arial" w:hAnsi="Arial"/>
          <w:sz w:val="15"/>
          <w:szCs w:val="15"/>
          <w:b w:val="1"/>
          <w:bCs w:val="1"/>
          <w:color w:val="auto"/>
        </w:rPr>
      </w:pPr>
    </w:p>
    <w:p>
      <w:pPr>
        <w:ind w:right="80" w:firstLine="464"/>
        <w:spacing w:after="0" w:line="259" w:lineRule="auto"/>
        <w:tabs>
          <w:tab w:leader="none" w:pos="695" w:val="left"/>
        </w:tabs>
        <w:numPr>
          <w:ilvl w:val="2"/>
          <w:numId w:val="51"/>
        </w:numPr>
        <w:rPr>
          <w:rFonts w:ascii="Arial" w:cs="Arial" w:eastAsia="Arial" w:hAnsi="Arial"/>
          <w:sz w:val="18"/>
          <w:szCs w:val="18"/>
          <w:b w:val="1"/>
          <w:bCs w:val="1"/>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The term “Grant Date” shall be the date on which both (a) the French Grantee is designated, and (b) the terms and conditions of the Award including the number of Shares and the method for determining the Exercise Price are specified. In no event shall the Grant Date be during a Closed Period. In such a case, the Grant Date for the French Grantee would be the date described in Section 8 below.</w:t>
      </w:r>
    </w:p>
    <w:p>
      <w:pPr>
        <w:spacing w:after="0" w:line="215" w:lineRule="exact"/>
        <w:rPr>
          <w:rFonts w:ascii="Arial" w:cs="Arial" w:eastAsia="Arial" w:hAnsi="Arial"/>
          <w:sz w:val="18"/>
          <w:szCs w:val="18"/>
          <w:b w:val="1"/>
          <w:bCs w:val="1"/>
          <w:color w:val="auto"/>
        </w:rPr>
      </w:pPr>
    </w:p>
    <w:p>
      <w:pPr>
        <w:ind w:left="180" w:hanging="172"/>
        <w:spacing w:after="0"/>
        <w:tabs>
          <w:tab w:leader="none" w:pos="1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may not be granted under this appendix to an individual:</w:t>
      </w:r>
    </w:p>
    <w:p>
      <w:pPr>
        <w:spacing w:after="0" w:line="90" w:lineRule="exact"/>
        <w:rPr>
          <w:sz w:val="20"/>
          <w:szCs w:val="20"/>
          <w:color w:val="auto"/>
        </w:rPr>
      </w:pPr>
    </w:p>
    <w:p>
      <w:pPr>
        <w:ind w:left="720" w:hanging="256"/>
        <w:spacing w:after="0"/>
        <w:tabs>
          <w:tab w:leader="none" w:pos="7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unless he is employed by Schlumberger Limited or by a company which is a corporation subsidiary of Schlumberger Limited; or</w:t>
      </w:r>
    </w:p>
    <w:p>
      <w:pPr>
        <w:sectPr>
          <w:pgSz w:w="11900" w:h="16838" w:orient="portrait"/>
          <w:cols w:equalWidth="0" w:num="1">
            <w:col w:w="11380"/>
          </w:cols>
          <w:pgMar w:left="240" w:top="274" w:right="279" w:bottom="1440" w:gutter="0" w:footer="0" w:header="0"/>
        </w:sectPr>
      </w:pPr>
    </w:p>
    <w:bookmarkStart w:id="54" w:name="page55"/>
    <w:bookmarkEnd w:id="54"/>
    <w:p>
      <w:pPr>
        <w:ind w:right="680" w:firstLine="464"/>
        <w:spacing w:after="0" w:line="268" w:lineRule="auto"/>
        <w:tabs>
          <w:tab w:leader="none" w:pos="715"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he is a director with a management function as defined in Article 225-185 of the French “Code de Commerce” of a company which is a corporation subsidiary of Schlumberger Limited; or</w:t>
      </w:r>
    </w:p>
    <w:p>
      <w:pPr>
        <w:spacing w:after="0" w:line="50" w:lineRule="exact"/>
        <w:rPr>
          <w:rFonts w:ascii="Arial" w:cs="Arial" w:eastAsia="Arial" w:hAnsi="Arial"/>
          <w:sz w:val="18"/>
          <w:szCs w:val="18"/>
          <w:b w:val="1"/>
          <w:bCs w:val="1"/>
          <w:color w:val="auto"/>
        </w:rPr>
      </w:pPr>
    </w:p>
    <w:p>
      <w:pPr>
        <w:ind w:right="160" w:firstLine="464"/>
        <w:spacing w:after="0" w:line="268" w:lineRule="auto"/>
        <w:tabs>
          <w:tab w:leader="none" w:pos="695"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who owns more than 10% of the share capital of Schlumberger Limited and who may not therefore be granted an option to satisfy the requirements of sub-paragraph 2 of Article 225-182 of the French “Code de Commerce” in France.</w:t>
      </w:r>
    </w:p>
    <w:p>
      <w:pPr>
        <w:spacing w:after="0" w:line="207"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Notwithstanding any provision in the 2010 Plan and, except in the case of death, Awards cannot be transferred to any third party. In addition, the Awards are only exercisable by the French Grantee during the lifetime of the French Grantee, to the extent applicable.</w:t>
      </w:r>
    </w:p>
    <w:p>
      <w:pPr>
        <w:spacing w:after="0" w:line="207"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the Option/Exercise Price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380" w:firstLine="464"/>
        <w:spacing w:after="0" w:line="352" w:lineRule="auto"/>
        <w:tabs>
          <w:tab w:leader="none" w:pos="705" w:val="left"/>
        </w:tabs>
        <w:numPr>
          <w:ilvl w:val="1"/>
          <w:numId w:val="56"/>
        </w:numPr>
        <w:rPr>
          <w:rFonts w:ascii="Arial" w:cs="Arial" w:eastAsia="Arial" w:hAnsi="Arial"/>
          <w:sz w:val="15"/>
          <w:szCs w:val="15"/>
          <w:b w:val="1"/>
          <w:bCs w:val="1"/>
          <w:color w:val="auto"/>
        </w:rPr>
      </w:pPr>
      <w:r>
        <w:rPr>
          <w:rFonts w:ascii="Arial" w:cs="Arial" w:eastAsia="Arial" w:hAnsi="Arial"/>
          <w:sz w:val="15"/>
          <w:szCs w:val="15"/>
          <w:color w:val="auto"/>
        </w:rPr>
        <w:t>Notwithstanding any provision in the 2010 Plan, the terms and conditions of the Options shall not be modified after the Grant Date, except that the Exercise Price and number of Shares subject to the Option may be modified as provided under Section 7 below, or as otherwise in keeping with French law.</w:t>
      </w:r>
    </w:p>
    <w:p>
      <w:pPr>
        <w:spacing w:after="0" w:line="7" w:lineRule="exact"/>
        <w:rPr>
          <w:rFonts w:ascii="Arial" w:cs="Arial" w:eastAsia="Arial" w:hAnsi="Arial"/>
          <w:sz w:val="15"/>
          <w:szCs w:val="15"/>
          <w:b w:val="1"/>
          <w:bCs w:val="1"/>
          <w:color w:val="auto"/>
        </w:rPr>
      </w:pPr>
    </w:p>
    <w:p>
      <w:pPr>
        <w:ind w:firstLine="464"/>
        <w:spacing w:after="0" w:line="268" w:lineRule="auto"/>
        <w:tabs>
          <w:tab w:leader="none" w:pos="712"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The Options will vest and become exercisable pursuant to the terms and conditions set forth in the 2010 Plan, the French Plan and the respective Option agreement delivered to each French Grantee.</w:t>
      </w:r>
    </w:p>
    <w:p>
      <w:pPr>
        <w:spacing w:after="0" w:line="50" w:lineRule="exact"/>
        <w:rPr>
          <w:rFonts w:ascii="Arial" w:cs="Arial" w:eastAsia="Arial" w:hAnsi="Arial"/>
          <w:sz w:val="18"/>
          <w:szCs w:val="18"/>
          <w:b w:val="1"/>
          <w:bCs w:val="1"/>
          <w:color w:val="auto"/>
        </w:rPr>
      </w:pPr>
    </w:p>
    <w:p>
      <w:pPr>
        <w:ind w:right="140" w:firstLine="464"/>
        <w:spacing w:after="0" w:line="268" w:lineRule="auto"/>
        <w:tabs>
          <w:tab w:leader="none" w:pos="695"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The method for determining the exercise price payable pursuant to Options issued under the French Plan shall be fixed by the Committee on the Grant Date, but in no event shall the Exercise Price per Share be less than the greater of:</w:t>
      </w:r>
    </w:p>
    <w:p>
      <w:pPr>
        <w:spacing w:after="0" w:line="50" w:lineRule="exact"/>
        <w:rPr>
          <w:rFonts w:ascii="Arial" w:cs="Arial" w:eastAsia="Arial" w:hAnsi="Arial"/>
          <w:sz w:val="18"/>
          <w:szCs w:val="18"/>
          <w:b w:val="1"/>
          <w:bCs w:val="1"/>
          <w:color w:val="auto"/>
        </w:rPr>
      </w:pPr>
    </w:p>
    <w:p>
      <w:pPr>
        <w:ind w:left="1480" w:right="340" w:hanging="567"/>
        <w:spacing w:after="0" w:line="330" w:lineRule="auto"/>
        <w:tabs>
          <w:tab w:leader="none" w:pos="1480" w:val="left"/>
        </w:tabs>
        <w:numPr>
          <w:ilvl w:val="2"/>
          <w:numId w:val="56"/>
        </w:numPr>
        <w:rPr>
          <w:rFonts w:ascii="Arial" w:cs="Arial" w:eastAsia="Arial" w:hAnsi="Arial"/>
          <w:sz w:val="16"/>
          <w:szCs w:val="16"/>
          <w:b w:val="1"/>
          <w:bCs w:val="1"/>
          <w:color w:val="auto"/>
        </w:rPr>
      </w:pPr>
      <w:r>
        <w:rPr>
          <w:rFonts w:ascii="Arial" w:cs="Arial" w:eastAsia="Arial" w:hAnsi="Arial"/>
          <w:sz w:val="16"/>
          <w:szCs w:val="16"/>
          <w:color w:val="auto"/>
        </w:rPr>
        <w:t>With respect to purchase stock options, the higher of either 80% of the average quotation price of Shares during the 20 days of quotation immediately preceding the Grant Date or 80% of the average purchase price paid for such Shares by the Company;</w:t>
      </w:r>
    </w:p>
    <w:p>
      <w:pPr>
        <w:spacing w:after="0" w:line="7" w:lineRule="exact"/>
        <w:rPr>
          <w:rFonts w:ascii="Arial" w:cs="Arial" w:eastAsia="Arial" w:hAnsi="Arial"/>
          <w:sz w:val="16"/>
          <w:szCs w:val="16"/>
          <w:b w:val="1"/>
          <w:bCs w:val="1"/>
          <w:color w:val="auto"/>
        </w:rPr>
      </w:pPr>
    </w:p>
    <w:p>
      <w:pPr>
        <w:ind w:left="1480" w:right="560" w:hanging="567"/>
        <w:spacing w:after="0" w:line="268" w:lineRule="auto"/>
        <w:tabs>
          <w:tab w:leader="none" w:pos="1480" w:val="left"/>
        </w:tabs>
        <w:numPr>
          <w:ilvl w:val="2"/>
          <w:numId w:val="56"/>
        </w:numPr>
        <w:rPr>
          <w:rFonts w:ascii="Arial" w:cs="Arial" w:eastAsia="Arial" w:hAnsi="Arial"/>
          <w:sz w:val="18"/>
          <w:szCs w:val="18"/>
          <w:b w:val="1"/>
          <w:bCs w:val="1"/>
          <w:color w:val="auto"/>
        </w:rPr>
      </w:pPr>
      <w:r>
        <w:rPr>
          <w:rFonts w:ascii="Arial" w:cs="Arial" w:eastAsia="Arial" w:hAnsi="Arial"/>
          <w:sz w:val="18"/>
          <w:szCs w:val="18"/>
          <w:color w:val="auto"/>
        </w:rPr>
        <w:t>With respect to subscription stock options, 80% of the average quotation price of Shares during the 20 days of quotation immediately preceding the Grant Date; and</w:t>
      </w:r>
    </w:p>
    <w:p>
      <w:pPr>
        <w:spacing w:after="0" w:line="50" w:lineRule="exact"/>
        <w:rPr>
          <w:rFonts w:ascii="Arial" w:cs="Arial" w:eastAsia="Arial" w:hAnsi="Arial"/>
          <w:sz w:val="18"/>
          <w:szCs w:val="18"/>
          <w:b w:val="1"/>
          <w:bCs w:val="1"/>
          <w:color w:val="auto"/>
        </w:rPr>
      </w:pPr>
    </w:p>
    <w:p>
      <w:pPr>
        <w:ind w:left="1480" w:hanging="567"/>
        <w:spacing w:after="0"/>
        <w:tabs>
          <w:tab w:leader="none" w:pos="1480" w:val="left"/>
        </w:tabs>
        <w:numPr>
          <w:ilvl w:val="2"/>
          <w:numId w:val="56"/>
        </w:numPr>
        <w:rPr>
          <w:rFonts w:ascii="Arial" w:cs="Arial" w:eastAsia="Arial" w:hAnsi="Arial"/>
          <w:sz w:val="18"/>
          <w:szCs w:val="18"/>
          <w:b w:val="1"/>
          <w:bCs w:val="1"/>
          <w:color w:val="auto"/>
        </w:rPr>
      </w:pPr>
      <w:r>
        <w:rPr>
          <w:rFonts w:ascii="Arial" w:cs="Arial" w:eastAsia="Arial" w:hAnsi="Arial"/>
          <w:sz w:val="18"/>
          <w:szCs w:val="18"/>
          <w:color w:val="auto"/>
        </w:rPr>
        <w:t>The minimum exercise price permitted under Section 5(b) of the 2010 Plan.</w:t>
      </w:r>
    </w:p>
    <w:p>
      <w:pPr>
        <w:spacing w:after="0" w:line="171" w:lineRule="exact"/>
        <w:rPr>
          <w:rFonts w:ascii="Arial" w:cs="Arial" w:eastAsia="Arial" w:hAnsi="Arial"/>
          <w:sz w:val="18"/>
          <w:szCs w:val="18"/>
          <w:b w:val="1"/>
          <w:bCs w:val="1"/>
          <w:color w:val="auto"/>
        </w:rPr>
      </w:pPr>
    </w:p>
    <w:p>
      <w:pPr>
        <w:ind w:right="80" w:firstLine="464"/>
        <w:spacing w:after="0" w:line="268" w:lineRule="auto"/>
        <w:tabs>
          <w:tab w:leader="none" w:pos="715"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The Shares acquired upon exercise of an Option will be recorded in an account in the name of the shareholder with a broker or in such other manner as the Company may otherwise determine in order to ensure compliance with applicable law.</w:t>
      </w:r>
    </w:p>
    <w:p>
      <w:pPr>
        <w:sectPr>
          <w:pgSz w:w="11900" w:h="16838" w:orient="portrait"/>
          <w:cols w:equalWidth="0" w:num="1">
            <w:col w:w="11400"/>
          </w:cols>
          <w:pgMar w:left="240" w:top="280" w:right="259" w:bottom="1440" w:gutter="0" w:footer="0" w:header="0"/>
        </w:sectPr>
      </w:pPr>
    </w:p>
    <w:bookmarkStart w:id="55" w:name="page56"/>
    <w:bookmarkEnd w:id="55"/>
    <w:p>
      <w:pPr>
        <w:ind w:left="180" w:hanging="172"/>
        <w:spacing w:after="0"/>
        <w:tabs>
          <w:tab w:leader="none" w:pos="1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Exercise Price and Withholding</w:t>
      </w:r>
      <w:r>
        <w:rPr>
          <w:rFonts w:ascii="Arial" w:cs="Arial" w:eastAsia="Arial" w:hAnsi="Arial"/>
          <w:sz w:val="18"/>
          <w:szCs w:val="18"/>
          <w:b w:val="1"/>
          <w:bCs w:val="1"/>
          <w:color w:val="auto"/>
        </w:rPr>
        <w:t>.</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Notwithstanding any provisions in the 2010 Plan, upon exercise or vesting of an Award, as applicable, the full Exercise Price and any required tax and/or social security contributions to be withheld by the French Subsidiary on behalf of the French Grantee will have to be paid either in cash, by check or by wire transfer. No other method of payment is authorized under this French Plan.</w:t>
      </w:r>
    </w:p>
    <w:p>
      <w:pPr>
        <w:spacing w:after="0" w:line="215"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Notwithstanding any provision in the 2010 Plan, adjustments to the Exercise Price and/or the number of Shares subject to an Award issued hereunder shall be made to preclude the dilution or enlargement of benefits under the Award only in the event of certain transactions by the Company listed under Article L. 225-181 of the French Commercial Code, as amended, a repurchase of Shares by the Company at a price higher than the stock quotation price on the open market, and according to the provisions of Section L. 228-99 of the French Commercial Code, as amended, as well as according to specific decrees.</w:t>
      </w:r>
    </w:p>
    <w:p>
      <w:pPr>
        <w:spacing w:after="0" w:line="188"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Reorganization</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320" w:firstLine="456"/>
        <w:spacing w:after="0" w:line="256" w:lineRule="auto"/>
        <w:rPr>
          <w:sz w:val="20"/>
          <w:szCs w:val="20"/>
          <w:color w:val="auto"/>
        </w:rPr>
      </w:pPr>
      <w:r>
        <w:rPr>
          <w:rFonts w:ascii="Arial" w:cs="Arial" w:eastAsia="Arial" w:hAnsi="Arial"/>
          <w:sz w:val="18"/>
          <w:szCs w:val="18"/>
          <w:color w:val="auto"/>
        </w:rPr>
        <w:t>In the event that a significant decrease in the value of Awards granted to French Grantees occurs or is likely to occur as a result of a reorganization as described in the 2010 Plan, the Administrator may, in its sole discretion, but shall not be required to, authorize the immediate vesting and exercise of Awards before the date on which any such reorganization becomes effective. If this occurs, the Awards may not qualify for favorable tax and social security treatment under French law.</w:t>
      </w:r>
    </w:p>
    <w:p>
      <w:pPr>
        <w:spacing w:after="0" w:line="218"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Notwithstanding any provisions in the 2010 Plan to the contrary and since Shares are traded on a regulated market, Awards shall not be granted to French Grantees during the Closed Periods defined by Article L. 225-177 of the French Commercial Code, as amended, so long as such Closed Periods are applicable to the Awards. If the Grant Date were to occur during an applicable Closed Period, the Grant Date for French Grantees shall be the first date following the expiration of the Closed Period which would not be a prohibited Grant Date under the 2010 Plan rules, as determined by the Administrator.</w:t>
      </w:r>
    </w:p>
    <w:p>
      <w:pPr>
        <w:spacing w:after="0" w:line="188"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Employment/Service</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termination of employment is due to death, the Award shall be exercisable and vested as set forth in Section 11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the event of a termination of employment for reasons other than death, the Award shall be exercisable and vested as set forth in the applicable agreement entered into with the French Grantee.</w:t>
      </w:r>
    </w:p>
    <w:p>
      <w:pPr>
        <w:sectPr>
          <w:pgSz w:w="11900" w:h="16838" w:orient="portrait"/>
          <w:cols w:equalWidth="0" w:num="1">
            <w:col w:w="11400"/>
          </w:cols>
          <w:pgMar w:left="240" w:top="274" w:right="259" w:bottom="1440" w:gutter="0" w:footer="0" w:header="0"/>
        </w:sectPr>
      </w:pPr>
    </w:p>
    <w:bookmarkStart w:id="56" w:name="page57"/>
    <w:bookmarkEnd w:id="56"/>
    <w:p>
      <w:pPr>
        <w:ind w:left="280" w:hanging="272"/>
        <w:spacing w:after="0"/>
        <w:tabs>
          <w:tab w:leader="none" w:pos="2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Death</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the event of the death of a French Grantee, all unforfeited Awards shall become immediately vested and exercisable. The French Grantee’s heirs may exercise the Options within six months following the death, but any outstanding Option which remains unexercised shall expire six months following the date of the French Grantee’s death. The six-month exercise period will apply without regard to the term of the Option.</w:t>
      </w:r>
    </w:p>
    <w:p>
      <w:pPr>
        <w:spacing w:after="0" w:line="182"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the Option</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term of the Option will be ten years unless otherwise specified in the applicable Option Agreement. This term can be extended only in the event of the death of the French Grantee, and in no event will the term exceed ten years.</w:t>
      </w:r>
    </w:p>
    <w:p>
      <w:pPr>
        <w:spacing w:after="0" w:line="207" w:lineRule="exact"/>
        <w:rPr>
          <w:sz w:val="20"/>
          <w:szCs w:val="20"/>
          <w:color w:val="auto"/>
        </w:rPr>
      </w:pPr>
    </w:p>
    <w:p>
      <w:pPr>
        <w:ind w:left="280" w:hanging="272"/>
        <w:spacing w:after="0"/>
        <w:tabs>
          <w:tab w:leader="none" w:pos="2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the event of any conflict between the provisions of the present French Plan and the 2010 Plan, the provisions of the French Plan shall control for any grants made thereunder to French Grantees.</w:t>
      </w:r>
    </w:p>
    <w:p>
      <w:pPr>
        <w:sectPr>
          <w:pgSz w:w="11900" w:h="16838" w:orient="portrait"/>
          <w:cols w:equalWidth="0" w:num="1">
            <w:col w:w="11340"/>
          </w:cols>
          <w:pgMar w:left="240" w:top="274"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2: French Terms applicable to Restricted Stock Units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It is intended that Restricted Stock Units granted under the French Plan shall qualify for the specific tax and social security charges treatment applicable to French Qualified Restricted Stock Units granted under Articles L.225-197-1 to L.225-197-5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Restricted Stock Units granted under this Appendix 2 will be deemed French Qualified Restricted Stock Units.</w:t>
      </w:r>
    </w:p>
    <w:p>
      <w:pPr>
        <w:spacing w:after="0" w:line="219"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French Qualified Restricted Stock Units may not be granted under this Addendum to an individual:</w:t>
      </w:r>
    </w:p>
    <w:p>
      <w:pPr>
        <w:spacing w:after="0" w:line="90" w:lineRule="exact"/>
        <w:rPr>
          <w:sz w:val="20"/>
          <w:szCs w:val="20"/>
          <w:color w:val="auto"/>
        </w:rPr>
      </w:pPr>
    </w:p>
    <w:p>
      <w:pPr>
        <w:ind w:left="720" w:hanging="256"/>
        <w:spacing w:after="0"/>
        <w:tabs>
          <w:tab w:leader="none" w:pos="72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unless he is employed by Schlumberger Limited or by a company which is a corporation subsidiary of Schlumberger Limited; or</w:t>
      </w:r>
    </w:p>
    <w:p>
      <w:pPr>
        <w:spacing w:after="0" w:line="90" w:lineRule="exact"/>
        <w:rPr>
          <w:rFonts w:ascii="Arial" w:cs="Arial" w:eastAsia="Arial" w:hAnsi="Arial"/>
          <w:sz w:val="18"/>
          <w:szCs w:val="18"/>
          <w:b w:val="1"/>
          <w:bCs w:val="1"/>
          <w:color w:val="auto"/>
        </w:rPr>
      </w:pPr>
    </w:p>
    <w:p>
      <w:pPr>
        <w:ind w:right="100" w:firstLine="464"/>
        <w:spacing w:after="0" w:line="268" w:lineRule="auto"/>
        <w:tabs>
          <w:tab w:leader="none" w:pos="715"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unless he is a director with a management function as defined in Article 225-197-1 of the French “Code de Commerce” in France of a company which is a corporation subsidiary of Schlumberger Limited; or</w:t>
      </w:r>
    </w:p>
    <w:p>
      <w:pPr>
        <w:spacing w:after="0" w:line="50" w:lineRule="exact"/>
        <w:rPr>
          <w:rFonts w:ascii="Arial" w:cs="Arial" w:eastAsia="Arial" w:hAnsi="Arial"/>
          <w:sz w:val="18"/>
          <w:szCs w:val="18"/>
          <w:b w:val="1"/>
          <w:bCs w:val="1"/>
          <w:color w:val="auto"/>
        </w:rPr>
      </w:pPr>
    </w:p>
    <w:p>
      <w:pPr>
        <w:ind w:left="700" w:hanging="236"/>
        <w:spacing w:after="0"/>
        <w:tabs>
          <w:tab w:leader="none" w:pos="70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who owns more than 10% of the share capital of Schlumberger Limited</w:t>
      </w:r>
    </w:p>
    <w:p>
      <w:pPr>
        <w:spacing w:after="0" w:line="246" w:lineRule="exact"/>
        <w:rPr>
          <w:rFonts w:ascii="Arial" w:cs="Arial" w:eastAsia="Arial" w:hAnsi="Arial"/>
          <w:sz w:val="18"/>
          <w:szCs w:val="18"/>
          <w:b w:val="1"/>
          <w:bCs w:val="1"/>
          <w:color w:val="auto"/>
        </w:rPr>
      </w:pPr>
    </w:p>
    <w:p>
      <w:pPr>
        <w:ind w:left="180" w:hanging="172"/>
        <w:spacing w:after="0"/>
        <w:tabs>
          <w:tab w:leader="none" w:pos="1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Settlement and Delivery of French Qualified Restricted Stock Units</w:t>
      </w:r>
    </w:p>
    <w:p>
      <w:pPr>
        <w:spacing w:after="0" w:line="96" w:lineRule="exact"/>
        <w:rPr>
          <w:rFonts w:ascii="Arial" w:cs="Arial" w:eastAsia="Arial" w:hAnsi="Arial"/>
          <w:sz w:val="18"/>
          <w:szCs w:val="18"/>
          <w:b w:val="1"/>
          <w:bCs w:val="1"/>
          <w:color w:val="auto"/>
        </w:rPr>
      </w:pPr>
    </w:p>
    <w:p>
      <w:pPr>
        <w:ind w:left="720" w:hanging="256"/>
        <w:spacing w:after="0"/>
        <w:tabs>
          <w:tab w:leader="none" w:pos="720" w:val="left"/>
        </w:tabs>
        <w:numPr>
          <w:ilvl w:val="1"/>
          <w:numId w:val="67"/>
        </w:numPr>
        <w:rPr>
          <w:rFonts w:ascii="Arial" w:cs="Arial" w:eastAsia="Arial" w:hAnsi="Arial"/>
          <w:sz w:val="18"/>
          <w:szCs w:val="18"/>
          <w:b w:val="1"/>
          <w:bCs w:val="1"/>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French Qualified Restricted Stock Units shall vest as provided for in the Stock Unit Agreement.</w:t>
      </w:r>
    </w:p>
    <w:p>
      <w:pPr>
        <w:spacing w:after="0" w:line="90" w:lineRule="exact"/>
        <w:rPr>
          <w:rFonts w:ascii="Arial" w:cs="Arial" w:eastAsia="Arial" w:hAnsi="Arial"/>
          <w:sz w:val="18"/>
          <w:szCs w:val="18"/>
          <w:b w:val="1"/>
          <w:bCs w:val="1"/>
          <w:color w:val="auto"/>
        </w:rPr>
      </w:pPr>
    </w:p>
    <w:p>
      <w:pPr>
        <w:ind w:left="720" w:hanging="256"/>
        <w:spacing w:after="0"/>
        <w:tabs>
          <w:tab w:leader="none" w:pos="720" w:val="left"/>
        </w:tabs>
        <w:numPr>
          <w:ilvl w:val="1"/>
          <w:numId w:val="67"/>
        </w:numPr>
        <w:rPr>
          <w:rFonts w:ascii="Arial" w:cs="Arial" w:eastAsia="Arial" w:hAnsi="Arial"/>
          <w:sz w:val="18"/>
          <w:szCs w:val="18"/>
          <w:b w:val="1"/>
          <w:bCs w:val="1"/>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Payment of vested Restricted Stock Units shall only be made in shares of Common Stock.</w:t>
      </w:r>
    </w:p>
    <w:p>
      <w:pPr>
        <w:spacing w:after="0" w:line="90" w:lineRule="exact"/>
        <w:rPr>
          <w:rFonts w:ascii="Arial" w:cs="Arial" w:eastAsia="Arial" w:hAnsi="Arial"/>
          <w:sz w:val="18"/>
          <w:szCs w:val="18"/>
          <w:b w:val="1"/>
          <w:bCs w:val="1"/>
          <w:color w:val="auto"/>
        </w:rPr>
      </w:pPr>
    </w:p>
    <w:p>
      <w:pPr>
        <w:ind w:right="40" w:firstLine="464"/>
        <w:spacing w:after="0" w:line="332" w:lineRule="auto"/>
        <w:tabs>
          <w:tab w:leader="none" w:pos="695" w:val="left"/>
        </w:tabs>
        <w:numPr>
          <w:ilvl w:val="1"/>
          <w:numId w:val="67"/>
        </w:numPr>
        <w:rPr>
          <w:rFonts w:ascii="Arial" w:cs="Arial" w:eastAsia="Arial" w:hAnsi="Arial"/>
          <w:sz w:val="16"/>
          <w:szCs w:val="16"/>
          <w:b w:val="1"/>
          <w:bCs w:val="1"/>
          <w:color w:val="auto"/>
        </w:rPr>
      </w:pPr>
      <w:r>
        <w:rPr>
          <w:rFonts w:ascii="Arial" w:cs="Arial" w:eastAsia="Arial" w:hAnsi="Arial"/>
          <w:sz w:val="16"/>
          <w:szCs w:val="16"/>
          <w:u w:val="single" w:color="auto"/>
          <w:color w:val="auto"/>
        </w:rPr>
        <w:t>Delivery.</w:t>
      </w:r>
      <w:r>
        <w:rPr>
          <w:rFonts w:ascii="Arial" w:cs="Arial" w:eastAsia="Arial" w:hAnsi="Arial"/>
          <w:sz w:val="16"/>
          <w:szCs w:val="16"/>
          <w:color w:val="auto"/>
        </w:rPr>
        <w:t xml:space="preserve"> Notwithstanding the vesting date of the Restricted Stock Units, under no circumstances, except in case of employee’s death as provided for in section 2 (d) below, shall the delivery of the shares related to a French Qualified Restricted Stock Unit occur prior to the fourth anniversary of the Grant Date.</w:t>
      </w:r>
    </w:p>
    <w:p>
      <w:pPr>
        <w:sectPr>
          <w:pgSz w:w="11900" w:h="16838" w:orient="portrait"/>
          <w:cols w:equalWidth="0" w:num="1">
            <w:col w:w="11380"/>
          </w:cols>
          <w:pgMar w:left="240" w:top="274" w:right="279" w:bottom="1440" w:gutter="0" w:footer="0" w:header="0"/>
        </w:sectPr>
      </w:pPr>
    </w:p>
    <w:bookmarkStart w:id="58" w:name="page59"/>
    <w:bookmarkEnd w:id="58"/>
    <w:p>
      <w:pPr>
        <w:jc w:val="both"/>
        <w:ind w:left="460" w:firstLine="4"/>
        <w:spacing w:after="0" w:line="298" w:lineRule="auto"/>
        <w:tabs>
          <w:tab w:leader="none" w:pos="718" w:val="left"/>
        </w:tabs>
        <w:numPr>
          <w:ilvl w:val="1"/>
          <w:numId w:val="68"/>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Acceleration on Death</w:t>
      </w:r>
      <w:r>
        <w:rPr>
          <w:rFonts w:ascii="Arial" w:cs="Arial" w:eastAsia="Arial" w:hAnsi="Arial"/>
          <w:sz w:val="16"/>
          <w:szCs w:val="16"/>
          <w:color w:val="auto"/>
        </w:rPr>
        <w:t>. Upon Termination of Employment from the Company by reason of employee’s death, all French Qualified Restricted Stock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w:t>
      </w:r>
    </w:p>
    <w:p>
      <w:pPr>
        <w:spacing w:after="0" w:line="187" w:lineRule="exact"/>
        <w:rPr>
          <w:rFonts w:ascii="Arial" w:cs="Arial" w:eastAsia="Arial" w:hAnsi="Arial"/>
          <w:sz w:val="16"/>
          <w:szCs w:val="16"/>
          <w:b w:val="1"/>
          <w:bCs w:val="1"/>
          <w:color w:val="auto"/>
        </w:rPr>
      </w:pPr>
    </w:p>
    <w:p>
      <w:pPr>
        <w:ind w:left="180" w:hanging="172"/>
        <w:spacing w:after="0"/>
        <w:tabs>
          <w:tab w:leader="none" w:pos="1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Sales Restrictions</w:t>
      </w:r>
    </w:p>
    <w:p>
      <w:pPr>
        <w:spacing w:after="0" w:line="96"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sale of shares issued pursuant to the conversion of the French Qualified Restricted Stock Units may occur as soon as the shares are delivered to the employee provided the closed periods in section 4 below are respected.</w:t>
      </w:r>
    </w:p>
    <w:p>
      <w:pPr>
        <w:spacing w:after="0" w:line="207"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underlying French Qualified Restricted Stock Units may not be sold during the following period (“Closed Periods”):</w:t>
      </w:r>
    </w:p>
    <w:p>
      <w:pPr>
        <w:spacing w:after="0" w:line="90" w:lineRule="exact"/>
        <w:rPr>
          <w:sz w:val="20"/>
          <w:szCs w:val="20"/>
          <w:color w:val="auto"/>
        </w:rPr>
      </w:pPr>
    </w:p>
    <w:p>
      <w:pPr>
        <w:ind w:left="720" w:hanging="256"/>
        <w:spacing w:after="0"/>
        <w:tabs>
          <w:tab w:leader="none" w:pos="72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within the 10 days before or after the publication of the annual accounts;</w:t>
      </w:r>
    </w:p>
    <w:p>
      <w:pPr>
        <w:spacing w:after="0" w:line="90" w:lineRule="exact"/>
        <w:rPr>
          <w:rFonts w:ascii="Arial" w:cs="Arial" w:eastAsia="Arial" w:hAnsi="Arial"/>
          <w:sz w:val="18"/>
          <w:szCs w:val="18"/>
          <w:b w:val="1"/>
          <w:bCs w:val="1"/>
          <w:color w:val="auto"/>
        </w:rPr>
      </w:pPr>
    </w:p>
    <w:p>
      <w:pPr>
        <w:ind w:right="300" w:firstLine="464"/>
        <w:spacing w:after="0" w:line="332" w:lineRule="auto"/>
        <w:tabs>
          <w:tab w:leader="none" w:pos="715"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These Closed Periods will apply to grant of French Qualified Restricted Stock Units as long as and to the extent such Closed Periods are applicable under French law.</w:t>
      </w:r>
    </w:p>
    <w:p>
      <w:pPr>
        <w:spacing w:after="0" w:line="207"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French Qualified Restricted Stock Units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in the case of death, French Qualified Restricted Stock Units may not be transferred to any third party.</w:t>
      </w:r>
    </w:p>
    <w:p>
      <w:pPr>
        <w:spacing w:after="0" w:line="246"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to certain corporate events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Adjustments to the terms and conditions of the French Qualified Restricted Stock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Restricted Stock Units may no longer qualify as French Qualified Restricted Stock Units.</w:t>
      </w:r>
    </w:p>
    <w:p>
      <w:pPr>
        <w:sectPr>
          <w:pgSz w:w="11900" w:h="16838" w:orient="portrait"/>
          <w:cols w:equalWidth="0" w:num="1">
            <w:col w:w="11360"/>
          </w:cols>
          <w:pgMar w:left="240" w:top="280" w:right="2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3: French Terms applicable to one year and two year Performance Share Units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It is intended that Performance Share Units granted under the French Plan shall qualify for the specific tax and social security charges treatment applicable to French Qualified Performance Share Units Options granted under Articles L.225-197-1 to L.225-197-5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Performance Share Units granted under this Appendix 3 will be deemed French Qualified Performance Share Units.</w:t>
      </w:r>
    </w:p>
    <w:p>
      <w:pPr>
        <w:spacing w:after="0" w:line="195"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French Qualified Performance Share Units may not be granted under this Addendum to an individual:</w:t>
      </w:r>
    </w:p>
    <w:p>
      <w:pPr>
        <w:spacing w:after="0" w:line="90" w:lineRule="exact"/>
        <w:rPr>
          <w:sz w:val="20"/>
          <w:szCs w:val="20"/>
          <w:color w:val="auto"/>
        </w:rPr>
      </w:pPr>
    </w:p>
    <w:p>
      <w:pPr>
        <w:ind w:left="720" w:hanging="256"/>
        <w:spacing w:after="0"/>
        <w:tabs>
          <w:tab w:leader="none" w:pos="72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unless he is employed by Schlumberger Limited or by a company which is a corporation subsidiary of Schlumberger Limited; or</w:t>
      </w:r>
    </w:p>
    <w:p>
      <w:pPr>
        <w:spacing w:after="0" w:line="90" w:lineRule="exact"/>
        <w:rPr>
          <w:rFonts w:ascii="Arial" w:cs="Arial" w:eastAsia="Arial" w:hAnsi="Arial"/>
          <w:sz w:val="18"/>
          <w:szCs w:val="18"/>
          <w:b w:val="1"/>
          <w:bCs w:val="1"/>
          <w:color w:val="auto"/>
        </w:rPr>
      </w:pPr>
    </w:p>
    <w:p>
      <w:pPr>
        <w:ind w:right="60" w:firstLine="464"/>
        <w:spacing w:after="0" w:line="268" w:lineRule="auto"/>
        <w:tabs>
          <w:tab w:leader="none" w:pos="715"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unless he is a director with a management function as defined in Article 225-197-1 of the French “Code de Commerce” in France of a company which is a corporation subsidiary of Schlumberger Limited; or</w:t>
      </w:r>
    </w:p>
    <w:p>
      <w:pPr>
        <w:spacing w:after="0" w:line="50" w:lineRule="exact"/>
        <w:rPr>
          <w:rFonts w:ascii="Arial" w:cs="Arial" w:eastAsia="Arial" w:hAnsi="Arial"/>
          <w:sz w:val="18"/>
          <w:szCs w:val="18"/>
          <w:b w:val="1"/>
          <w:bCs w:val="1"/>
          <w:color w:val="auto"/>
        </w:rPr>
      </w:pPr>
    </w:p>
    <w:p>
      <w:pPr>
        <w:ind w:left="700" w:hanging="236"/>
        <w:spacing w:after="0"/>
        <w:tabs>
          <w:tab w:leader="none" w:pos="70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who owns more than 10% of the share capital of Schlumberger Limited</w:t>
      </w:r>
    </w:p>
    <w:p>
      <w:pPr>
        <w:spacing w:after="0" w:line="246" w:lineRule="exact"/>
        <w:rPr>
          <w:rFonts w:ascii="Arial" w:cs="Arial" w:eastAsia="Arial" w:hAnsi="Arial"/>
          <w:sz w:val="18"/>
          <w:szCs w:val="18"/>
          <w:b w:val="1"/>
          <w:bCs w:val="1"/>
          <w:color w:val="auto"/>
        </w:rPr>
      </w:pPr>
    </w:p>
    <w:p>
      <w:pPr>
        <w:ind w:left="180" w:hanging="172"/>
        <w:spacing w:after="0"/>
        <w:tabs>
          <w:tab w:leader="none" w:pos="1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Settlement and Delivery of French Qualified Performance Share Units</w:t>
      </w:r>
    </w:p>
    <w:p>
      <w:pPr>
        <w:spacing w:after="0" w:line="96" w:lineRule="exact"/>
        <w:rPr>
          <w:rFonts w:ascii="Arial" w:cs="Arial" w:eastAsia="Arial" w:hAnsi="Arial"/>
          <w:sz w:val="18"/>
          <w:szCs w:val="18"/>
          <w:b w:val="1"/>
          <w:bCs w:val="1"/>
          <w:color w:val="auto"/>
        </w:rPr>
      </w:pPr>
    </w:p>
    <w:p>
      <w:pPr>
        <w:ind w:left="720" w:hanging="256"/>
        <w:spacing w:after="0"/>
        <w:tabs>
          <w:tab w:leader="none" w:pos="720" w:val="left"/>
        </w:tabs>
        <w:numPr>
          <w:ilvl w:val="1"/>
          <w:numId w:val="76"/>
        </w:numPr>
        <w:rPr>
          <w:rFonts w:ascii="Arial" w:cs="Arial" w:eastAsia="Arial" w:hAnsi="Arial"/>
          <w:sz w:val="18"/>
          <w:szCs w:val="18"/>
          <w:b w:val="1"/>
          <w:bCs w:val="1"/>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French Qualified Performance Share Units shall vest as provided for in the Share Unit Agreement.</w:t>
      </w:r>
    </w:p>
    <w:p>
      <w:pPr>
        <w:spacing w:after="0" w:line="90" w:lineRule="exact"/>
        <w:rPr>
          <w:rFonts w:ascii="Arial" w:cs="Arial" w:eastAsia="Arial" w:hAnsi="Arial"/>
          <w:sz w:val="18"/>
          <w:szCs w:val="18"/>
          <w:b w:val="1"/>
          <w:bCs w:val="1"/>
          <w:color w:val="auto"/>
        </w:rPr>
      </w:pPr>
    </w:p>
    <w:p>
      <w:pPr>
        <w:ind w:left="720" w:hanging="256"/>
        <w:spacing w:after="0"/>
        <w:tabs>
          <w:tab w:leader="none" w:pos="720" w:val="left"/>
        </w:tabs>
        <w:numPr>
          <w:ilvl w:val="1"/>
          <w:numId w:val="76"/>
        </w:numPr>
        <w:rPr>
          <w:rFonts w:ascii="Arial" w:cs="Arial" w:eastAsia="Arial" w:hAnsi="Arial"/>
          <w:sz w:val="18"/>
          <w:szCs w:val="18"/>
          <w:b w:val="1"/>
          <w:bCs w:val="1"/>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Payment of vested Performance Share Units shall only be made in shares of Common Stock.</w:t>
      </w:r>
    </w:p>
    <w:p>
      <w:pPr>
        <w:spacing w:after="0" w:line="90" w:lineRule="exact"/>
        <w:rPr>
          <w:rFonts w:ascii="Arial" w:cs="Arial" w:eastAsia="Arial" w:hAnsi="Arial"/>
          <w:sz w:val="18"/>
          <w:szCs w:val="18"/>
          <w:b w:val="1"/>
          <w:bCs w:val="1"/>
          <w:color w:val="auto"/>
        </w:rPr>
      </w:pPr>
    </w:p>
    <w:p>
      <w:pPr>
        <w:ind w:firstLine="464"/>
        <w:spacing w:after="0" w:line="259" w:lineRule="auto"/>
        <w:tabs>
          <w:tab w:leader="none" w:pos="695" w:val="left"/>
        </w:tabs>
        <w:numPr>
          <w:ilvl w:val="1"/>
          <w:numId w:val="76"/>
        </w:numPr>
        <w:rPr>
          <w:rFonts w:ascii="Arial" w:cs="Arial" w:eastAsia="Arial" w:hAnsi="Arial"/>
          <w:sz w:val="18"/>
          <w:szCs w:val="18"/>
          <w:b w:val="1"/>
          <w:bCs w:val="1"/>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xml:space="preserve"> Notwithstanding the vesting date of the Performance Share Units, under no circumstances, except in case of employee’s death as provided for in section 2 (d) below, shall the delivery of the shares related to a French Qualified Performance Share Unit occur prior to the second anniversary of the Grant Date.</w:t>
      </w:r>
    </w:p>
    <w:p>
      <w:pPr>
        <w:sectPr>
          <w:pgSz w:w="11900" w:h="16838" w:orient="portrait"/>
          <w:cols w:equalWidth="0" w:num="1">
            <w:col w:w="11340"/>
          </w:cols>
          <w:pgMar w:left="240" w:top="274" w:right="319" w:bottom="1440" w:gutter="0" w:footer="0" w:header="0"/>
        </w:sectPr>
      </w:pPr>
    </w:p>
    <w:bookmarkStart w:id="60" w:name="page61"/>
    <w:bookmarkEnd w:id="60"/>
    <w:p>
      <w:pPr>
        <w:ind w:left="460" w:right="60" w:firstLine="4"/>
        <w:spacing w:after="0" w:line="294" w:lineRule="auto"/>
        <w:tabs>
          <w:tab w:leader="none" w:pos="718" w:val="left"/>
        </w:tabs>
        <w:numPr>
          <w:ilvl w:val="1"/>
          <w:numId w:val="77"/>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Acceleration on Death.</w:t>
      </w:r>
      <w:r>
        <w:rPr>
          <w:rFonts w:ascii="Arial" w:cs="Arial" w:eastAsia="Arial" w:hAnsi="Arial"/>
          <w:sz w:val="16"/>
          <w:szCs w:val="16"/>
          <w:color w:val="auto"/>
        </w:rPr>
        <w:t xml:space="preserve"> Upon Termination of Employment from the Company by reason of employee’s death, all French Qualified Performance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 However, the employee’s heirs shall not need to comply with the restriction on the sale of shares set forth in Sections 3 below.</w:t>
      </w:r>
    </w:p>
    <w:p>
      <w:pPr>
        <w:spacing w:after="0" w:line="190" w:lineRule="exact"/>
        <w:rPr>
          <w:rFonts w:ascii="Arial" w:cs="Arial" w:eastAsia="Arial" w:hAnsi="Arial"/>
          <w:sz w:val="16"/>
          <w:szCs w:val="16"/>
          <w:b w:val="1"/>
          <w:bCs w:val="1"/>
          <w:color w:val="auto"/>
        </w:rPr>
      </w:pPr>
    </w:p>
    <w:p>
      <w:pPr>
        <w:ind w:left="180" w:hanging="172"/>
        <w:spacing w:after="0"/>
        <w:tabs>
          <w:tab w:leader="none" w:pos="1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Sales Restrictions</w:t>
      </w:r>
    </w:p>
    <w:p>
      <w:pPr>
        <w:spacing w:after="0" w:line="96" w:lineRule="exact"/>
        <w:rPr>
          <w:sz w:val="20"/>
          <w:szCs w:val="20"/>
          <w:color w:val="auto"/>
        </w:rPr>
      </w:pPr>
    </w:p>
    <w:p>
      <w:pPr>
        <w:jc w:val="both"/>
        <w:ind w:left="460" w:right="200"/>
        <w:spacing w:after="0" w:line="284" w:lineRule="auto"/>
        <w:rPr>
          <w:sz w:val="20"/>
          <w:szCs w:val="20"/>
          <w:color w:val="auto"/>
        </w:rPr>
      </w:pPr>
      <w:r>
        <w:rPr>
          <w:rFonts w:ascii="Arial" w:cs="Arial" w:eastAsia="Arial" w:hAnsi="Arial"/>
          <w:sz w:val="16"/>
          <w:szCs w:val="16"/>
          <w:color w:val="auto"/>
        </w:rPr>
        <w:t>The sale of shares issued pursuant to the conversion of the French Qualified Performance Share Units may not occur prior to the expiration of a two-year period as calculated from the date the Performance Share Units are converted into shares or such other period as is required to comply with the minimum mandatory holding period applicable to French Qualified Performance Share Units under Article L. 225-197-1 of the French Commercial Code.</w:t>
      </w:r>
    </w:p>
    <w:p>
      <w:pPr>
        <w:spacing w:after="0" w:line="1"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Notwithstanding the above, in case of employee’s death, the employee’s heirs shall not need to comply with the restriction on the sale of shares. In addition, in the event of the 2nd or 3rd category disability (as defined under Article L.341-4 of the French Social Security Code) of an employee, the employee shall not need to comply with the restriction on the sale of Shares.</w:t>
      </w:r>
    </w:p>
    <w:p>
      <w:pPr>
        <w:spacing w:after="0" w:line="219"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underlying French Qualified Performance Share Units may not be sold during the following period (“Closed Periods”):</w:t>
      </w:r>
    </w:p>
    <w:p>
      <w:pPr>
        <w:spacing w:after="0" w:line="90" w:lineRule="exact"/>
        <w:rPr>
          <w:sz w:val="20"/>
          <w:szCs w:val="20"/>
          <w:color w:val="auto"/>
        </w:rPr>
      </w:pPr>
    </w:p>
    <w:p>
      <w:pPr>
        <w:ind w:left="720" w:hanging="256"/>
        <w:spacing w:after="0"/>
        <w:tabs>
          <w:tab w:leader="none" w:pos="72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within the 10 days before or after the publication of the annual accounts;</w:t>
      </w:r>
    </w:p>
    <w:p>
      <w:pPr>
        <w:spacing w:after="0" w:line="90" w:lineRule="exact"/>
        <w:rPr>
          <w:rFonts w:ascii="Arial" w:cs="Arial" w:eastAsia="Arial" w:hAnsi="Arial"/>
          <w:sz w:val="18"/>
          <w:szCs w:val="18"/>
          <w:b w:val="1"/>
          <w:bCs w:val="1"/>
          <w:color w:val="auto"/>
        </w:rPr>
      </w:pPr>
    </w:p>
    <w:p>
      <w:pPr>
        <w:ind w:right="360" w:firstLine="464"/>
        <w:spacing w:after="0" w:line="332" w:lineRule="auto"/>
        <w:tabs>
          <w:tab w:leader="none" w:pos="715"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These Closed Periods will apply to grant of French Qualified Performance Share Units as long as and to the extent such Closed Periods are applicable under French law.</w:t>
      </w:r>
    </w:p>
    <w:p>
      <w:pPr>
        <w:spacing w:after="0" w:line="207"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French Qualified Performance Share Units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in the case of death, French Qualified Performance Share Units may not be transferred to any third party.</w:t>
      </w:r>
    </w:p>
    <w:p>
      <w:pPr>
        <w:sectPr>
          <w:pgSz w:w="11900" w:h="16838" w:orient="portrait"/>
          <w:cols w:equalWidth="0" w:num="1">
            <w:col w:w="11420"/>
          </w:cols>
          <w:pgMar w:left="240" w:top="280" w:right="239" w:bottom="1440" w:gutter="0" w:footer="0" w:header="0"/>
        </w:sectPr>
      </w:pPr>
    </w:p>
    <w:bookmarkStart w:id="61" w:name="page62"/>
    <w:bookmarkEnd w:id="61"/>
    <w:p>
      <w:pPr>
        <w:ind w:left="180" w:hanging="172"/>
        <w:spacing w:after="0"/>
        <w:tabs>
          <w:tab w:leader="none" w:pos="1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account</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shares issued pursuant to the French Qualified Performance Share Units shall be recorded in an account in the name of the employee with the Company or in such other manner as the Company may otherwise determine in order to ensure compliance with the sale restrictions set forth above in section 3.</w:t>
      </w:r>
    </w:p>
    <w:p>
      <w:pPr>
        <w:spacing w:after="0" w:line="137"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to certain corporate events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Adjustments to the terms and conditions of the French Qualified Performance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Performance Share Units may no longer qualify as French Qualified Performance Share Units.</w:t>
      </w:r>
    </w:p>
    <w:p>
      <w:pPr>
        <w:sectPr>
          <w:pgSz w:w="11900" w:h="16838" w:orient="portrait"/>
          <w:cols w:equalWidth="0" w:num="1">
            <w:col w:w="11260"/>
          </w:cols>
          <w:pgMar w:left="240" w:top="274" w:right="39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4: French Terms applicable to three year Performance Share Units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It is intended that Performance Share Units granted under the French Plan shall qualify for the specific tax and social security charges treatment applicable to French Qualified Performance Share Units Options granted under Articles L.225-197-1 to L.225-197-5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Performance Share Units granted under this Appendix 4 will be deemed French Qualified Performance Share Units.</w:t>
      </w:r>
    </w:p>
    <w:p>
      <w:pPr>
        <w:spacing w:after="0" w:line="195"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French Qualified Performance Share Units may not be granted under this Addendum to an individual:</w:t>
      </w:r>
    </w:p>
    <w:p>
      <w:pPr>
        <w:spacing w:after="0" w:line="90" w:lineRule="exact"/>
        <w:rPr>
          <w:sz w:val="20"/>
          <w:szCs w:val="20"/>
          <w:color w:val="auto"/>
        </w:rPr>
      </w:pPr>
    </w:p>
    <w:p>
      <w:pPr>
        <w:ind w:left="720" w:hanging="256"/>
        <w:spacing w:after="0"/>
        <w:tabs>
          <w:tab w:leader="none" w:pos="720"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unless he is employed by Schlumberger Limited or by a company which is a corporation subsidiary of Schlumberger Limited; or</w:t>
      </w:r>
    </w:p>
    <w:p>
      <w:pPr>
        <w:spacing w:after="0" w:line="90" w:lineRule="exact"/>
        <w:rPr>
          <w:rFonts w:ascii="Arial" w:cs="Arial" w:eastAsia="Arial" w:hAnsi="Arial"/>
          <w:sz w:val="18"/>
          <w:szCs w:val="18"/>
          <w:b w:val="1"/>
          <w:bCs w:val="1"/>
          <w:color w:val="auto"/>
        </w:rPr>
      </w:pPr>
    </w:p>
    <w:p>
      <w:pPr>
        <w:ind w:right="60" w:firstLine="464"/>
        <w:spacing w:after="0" w:line="268" w:lineRule="auto"/>
        <w:tabs>
          <w:tab w:leader="none" w:pos="715"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unless he is a director with a management function as defined in Article 225-197-1 of the French “Code de Commerce” in France of a company which is a corporation subsidiary of Schlumberger Limited; or</w:t>
      </w:r>
    </w:p>
    <w:p>
      <w:pPr>
        <w:spacing w:after="0" w:line="50" w:lineRule="exact"/>
        <w:rPr>
          <w:rFonts w:ascii="Arial" w:cs="Arial" w:eastAsia="Arial" w:hAnsi="Arial"/>
          <w:sz w:val="18"/>
          <w:szCs w:val="18"/>
          <w:b w:val="1"/>
          <w:bCs w:val="1"/>
          <w:color w:val="auto"/>
        </w:rPr>
      </w:pPr>
    </w:p>
    <w:p>
      <w:pPr>
        <w:ind w:left="700" w:hanging="236"/>
        <w:spacing w:after="0"/>
        <w:tabs>
          <w:tab w:leader="none" w:pos="700"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who owns more than 10% of the share capital of Schlumberger Limited</w:t>
      </w:r>
    </w:p>
    <w:p>
      <w:pPr>
        <w:spacing w:after="0" w:line="246" w:lineRule="exact"/>
        <w:rPr>
          <w:rFonts w:ascii="Arial" w:cs="Arial" w:eastAsia="Arial" w:hAnsi="Arial"/>
          <w:sz w:val="18"/>
          <w:szCs w:val="18"/>
          <w:b w:val="1"/>
          <w:bCs w:val="1"/>
          <w:color w:val="auto"/>
        </w:rPr>
      </w:pPr>
    </w:p>
    <w:p>
      <w:pPr>
        <w:ind w:left="180" w:hanging="172"/>
        <w:spacing w:after="0"/>
        <w:tabs>
          <w:tab w:leader="none" w:pos="1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Settlement and Delivery of French Qualified Performance Share Units</w:t>
      </w:r>
    </w:p>
    <w:p>
      <w:pPr>
        <w:spacing w:after="0" w:line="96" w:lineRule="exact"/>
        <w:rPr>
          <w:rFonts w:ascii="Arial" w:cs="Arial" w:eastAsia="Arial" w:hAnsi="Arial"/>
          <w:sz w:val="18"/>
          <w:szCs w:val="18"/>
          <w:b w:val="1"/>
          <w:bCs w:val="1"/>
          <w:color w:val="auto"/>
        </w:rPr>
      </w:pPr>
    </w:p>
    <w:p>
      <w:pPr>
        <w:ind w:left="720" w:hanging="256"/>
        <w:spacing w:after="0"/>
        <w:tabs>
          <w:tab w:leader="none" w:pos="720" w:val="left"/>
        </w:tabs>
        <w:numPr>
          <w:ilvl w:val="1"/>
          <w:numId w:val="86"/>
        </w:numPr>
        <w:rPr>
          <w:rFonts w:ascii="Arial" w:cs="Arial" w:eastAsia="Arial" w:hAnsi="Arial"/>
          <w:sz w:val="18"/>
          <w:szCs w:val="18"/>
          <w:b w:val="1"/>
          <w:bCs w:val="1"/>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French Qualified Performance Share Units shall vest as provided for in the Share Unit Agreement.</w:t>
      </w:r>
    </w:p>
    <w:p>
      <w:pPr>
        <w:spacing w:after="0" w:line="90" w:lineRule="exact"/>
        <w:rPr>
          <w:rFonts w:ascii="Arial" w:cs="Arial" w:eastAsia="Arial" w:hAnsi="Arial"/>
          <w:sz w:val="18"/>
          <w:szCs w:val="18"/>
          <w:b w:val="1"/>
          <w:bCs w:val="1"/>
          <w:color w:val="auto"/>
        </w:rPr>
      </w:pPr>
    </w:p>
    <w:p>
      <w:pPr>
        <w:ind w:left="720" w:hanging="256"/>
        <w:spacing w:after="0"/>
        <w:tabs>
          <w:tab w:leader="none" w:pos="720" w:val="left"/>
        </w:tabs>
        <w:numPr>
          <w:ilvl w:val="1"/>
          <w:numId w:val="86"/>
        </w:numPr>
        <w:rPr>
          <w:rFonts w:ascii="Arial" w:cs="Arial" w:eastAsia="Arial" w:hAnsi="Arial"/>
          <w:sz w:val="18"/>
          <w:szCs w:val="18"/>
          <w:b w:val="1"/>
          <w:bCs w:val="1"/>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Payment of vested Performance Share Units shall only be made in shares of Common Stock.</w:t>
      </w:r>
    </w:p>
    <w:p>
      <w:pPr>
        <w:spacing w:after="0" w:line="90" w:lineRule="exact"/>
        <w:rPr>
          <w:rFonts w:ascii="Arial" w:cs="Arial" w:eastAsia="Arial" w:hAnsi="Arial"/>
          <w:sz w:val="18"/>
          <w:szCs w:val="18"/>
          <w:b w:val="1"/>
          <w:bCs w:val="1"/>
          <w:color w:val="auto"/>
        </w:rPr>
      </w:pPr>
    </w:p>
    <w:p>
      <w:pPr>
        <w:ind w:firstLine="464"/>
        <w:spacing w:after="0" w:line="259" w:lineRule="auto"/>
        <w:tabs>
          <w:tab w:leader="none" w:pos="695" w:val="left"/>
        </w:tabs>
        <w:numPr>
          <w:ilvl w:val="1"/>
          <w:numId w:val="86"/>
        </w:numPr>
        <w:rPr>
          <w:rFonts w:ascii="Arial" w:cs="Arial" w:eastAsia="Arial" w:hAnsi="Arial"/>
          <w:sz w:val="18"/>
          <w:szCs w:val="18"/>
          <w:b w:val="1"/>
          <w:bCs w:val="1"/>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xml:space="preserve"> Notwithstanding the vesting date of the Performance Share Units, under no circumstances, except in case of employee’s death as provided for in section 2 (d) below, shall the delivery of the shares related to a French Qualified Performance Share Unit occur prior to the fourth anniversary of the Grant Date.</w:t>
      </w:r>
    </w:p>
    <w:p>
      <w:pPr>
        <w:sectPr>
          <w:pgSz w:w="11900" w:h="16838" w:orient="portrait"/>
          <w:cols w:equalWidth="0" w:num="1">
            <w:col w:w="11340"/>
          </w:cols>
          <w:pgMar w:left="240" w:top="274" w:right="319" w:bottom="1440" w:gutter="0" w:footer="0" w:header="0"/>
        </w:sectPr>
      </w:pPr>
    </w:p>
    <w:bookmarkStart w:id="63" w:name="page64"/>
    <w:bookmarkEnd w:id="63"/>
    <w:p>
      <w:pPr>
        <w:ind w:left="460" w:firstLine="4"/>
        <w:spacing w:after="0" w:line="298" w:lineRule="auto"/>
        <w:tabs>
          <w:tab w:leader="none" w:pos="718" w:val="left"/>
        </w:tabs>
        <w:numPr>
          <w:ilvl w:val="1"/>
          <w:numId w:val="87"/>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Acceleration on Death</w:t>
      </w:r>
      <w:r>
        <w:rPr>
          <w:rFonts w:ascii="Arial" w:cs="Arial" w:eastAsia="Arial" w:hAnsi="Arial"/>
          <w:sz w:val="16"/>
          <w:szCs w:val="16"/>
          <w:color w:val="auto"/>
        </w:rPr>
        <w:t>. Upon Termination of Employment from the Company by reason of employee’s death, all French Qualified Performance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w:t>
      </w:r>
    </w:p>
    <w:p>
      <w:pPr>
        <w:spacing w:after="0" w:line="187" w:lineRule="exact"/>
        <w:rPr>
          <w:rFonts w:ascii="Arial" w:cs="Arial" w:eastAsia="Arial" w:hAnsi="Arial"/>
          <w:sz w:val="16"/>
          <w:szCs w:val="16"/>
          <w:b w:val="1"/>
          <w:bCs w:val="1"/>
          <w:color w:val="auto"/>
        </w:rPr>
      </w:pPr>
    </w:p>
    <w:p>
      <w:pPr>
        <w:ind w:left="180" w:hanging="172"/>
        <w:spacing w:after="0"/>
        <w:tabs>
          <w:tab w:leader="none" w:pos="1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Sales Restrictions</w:t>
      </w:r>
    </w:p>
    <w:p>
      <w:pPr>
        <w:spacing w:after="0" w:line="9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sale of shares issued pursuant to the conversion of the French Qualified Performance Share Units may occur as soon as the shares are delivered to the employee provided the closed periods in section 4 below are respected.</w:t>
      </w:r>
    </w:p>
    <w:p>
      <w:pPr>
        <w:spacing w:after="0" w:line="207"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underlying French Qualified Performance Share Units may not be sold during the following period (“Closed Periods”):</w:t>
      </w:r>
    </w:p>
    <w:p>
      <w:pPr>
        <w:spacing w:after="0" w:line="90" w:lineRule="exact"/>
        <w:rPr>
          <w:sz w:val="20"/>
          <w:szCs w:val="20"/>
          <w:color w:val="auto"/>
        </w:rPr>
      </w:pPr>
    </w:p>
    <w:p>
      <w:pPr>
        <w:ind w:left="720" w:hanging="256"/>
        <w:spacing w:after="0"/>
        <w:tabs>
          <w:tab w:leader="none" w:pos="720"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within the 10 days before or after the publication of the annual accounts;</w:t>
      </w:r>
    </w:p>
    <w:p>
      <w:pPr>
        <w:spacing w:after="0" w:line="90" w:lineRule="exact"/>
        <w:rPr>
          <w:rFonts w:ascii="Arial" w:cs="Arial" w:eastAsia="Arial" w:hAnsi="Arial"/>
          <w:sz w:val="18"/>
          <w:szCs w:val="18"/>
          <w:b w:val="1"/>
          <w:bCs w:val="1"/>
          <w:color w:val="auto"/>
        </w:rPr>
      </w:pPr>
    </w:p>
    <w:p>
      <w:pPr>
        <w:ind w:right="300" w:firstLine="464"/>
        <w:spacing w:after="0" w:line="332" w:lineRule="auto"/>
        <w:tabs>
          <w:tab w:leader="none" w:pos="715" w:val="left"/>
        </w:tabs>
        <w:numPr>
          <w:ilvl w:val="0"/>
          <w:numId w:val="90"/>
        </w:numPr>
        <w:rPr>
          <w:rFonts w:ascii="Arial" w:cs="Arial" w:eastAsia="Arial" w:hAnsi="Arial"/>
          <w:sz w:val="16"/>
          <w:szCs w:val="16"/>
          <w:b w:val="1"/>
          <w:bCs w:val="1"/>
          <w:color w:val="auto"/>
        </w:rPr>
      </w:pPr>
      <w:r>
        <w:rPr>
          <w:rFonts w:ascii="Arial" w:cs="Arial" w:eastAsia="Arial" w:hAnsi="Arial"/>
          <w:sz w:val="16"/>
          <w:szCs w:val="16"/>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These Closed Periods will apply to grant of French Qualified Performance Share Units as long as and to the extent such Closed Periods are applicable under French law.</w:t>
      </w:r>
    </w:p>
    <w:p>
      <w:pPr>
        <w:spacing w:after="0" w:line="207"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French Qualified Performance Share Units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in the case of death, French Qualified Performance Share Units may not be transferred to any third party.</w:t>
      </w:r>
    </w:p>
    <w:p>
      <w:pPr>
        <w:spacing w:after="0" w:line="246" w:lineRule="exact"/>
        <w:rPr>
          <w:sz w:val="20"/>
          <w:szCs w:val="20"/>
          <w:color w:val="auto"/>
        </w:rPr>
      </w:pPr>
    </w:p>
    <w:p>
      <w:pPr>
        <w:ind w:left="180" w:hanging="172"/>
        <w:spacing w:after="0"/>
        <w:tabs>
          <w:tab w:leader="none" w:pos="1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to certain corporate events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Adjustments to the terms and conditions of the French Qualified Performance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Performance Share Units may no longer qualify as French Qualified Performance Share Units.</w:t>
      </w:r>
    </w:p>
    <w:p>
      <w:pPr>
        <w:sectPr>
          <w:pgSz w:w="11900" w:h="16838" w:orient="portrait"/>
          <w:cols w:equalWidth="0" w:num="1">
            <w:col w:w="11360"/>
          </w:cols>
          <w:pgMar w:left="240" w:top="280" w:right="2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71"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9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24, 2013</w:t>
      </w:r>
      <w:r>
        <w:rPr>
          <w:sz w:val="20"/>
          <w:szCs w:val="20"/>
          <w:color w:val="auto"/>
        </w:rPr>
        <w:tab/>
      </w:r>
      <w:r>
        <w:rPr>
          <w:rFonts w:ascii="Arial" w:cs="Arial" w:eastAsia="Arial" w:hAnsi="Arial"/>
          <w:sz w:val="15"/>
          <w:szCs w:val="15"/>
          <w:color w:val="auto"/>
        </w:rPr>
        <w:t>/s/ Paal Kibsgaard</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71" w:lineRule="exact"/>
        <w:rPr>
          <w:sz w:val="20"/>
          <w:szCs w:val="20"/>
          <w:color w:val="auto"/>
        </w:rPr>
      </w:pPr>
    </w:p>
    <w:p>
      <w:pPr>
        <w:ind w:left="180" w:hanging="172"/>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9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24, 2013</w:t>
      </w:r>
      <w:r>
        <w:rPr>
          <w:sz w:val="20"/>
          <w:szCs w:val="20"/>
          <w:color w:val="auto"/>
        </w:rPr>
        <w:tab/>
      </w:r>
      <w:r>
        <w:rPr>
          <w:rFonts w:ascii="Arial" w:cs="Arial" w:eastAsia="Arial" w:hAnsi="Arial"/>
          <w:sz w:val="16"/>
          <w:szCs w:val="16"/>
          <w:color w:val="auto"/>
        </w:rPr>
        <w:t>/s/ Simon Ayat</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March 31, 2013 as filed with the Securities and Exchange Commission on the date hereof (the “Report”), I, Paal Kibsgaard, Chief Executive Officer of the Company, certify, pursuant to 18 U.S.C. § 1350, as adopted pursuant to § 906 of the Sarbanes-Oxley Act of 2002, that: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24, 2013</w:t>
      </w:r>
      <w:r>
        <w:rPr>
          <w:sz w:val="20"/>
          <w:szCs w:val="20"/>
          <w:color w:val="auto"/>
        </w:rPr>
        <w:tab/>
      </w:r>
      <w:r>
        <w:rPr>
          <w:rFonts w:ascii="Arial" w:cs="Arial" w:eastAsia="Arial" w:hAnsi="Arial"/>
          <w:sz w:val="15"/>
          <w:szCs w:val="15"/>
          <w:color w:val="auto"/>
        </w:rPr>
        <w:t>/s/ Paal Kibsgaard</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Chief Executive Officer</w:t>
      </w:r>
    </w:p>
    <w:p>
      <w:pPr>
        <w:spacing w:after="0" w:line="16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March 31, 2013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24, 2013</w:t>
      </w:r>
      <w:r>
        <w:rPr>
          <w:sz w:val="20"/>
          <w:szCs w:val="20"/>
          <w:color w:val="auto"/>
        </w:rPr>
        <w:tab/>
      </w:r>
      <w:r>
        <w:rPr>
          <w:rFonts w:ascii="Arial" w:cs="Arial" w:eastAsia="Arial" w:hAnsi="Arial"/>
          <w:sz w:val="16"/>
          <w:szCs w:val="16"/>
          <w:color w:val="auto"/>
        </w:rPr>
        <w:t>/s/ Simon Ayat</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95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table that follows reflects citations, orders, violations and proposed assessments issued by the Mine Safety and Health Administration (the “MSHA”) to M-I LLC, which, following Schlumberger’s acquisition of Smith International, Inc., is an indirect wholly-owned subsidiary of Schlumberger. The disclosure is with respect to the three months ended March 31, 2013. Due to timing and other factors, the data may not agree with the mine data retrieval system maintained by the MSHA at www.MSHA.gov.</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(whole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82"/>
              </w:rPr>
              <w:t>Received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Received</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6"/>
              </w:rPr>
              <w:t>Notice of</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Notice of</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4"/>
              </w:rPr>
              <w:t>Potential</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Legal</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spacing w:after="0"/>
              <w:rPr>
                <w:sz w:val="20"/>
                <w:szCs w:val="20"/>
                <w:color w:val="auto"/>
              </w:rPr>
            </w:pPr>
            <w:r>
              <w:rPr>
                <w:rFonts w:ascii="Arial" w:cs="Arial" w:eastAsia="Arial" w:hAnsi="Arial"/>
                <w:sz w:val="14"/>
                <w:szCs w:val="14"/>
                <w:color w:val="auto"/>
              </w:rPr>
              <w:t>Mine or</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Pattern of</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to Have</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Actions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3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240"/>
              <w:spacing w:after="0" w:line="133" w:lineRule="exact"/>
              <w:rPr>
                <w:sz w:val="20"/>
                <w:szCs w:val="20"/>
                <w:color w:val="auto"/>
              </w:rPr>
            </w:pPr>
            <w:r>
              <w:rPr>
                <w:rFonts w:ascii="Arial" w:cs="Arial" w:eastAsia="Arial" w:hAnsi="Arial"/>
                <w:sz w:val="14"/>
                <w:szCs w:val="14"/>
                <w:color w:val="auto"/>
                <w:w w:val="85"/>
              </w:rPr>
              <w:t>Section</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right"/>
              <w:ind w:right="280"/>
              <w:spacing w:after="0" w:line="133" w:lineRule="exact"/>
              <w:rPr>
                <w:sz w:val="20"/>
                <w:szCs w:val="20"/>
                <w:color w:val="auto"/>
              </w:rPr>
            </w:pPr>
            <w:r>
              <w:rPr>
                <w:rFonts w:ascii="Arial" w:cs="Arial" w:eastAsia="Arial" w:hAnsi="Arial"/>
                <w:sz w:val="14"/>
                <w:szCs w:val="14"/>
                <w:color w:val="auto"/>
                <w:w w:val="88"/>
              </w:rPr>
              <w:t>Violations</w:t>
            </w:r>
          </w:p>
        </w:tc>
        <w:tc>
          <w:tcPr>
            <w:tcW w:w="760" w:type="dxa"/>
            <w:vAlign w:val="bottom"/>
            <w:gridSpan w:val="2"/>
          </w:tcPr>
          <w:p>
            <w:pPr>
              <w:jc w:val="center"/>
              <w:ind w:right="260"/>
              <w:spacing w:after="0" w:line="133" w:lineRule="exact"/>
              <w:rPr>
                <w:sz w:val="20"/>
                <w:szCs w:val="20"/>
                <w:color w:val="auto"/>
              </w:rPr>
            </w:pPr>
            <w:r>
              <w:rPr>
                <w:rFonts w:ascii="Arial" w:cs="Arial" w:eastAsia="Arial" w:hAnsi="Arial"/>
                <w:sz w:val="14"/>
                <w:szCs w:val="14"/>
                <w:color w:val="auto"/>
                <w:w w:val="84"/>
              </w:rPr>
              <w:t>Pattern</w:t>
            </w:r>
          </w:p>
        </w:tc>
        <w:tc>
          <w:tcPr>
            <w:tcW w:w="700" w:type="dxa"/>
            <w:vAlign w:val="bottom"/>
            <w:gridSpan w:val="2"/>
          </w:tcPr>
          <w:p>
            <w:pPr>
              <w:jc w:val="right"/>
              <w:ind w:right="260"/>
              <w:spacing w:after="0" w:line="133" w:lineRule="exact"/>
              <w:rPr>
                <w:sz w:val="20"/>
                <w:szCs w:val="20"/>
                <w:color w:val="auto"/>
              </w:rPr>
            </w:pPr>
            <w:r>
              <w:rPr>
                <w:rFonts w:ascii="Arial" w:cs="Arial" w:eastAsia="Arial" w:hAnsi="Arial"/>
                <w:sz w:val="14"/>
                <w:szCs w:val="14"/>
                <w:color w:val="auto"/>
                <w:w w:val="81"/>
              </w:rPr>
              <w:t>Pending</w:t>
            </w:r>
          </w:p>
        </w:tc>
        <w:tc>
          <w:tcPr>
            <w:tcW w:w="720" w:type="dxa"/>
            <w:vAlign w:val="bottom"/>
            <w:gridSpan w:val="2"/>
          </w:tcPr>
          <w:p>
            <w:pPr>
              <w:jc w:val="center"/>
              <w:ind w:right="260"/>
              <w:spacing w:after="0" w:line="133" w:lineRule="exact"/>
              <w:rPr>
                <w:sz w:val="20"/>
                <w:szCs w:val="20"/>
                <w:color w:val="auto"/>
              </w:rPr>
            </w:pPr>
            <w:r>
              <w:rPr>
                <w:rFonts w:ascii="Arial" w:cs="Arial" w:eastAsia="Arial" w:hAnsi="Arial"/>
                <w:sz w:val="14"/>
                <w:szCs w:val="14"/>
                <w:color w:val="auto"/>
                <w:w w:val="87"/>
              </w:rPr>
              <w:t>Legal</w:t>
            </w:r>
          </w:p>
        </w:tc>
        <w:tc>
          <w:tcPr>
            <w:tcW w:w="580" w:type="dxa"/>
            <w:vAlign w:val="bottom"/>
            <w:gridSpan w:val="2"/>
          </w:tcPr>
          <w:p>
            <w:pPr>
              <w:jc w:val="center"/>
              <w:ind w:right="80"/>
              <w:spacing w:after="0" w:line="133" w:lineRule="exact"/>
              <w:rPr>
                <w:sz w:val="20"/>
                <w:szCs w:val="20"/>
                <w:color w:val="auto"/>
              </w:rPr>
            </w:pPr>
            <w:r>
              <w:rPr>
                <w:rFonts w:ascii="Arial" w:cs="Arial" w:eastAsia="Arial" w:hAnsi="Arial"/>
                <w:sz w:val="14"/>
                <w:szCs w:val="14"/>
                <w:color w:val="auto"/>
                <w:w w:val="87"/>
              </w:rPr>
              <w:t>Legal</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Operating</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104(d)</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Under</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Under</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as of</w:t>
            </w: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Actions</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Actions</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Name/MSHA</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Section</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Section</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Citations</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Section</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Section</w:t>
            </w:r>
          </w:p>
        </w:tc>
        <w:tc>
          <w:tcPr>
            <w:tcW w:w="1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0"/>
              </w:rPr>
              <w:t>Proposed</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Mining</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Section</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Section</w:t>
            </w: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Last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Initiated</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2"/>
              </w:rPr>
              <w:t>Resolved</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Identification</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3"/>
              </w:rPr>
              <w:t>104 S&amp;S</w:t>
            </w: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104(b)</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and</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110(b)(2)</w:t>
            </w: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107(a)</w:t>
            </w:r>
          </w:p>
        </w:tc>
        <w:tc>
          <w:tcPr>
            <w:tcW w:w="100" w:type="dxa"/>
            <w:vAlign w:val="bottom"/>
          </w:tcPr>
          <w:p>
            <w:pPr>
              <w:spacing w:after="0"/>
              <w:rPr>
                <w:sz w:val="12"/>
                <w:szCs w:val="12"/>
                <w:color w:val="auto"/>
              </w:rPr>
            </w:pP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MSHA</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Related</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3"/>
              </w:rPr>
              <w:t>104(e)</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3"/>
              </w:rPr>
              <w:t>104(e)</w:t>
            </w: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Day of</w:t>
            </w: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During</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During</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29" w:lineRule="exact"/>
              <w:rPr>
                <w:sz w:val="20"/>
                <w:szCs w:val="20"/>
                <w:color w:val="auto"/>
              </w:rPr>
            </w:pPr>
            <w:r>
              <w:rPr>
                <w:rFonts w:ascii="Arial" w:cs="Arial" w:eastAsia="Arial" w:hAnsi="Arial"/>
                <w:sz w:val="14"/>
                <w:szCs w:val="14"/>
                <w:color w:val="auto"/>
              </w:rPr>
              <w:t>Number</w:t>
            </w:r>
          </w:p>
        </w:tc>
        <w:tc>
          <w:tcPr>
            <w:tcW w:w="74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w w:val="84"/>
              </w:rPr>
              <w:t>Citations</w:t>
            </w: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Orders</w:t>
            </w:r>
          </w:p>
        </w:tc>
        <w:tc>
          <w:tcPr>
            <w:tcW w:w="76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w w:val="84"/>
              </w:rPr>
              <w:t>Orders</w:t>
            </w:r>
          </w:p>
        </w:tc>
        <w:tc>
          <w:tcPr>
            <w:tcW w:w="82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w w:val="88"/>
              </w:rPr>
              <w:t>Violations</w:t>
            </w: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Orders</w:t>
            </w:r>
          </w:p>
        </w:tc>
        <w:tc>
          <w:tcPr>
            <w:tcW w:w="1120" w:type="dxa"/>
            <w:vAlign w:val="bottom"/>
            <w:gridSpan w:val="3"/>
          </w:tcPr>
          <w:p>
            <w:pPr>
              <w:spacing w:after="0" w:line="129" w:lineRule="exact"/>
              <w:rPr>
                <w:sz w:val="20"/>
                <w:szCs w:val="20"/>
                <w:color w:val="auto"/>
              </w:rPr>
            </w:pPr>
            <w:r>
              <w:rPr>
                <w:rFonts w:ascii="Arial" w:cs="Arial" w:eastAsia="Arial" w:hAnsi="Arial"/>
                <w:sz w:val="10"/>
                <w:szCs w:val="10"/>
                <w:color w:val="auto"/>
              </w:rPr>
              <w:t>Assessments</w:t>
            </w:r>
            <w:r>
              <w:rPr>
                <w:rFonts w:ascii="Arial" w:cs="Arial" w:eastAsia="Arial" w:hAnsi="Arial"/>
                <w:sz w:val="14"/>
                <w:szCs w:val="14"/>
                <w:color w:val="auto"/>
                <w:vertAlign w:val="superscript"/>
              </w:rPr>
              <w:t>(1)</w:t>
            </w:r>
          </w:p>
        </w:tc>
        <w:tc>
          <w:tcPr>
            <w:tcW w:w="74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w w:val="82"/>
              </w:rPr>
              <w:t>Fatalities</w:t>
            </w:r>
          </w:p>
        </w:tc>
        <w:tc>
          <w:tcPr>
            <w:tcW w:w="84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90"/>
              </w:rPr>
              <w:t>(yes/no)</w:t>
            </w: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6"/>
              </w:rPr>
              <w:t>(yes/no)</w:t>
            </w:r>
          </w:p>
        </w:tc>
        <w:tc>
          <w:tcPr>
            <w:tcW w:w="70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88"/>
              </w:rPr>
              <w:t>Period</w:t>
            </w:r>
          </w:p>
        </w:tc>
        <w:tc>
          <w:tcPr>
            <w:tcW w:w="72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83"/>
              </w:rPr>
              <w:t>Period</w:t>
            </w:r>
          </w:p>
        </w:tc>
        <w:tc>
          <w:tcPr>
            <w:tcW w:w="580" w:type="dxa"/>
            <w:vAlign w:val="bottom"/>
            <w:gridSpan w:val="2"/>
          </w:tcPr>
          <w:p>
            <w:pPr>
              <w:jc w:val="center"/>
              <w:ind w:right="60"/>
              <w:spacing w:after="0" w:line="129" w:lineRule="exact"/>
              <w:rPr>
                <w:sz w:val="20"/>
                <w:szCs w:val="20"/>
                <w:color w:val="auto"/>
              </w:rPr>
            </w:pPr>
            <w:r>
              <w:rPr>
                <w:rFonts w:ascii="Arial" w:cs="Arial" w:eastAsia="Arial" w:hAnsi="Arial"/>
                <w:sz w:val="14"/>
                <w:szCs w:val="14"/>
                <w:color w:val="auto"/>
                <w:w w:val="88"/>
              </w:rPr>
              <w:t>Period</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Amelia Barite Plant/1600825</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1"/>
              </w:rPr>
              <w:t>0</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200</w:t>
            </w: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N</w:t>
            </w: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N</w:t>
            </w: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300" w:type="dxa"/>
            <w:vAlign w:val="bottom"/>
            <w:gridSpan w:val="2"/>
          </w:tcPr>
          <w:p>
            <w:pPr>
              <w:spacing w:after="0" w:line="138" w:lineRule="exact"/>
              <w:rPr>
                <w:sz w:val="20"/>
                <w:szCs w:val="20"/>
                <w:color w:val="auto"/>
              </w:rPr>
            </w:pPr>
            <w:r>
              <w:rPr>
                <w:rFonts w:ascii="Arial" w:cs="Arial" w:eastAsia="Arial" w:hAnsi="Arial"/>
                <w:sz w:val="14"/>
                <w:szCs w:val="14"/>
                <w:color w:val="auto"/>
              </w:rPr>
              <w:t>Battle Mountain Grinding</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Plant/2600828</w:t>
            </w:r>
          </w:p>
        </w:tc>
        <w:tc>
          <w:tcPr>
            <w:tcW w:w="7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3"/>
                <w:szCs w:val="13"/>
                <w:color w:val="auto"/>
              </w:rPr>
            </w:pPr>
          </w:p>
        </w:tc>
        <w:tc>
          <w:tcPr>
            <w:tcW w:w="76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0</w:t>
            </w:r>
          </w:p>
        </w:tc>
        <w:tc>
          <w:tcPr>
            <w:tcW w:w="6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0</w:t>
            </w: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0</w:t>
            </w:r>
          </w:p>
        </w:tc>
        <w:tc>
          <w:tcPr>
            <w:tcW w:w="7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N</w:t>
            </w:r>
          </w:p>
        </w:tc>
        <w:tc>
          <w:tcPr>
            <w:tcW w:w="7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N</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Galveston GBT Barite Grinding</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Plant/4104675</w:t>
            </w:r>
          </w:p>
        </w:tc>
        <w:tc>
          <w:tcPr>
            <w:tcW w:w="7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0</w:t>
            </w:r>
          </w:p>
        </w:tc>
        <w:tc>
          <w:tcPr>
            <w:tcW w:w="6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100</w:t>
            </w:r>
          </w:p>
        </w:tc>
        <w:tc>
          <w:tcPr>
            <w:tcW w:w="7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N</w:t>
            </w:r>
          </w:p>
        </w:tc>
        <w:tc>
          <w:tcPr>
            <w:tcW w:w="7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N</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Greybull Milling Operation/ 4800602</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969</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Greybull Mining Operation/ 4800603</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Greystone Mine/2600411</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2,021*</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MISWACO-Alpine/4104829</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N</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00" w:type="dxa"/>
            <w:vAlign w:val="bottom"/>
            <w:gridSpan w:val="2"/>
          </w:tcPr>
          <w:p>
            <w:pPr>
              <w:spacing w:after="0" w:line="138" w:lineRule="exact"/>
              <w:rPr>
                <w:sz w:val="20"/>
                <w:szCs w:val="20"/>
                <w:color w:val="auto"/>
              </w:rPr>
            </w:pPr>
            <w:r>
              <w:rPr>
                <w:rFonts w:ascii="Arial" w:cs="Arial" w:eastAsia="Arial" w:hAnsi="Arial"/>
                <w:sz w:val="14"/>
                <w:szCs w:val="14"/>
                <w:color w:val="auto"/>
              </w:rPr>
              <w:t>MISWACO-Brownsville Grinding</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300" w:type="dxa"/>
            <w:vAlign w:val="bottom"/>
            <w:gridSpan w:val="2"/>
          </w:tcPr>
          <w:p>
            <w:pPr>
              <w:ind w:left="220"/>
              <w:spacing w:after="0"/>
              <w:rPr>
                <w:sz w:val="20"/>
                <w:szCs w:val="20"/>
                <w:color w:val="auto"/>
              </w:rPr>
            </w:pPr>
            <w:r>
              <w:rPr>
                <w:rFonts w:ascii="Arial" w:cs="Arial" w:eastAsia="Arial" w:hAnsi="Arial"/>
                <w:sz w:val="14"/>
                <w:szCs w:val="14"/>
                <w:color w:val="auto"/>
              </w:rPr>
              <w:t>Plant/4103033</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0</w:t>
            </w: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4"/>
                <w:szCs w:val="14"/>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0</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0</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N</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N</w:t>
            </w: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60" w:right="240" w:hanging="452"/>
        <w:spacing w:after="0" w:line="303" w:lineRule="auto"/>
        <w:tabs>
          <w:tab w:leader="none" w:pos="4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Amounts included are the total dollar value of proposed assessments received from MSHA during the three months ended March 31, 2013,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depending on the size and type of the operation.</w:t>
      </w:r>
    </w:p>
    <w:p>
      <w:pPr>
        <w:spacing w:after="0" w:line="9"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 of March 31, 2013, MSHA had not yet proposed assessments for five Section 104(a) citations at Greystone Mine.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1."/>
      <w:numFmt w:val="decimal"/>
      <w:start w:val="2"/>
    </w:lvl>
  </w:abstractNum>
  <w:abstractNum w:abstractNumId="2">
    <w:nsid w:val="579478FE"/>
    <w:multiLevelType w:val="hybridMultilevel"/>
    <w:lvl w:ilvl="0">
      <w:lvlJc w:val="left"/>
      <w:lvlText w:val="%1."/>
      <w:numFmt w:val="decimal"/>
      <w:start w:val="3"/>
    </w:lvl>
  </w:abstractNum>
  <w:abstractNum w:abstractNumId="3">
    <w:nsid w:val="749ABB43"/>
    <w:multiLevelType w:val="hybridMultilevel"/>
    <w:lvl w:ilvl="0">
      <w:lvlJc w:val="left"/>
      <w:lvlText w:val="%1."/>
      <w:numFmt w:val="decimal"/>
      <w:start w:val="4"/>
    </w:lvl>
  </w:abstractNum>
  <w:abstractNum w:abstractNumId="4">
    <w:nsid w:val="3DC240FB"/>
    <w:multiLevelType w:val="hybridMultilevel"/>
    <w:lvl w:ilvl="0">
      <w:lvlJc w:val="left"/>
      <w:lvlText w:val="%1."/>
      <w:numFmt w:val="decimal"/>
      <w:start w:val="5"/>
    </w:lvl>
  </w:abstractNum>
  <w:abstractNum w:abstractNumId="5">
    <w:nsid w:val="1BA026FA"/>
    <w:multiLevelType w:val="hybridMultilevel"/>
    <w:lvl w:ilvl="0">
      <w:lvlJc w:val="left"/>
      <w:lvlText w:val="%1."/>
      <w:numFmt w:val="decimal"/>
      <w:start w:val="6"/>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1."/>
      <w:numFmt w:val="decimal"/>
      <w:start w:val="7"/>
    </w:lvl>
  </w:abstractNum>
  <w:abstractNum w:abstractNumId="9">
    <w:nsid w:val="70C6A529"/>
    <w:multiLevelType w:val="hybridMultilevel"/>
    <w:lvl w:ilvl="0">
      <w:lvlJc w:val="left"/>
      <w:lvlText w:val="%1."/>
      <w:numFmt w:val="decimal"/>
      <w:start w:val="8"/>
    </w:lvl>
  </w:abstractNum>
  <w:abstractNum w:abstractNumId="10">
    <w:nsid w:val="520EEDD1"/>
    <w:multiLevelType w:val="hybridMultilevel"/>
    <w:lvl w:ilvl="0">
      <w:lvlJc w:val="left"/>
      <w:lvlText w:val="%1."/>
      <w:numFmt w:val="decimal"/>
      <w:start w:val="9"/>
    </w:lvl>
  </w:abstractNum>
  <w:abstractNum w:abstractNumId="11">
    <w:nsid w:val="374A3FE6"/>
    <w:multiLevelType w:val="hybridMultilevel"/>
    <w:lvl w:ilvl="0">
      <w:lvlJc w:val="left"/>
      <w:lvlText w:val="%1."/>
      <w:numFmt w:val="decimal"/>
      <w:start w:val="10"/>
    </w:lvl>
  </w:abstractNum>
  <w:abstractNum w:abstractNumId="12">
    <w:nsid w:val="4F4EF005"/>
    <w:multiLevelType w:val="hybridMultilevel"/>
    <w:lvl w:ilvl="0">
      <w:lvlJc w:val="left"/>
      <w:lvlText w:val="%1."/>
      <w:numFmt w:val="decimal"/>
      <w:start w:val="12"/>
    </w:lvl>
  </w:abstractNum>
  <w:abstractNum w:abstractNumId="13">
    <w:nsid w:val="23F9C13C"/>
    <w:multiLevelType w:val="hybridMultilevel"/>
    <w:lvl w:ilvl="0">
      <w:lvlJc w:val="left"/>
      <w:lvlText w:val="(%1)"/>
      <w:numFmt w:val="decimal"/>
      <w:start w:val="1"/>
    </w:lvl>
  </w:abstractNum>
  <w:abstractNum w:abstractNumId="14">
    <w:nsid w:val="649BB77C"/>
    <w:multiLevelType w:val="hybridMultilevel"/>
    <w:lvl w:ilvl="0">
      <w:lvlJc w:val="left"/>
      <w:lvlText w:val="%1."/>
      <w:numFmt w:val="decimal"/>
      <w:start w:val="14"/>
    </w:lvl>
  </w:abstractNum>
  <w:abstractNum w:abstractNumId="15">
    <w:nsid w:val="275AC794"/>
    <w:multiLevelType w:val="hybridMultilevel"/>
    <w:lvl w:ilvl="0">
      <w:lvlJc w:val="left"/>
      <w:lvlText w:val="%1."/>
      <w:numFmt w:val="decimal"/>
      <w:start w:val="16"/>
    </w:lvl>
  </w:abstractNum>
  <w:abstractNum w:abstractNumId="16">
    <w:nsid w:val="39386575"/>
    <w:multiLevelType w:val="hybridMultilevel"/>
    <w:lvl w:ilvl="0">
      <w:lvlJc w:val="left"/>
      <w:lvlText w:val="(%1)"/>
      <w:numFmt w:val="decimal"/>
      <w:start w:val="1"/>
    </w:lvl>
  </w:abstractNum>
  <w:abstractNum w:abstractNumId="17">
    <w:nsid w:val="1CF10FD8"/>
    <w:multiLevelType w:val="hybridMultilevel"/>
    <w:lvl w:ilvl="0">
      <w:lvlJc w:val="left"/>
      <w:lvlText w:val="(%1)"/>
      <w:numFmt w:val="decimal"/>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lvl w:ilvl="1">
      <w:lvlJc w:val="left"/>
      <w:lvlText w:val="*"/>
      <w:numFmt w:val="bullet"/>
      <w:start w:val="1"/>
    </w:lvl>
  </w:abstractNum>
  <w:abstractNum w:abstractNumId="23">
    <w:nsid w:val="741226BB"/>
    <w:multiLevelType w:val="hybridMultilevel"/>
    <w:lvl w:ilvl="0">
      <w:lvlJc w:val="left"/>
      <w:lvlText w:val="**"/>
      <w:numFmt w:val="bullet"/>
      <w:start w:val="1"/>
    </w:lvl>
    <w:lvl w:ilvl="1">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1."/>
      <w:numFmt w:val="decimal"/>
      <w:start w:val="1"/>
    </w:lvl>
    <w:lvl w:ilvl="1">
      <w:lvlJc w:val="left"/>
      <w:lvlText w:val="(%2)"/>
      <w:numFmt w:val="lowerLetter"/>
      <w:start w:val="1"/>
    </w:lvl>
  </w:abstractNum>
  <w:abstractNum w:abstractNumId="27">
    <w:nsid w:val="61574095"/>
    <w:multiLevelType w:val="hybridMultilevel"/>
    <w:lvl w:ilvl="0">
      <w:lvlJc w:val="left"/>
      <w:lvlText w:val="%1."/>
      <w:numFmt w:val="decimal"/>
      <w:start w:val="5"/>
    </w:lvl>
    <w:lvl w:ilvl="1">
      <w:lvlJc w:val="left"/>
      <w:lvlText w:val="(%2)"/>
      <w:numFmt w:val="lowerLetter"/>
      <w:start w:val="1"/>
    </w:lvl>
  </w:abstractNum>
  <w:abstractNum w:abstractNumId="28">
    <w:nsid w:val="7E0C57B1"/>
    <w:multiLevelType w:val="hybridMultilevel"/>
    <w:lvl w:ilvl="0">
      <w:lvlJc w:val="left"/>
      <w:lvlText w:val="%1."/>
      <w:numFmt w:val="decimal"/>
      <w:start w:val="9"/>
    </w:lvl>
    <w:lvl w:ilvl="1">
      <w:lvlJc w:val="left"/>
      <w:lvlText w:val="(%2)"/>
      <w:numFmt w:val="lowerLetter"/>
      <w:start w:val="1"/>
    </w:lvl>
  </w:abstractNum>
  <w:abstractNum w:abstractNumId="29">
    <w:nsid w:val="77AE35EB"/>
    <w:multiLevelType w:val="hybridMultilevel"/>
    <w:lvl w:ilvl="0">
      <w:lvlJc w:val="left"/>
      <w:lvlText w:val="%1"/>
      <w:numFmt w:val="decimal"/>
      <w:start w:val="1"/>
    </w:lvl>
    <w:lvl w:ilvl="1">
      <w:lvlJc w:val="left"/>
      <w:lvlText w:val="(%2)"/>
      <w:numFmt w:val="lowerLetter"/>
      <w:start w:val="1"/>
    </w:lvl>
  </w:abstractNum>
  <w:abstractNum w:abstractNumId="30">
    <w:nsid w:val="579BE4F1"/>
    <w:multiLevelType w:val="hybridMultilevel"/>
    <w:lvl w:ilvl="0">
      <w:lvlJc w:val="left"/>
      <w:lvlText w:val="%1."/>
      <w:numFmt w:val="decimal"/>
      <w:start w:val="16"/>
    </w:lvl>
    <w:lvl w:ilvl="1">
      <w:lvlJc w:val="left"/>
      <w:lvlText w:val="(%2)"/>
      <w:numFmt w:val="lowerLetter"/>
      <w:start w:val="1"/>
    </w:lvl>
  </w:abstractNum>
  <w:abstractNum w:abstractNumId="31">
    <w:nsid w:val="310C50B3"/>
    <w:multiLevelType w:val="hybridMultilevel"/>
    <w:lvl w:ilvl="0">
      <w:lvlJc w:val="left"/>
      <w:lvlText w:val="%1"/>
      <w:numFmt w:val="decimal"/>
      <w:start w:val="1"/>
    </w:lvl>
    <w:lvl w:ilvl="1">
      <w:lvlJc w:val="left"/>
      <w:lvlText w:val="(%2)"/>
      <w:numFmt w:val="lowerLetter"/>
      <w:start w:val="3"/>
    </w:lvl>
  </w:abstractNum>
  <w:abstractNum w:abstractNumId="32">
    <w:nsid w:val="5FF87E05"/>
    <w:multiLevelType w:val="hybridMultilevel"/>
    <w:lvl w:ilvl="0">
      <w:lvlJc w:val="left"/>
      <w:lvlText w:val="%1."/>
      <w:numFmt w:val="decimal"/>
      <w:start w:val="17"/>
    </w:lvl>
    <w:lvl w:ilvl="1">
      <w:lvlJc w:val="left"/>
      <w:lvlText w:val="%2"/>
      <w:numFmt w:val="lowerLetter"/>
      <w:start w:val="1"/>
    </w:lvl>
  </w:abstractNum>
  <w:abstractNum w:abstractNumId="33">
    <w:nsid w:val="2F305DEF"/>
    <w:multiLevelType w:val="hybridMultilevel"/>
    <w:lvl w:ilvl="0">
      <w:lvlJc w:val="left"/>
      <w:lvlText w:val="%1."/>
      <w:numFmt w:val="decimal"/>
      <w:start w:val="1"/>
    </w:lvl>
    <w:lvl w:ilvl="1">
      <w:lvlJc w:val="left"/>
      <w:lvlText w:val="(%2)"/>
      <w:numFmt w:val="lowerLetter"/>
      <w:start w:val="1"/>
    </w:lvl>
  </w:abstractNum>
  <w:abstractNum w:abstractNumId="34">
    <w:nsid w:val="25A70BF7"/>
    <w:multiLevelType w:val="hybridMultilevel"/>
    <w:lvl w:ilvl="0">
      <w:lvlJc w:val="left"/>
      <w:lvlText w:val="(%1)"/>
      <w:numFmt w:val="lowerLetter"/>
      <w:start w:val="25"/>
    </w:lvl>
  </w:abstractNum>
  <w:abstractNum w:abstractNumId="35">
    <w:nsid w:val="1DBABF00"/>
    <w:multiLevelType w:val="hybridMultilevel"/>
    <w:lvl w:ilvl="0">
      <w:lvlJc w:val="left"/>
      <w:lvlText w:val="%1."/>
      <w:numFmt w:val="decimal"/>
      <w:start w:val="3"/>
    </w:lvl>
    <w:lvl w:ilvl="1">
      <w:lvlJc w:val="left"/>
      <w:lvlText w:val="(%2)"/>
      <w:numFmt w:val="lowerLetter"/>
      <w:start w:val="1"/>
    </w:lvl>
  </w:abstractNum>
  <w:abstractNum w:abstractNumId="36">
    <w:nsid w:val="4AD084E9"/>
    <w:multiLevelType w:val="hybridMultilevel"/>
    <w:lvl w:ilvl="0">
      <w:lvlJc w:val="left"/>
      <w:lvlText w:val="%1"/>
      <w:numFmt w:val="decimal"/>
      <w:start w:val="1"/>
    </w:lvl>
    <w:lvl w:ilvl="1">
      <w:lvlJc w:val="left"/>
      <w:lvlText w:val="(%2)"/>
      <w:numFmt w:val="lowerLetter"/>
      <w:start w:val="2"/>
    </w:lvl>
  </w:abstractNum>
  <w:abstractNum w:abstractNumId="37">
    <w:nsid w:val="1F48EAA1"/>
    <w:multiLevelType w:val="hybridMultilevel"/>
    <w:lvl w:ilvl="0">
      <w:lvlJc w:val="left"/>
      <w:lvlText w:val="%1."/>
      <w:numFmt w:val="decimal"/>
      <w:start w:val="6"/>
    </w:lvl>
    <w:lvl w:ilvl="1">
      <w:lvlJc w:val="left"/>
      <w:lvlText w:val="%2"/>
      <w:numFmt w:val="lowerLetter"/>
      <w:start w:val="1"/>
    </w:lvl>
  </w:abstractNum>
  <w:abstractNum w:abstractNumId="38">
    <w:nsid w:val="1381823A"/>
    <w:multiLevelType w:val="hybridMultilevel"/>
    <w:lvl w:ilvl="0">
      <w:lvlJc w:val="left"/>
      <w:lvlText w:val="%1."/>
      <w:numFmt w:val="decimal"/>
      <w:start w:val="11"/>
    </w:lvl>
    <w:lvl w:ilvl="1">
      <w:lvlJc w:val="left"/>
      <w:lvlText w:val="(%2)"/>
      <w:numFmt w:val="lowerLetter"/>
      <w:start w:val="1"/>
    </w:lvl>
  </w:abstractNum>
  <w:abstractNum w:abstractNumId="39">
    <w:nsid w:val="5DB70AE5"/>
    <w:multiLevelType w:val="hybridMultilevel"/>
    <w:lvl w:ilvl="0">
      <w:lvlJc w:val="left"/>
      <w:lvlText w:val="%1"/>
      <w:numFmt w:val="decimal"/>
      <w:start w:val="1"/>
    </w:lvl>
    <w:lvl w:ilvl="1">
      <w:lvlJc w:val="left"/>
      <w:lvlText w:val="(%2)"/>
      <w:numFmt w:val="lowerLetter"/>
      <w:start w:val="2"/>
    </w:lvl>
  </w:abstractNum>
  <w:abstractNum w:abstractNumId="40">
    <w:nsid w:val="100F8FCA"/>
    <w:multiLevelType w:val="hybridMultilevel"/>
    <w:lvl w:ilvl="0">
      <w:lvlJc w:val="left"/>
      <w:lvlText w:val="%1."/>
      <w:numFmt w:val="decimal"/>
      <w:start w:val="16"/>
    </w:lvl>
    <w:lvl w:ilvl="1">
      <w:lvlJc w:val="left"/>
      <w:lvlText w:val="(%2)"/>
      <w:numFmt w:val="lowerLetter"/>
      <w:start w:val="1"/>
    </w:lvl>
  </w:abstractNum>
  <w:abstractNum w:abstractNumId="41">
    <w:nsid w:val="6590700B"/>
    <w:multiLevelType w:val="hybridMultilevel"/>
    <w:lvl w:ilvl="0">
      <w:lvlJc w:val="left"/>
      <w:lvlText w:val="%1."/>
      <w:numFmt w:val="decimal"/>
      <w:start w:val="1"/>
    </w:lvl>
    <w:lvl w:ilvl="1">
      <w:lvlJc w:val="left"/>
      <w:lvlText w:val="(%2)"/>
      <w:numFmt w:val="lowerLetter"/>
      <w:start w:val="1"/>
    </w:lvl>
  </w:abstractNum>
  <w:abstractNum w:abstractNumId="42">
    <w:nsid w:val="15014ACB"/>
    <w:multiLevelType w:val="hybridMultilevel"/>
    <w:lvl w:ilvl="0">
      <w:lvlJc w:val="left"/>
      <w:lvlText w:val="(%1)"/>
      <w:numFmt w:val="lowerLetter"/>
      <w:start w:val="25"/>
    </w:lvl>
  </w:abstractNum>
  <w:abstractNum w:abstractNumId="43">
    <w:nsid w:val="5F5E7FD0"/>
    <w:multiLevelType w:val="hybridMultilevel"/>
    <w:lvl w:ilvl="0">
      <w:lvlJc w:val="left"/>
      <w:lvlText w:val="%1."/>
      <w:numFmt w:val="decimal"/>
      <w:start w:val="3"/>
    </w:lvl>
    <w:lvl w:ilvl="1">
      <w:lvlJc w:val="left"/>
      <w:lvlText w:val="(%2)"/>
      <w:numFmt w:val="lowerLetter"/>
      <w:start w:val="1"/>
    </w:lvl>
  </w:abstractNum>
  <w:abstractNum w:abstractNumId="44">
    <w:nsid w:val="98A3148"/>
    <w:multiLevelType w:val="hybridMultilevel"/>
    <w:lvl w:ilvl="0">
      <w:lvlJc w:val="left"/>
      <w:lvlText w:val="%1"/>
      <w:numFmt w:val="decimal"/>
      <w:start w:val="1"/>
    </w:lvl>
    <w:lvl w:ilvl="1">
      <w:lvlJc w:val="left"/>
      <w:lvlText w:val="(%2)"/>
      <w:numFmt w:val="lowerLetter"/>
      <w:start w:val="2"/>
    </w:lvl>
  </w:abstractNum>
  <w:abstractNum w:abstractNumId="45">
    <w:nsid w:val="799D0247"/>
    <w:multiLevelType w:val="hybridMultilevel"/>
    <w:lvl w:ilvl="0">
      <w:lvlJc w:val="left"/>
      <w:lvlText w:val="%1."/>
      <w:numFmt w:val="decimal"/>
      <w:start w:val="6"/>
    </w:lvl>
    <w:lvl w:ilvl="1">
      <w:lvlJc w:val="left"/>
      <w:lvlText w:val="%2"/>
      <w:numFmt w:val="lowerLetter"/>
      <w:start w:val="1"/>
    </w:lvl>
  </w:abstractNum>
  <w:abstractNum w:abstractNumId="46">
    <w:nsid w:val="6B94764"/>
    <w:multiLevelType w:val="hybridMultilevel"/>
    <w:lvl w:ilvl="0">
      <w:lvlJc w:val="left"/>
      <w:lvlText w:val="%1."/>
      <w:numFmt w:val="decimal"/>
      <w:start w:val="11"/>
    </w:lvl>
    <w:lvl w:ilvl="1">
      <w:lvlJc w:val="left"/>
      <w:lvlText w:val="(%2)"/>
      <w:numFmt w:val="lowerLetter"/>
      <w:start w:val="1"/>
    </w:lvl>
  </w:abstractNum>
  <w:abstractNum w:abstractNumId="47">
    <w:nsid w:val="42C296BD"/>
    <w:multiLevelType w:val="hybridMultilevel"/>
    <w:lvl w:ilvl="0">
      <w:lvlJc w:val="left"/>
      <w:lvlText w:val="%1"/>
      <w:numFmt w:val="decimal"/>
      <w:start w:val="1"/>
    </w:lvl>
    <w:lvl w:ilvl="1">
      <w:lvlJc w:val="left"/>
      <w:lvlText w:val="(%2)"/>
      <w:numFmt w:val="lowerLetter"/>
      <w:start w:val="2"/>
    </w:lvl>
  </w:abstractNum>
  <w:abstractNum w:abstractNumId="48">
    <w:nsid w:val="168E121F"/>
    <w:multiLevelType w:val="hybridMultilevel"/>
    <w:lvl w:ilvl="0">
      <w:lvlJc w:val="left"/>
      <w:lvlText w:val="%1."/>
      <w:numFmt w:val="decimal"/>
      <w:start w:val="16"/>
    </w:lvl>
    <w:lvl w:ilvl="1">
      <w:lvlJc w:val="left"/>
      <w:lvlText w:val="(%2)"/>
      <w:numFmt w:val="lowerLetter"/>
      <w:start w:val="1"/>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51">
    <w:nsid w:val="5DC79EA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lowerLetter"/>
      <w:start w:val="2"/>
    </w:lvl>
  </w:abstractNum>
  <w:abstractNum w:abstractNumId="54">
    <w:nsid w:val="51D9C564"/>
    <w:multiLevelType w:val="hybridMultilevel"/>
    <w:lvl w:ilvl="0">
      <w:lvlJc w:val="left"/>
      <w:lvlText w:val="%1."/>
      <w:numFmt w:val="decimal"/>
      <w:start w:val="3"/>
    </w:lvl>
  </w:abstractNum>
  <w:abstractNum w:abstractNumId="55">
    <w:nsid w:val="613EFDC5"/>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56">
    <w:nsid w:val="BF72B14"/>
    <w:multiLevelType w:val="hybridMultilevel"/>
    <w:lvl w:ilvl="0">
      <w:lvlJc w:val="left"/>
      <w:lvlText w:val="%1."/>
      <w:numFmt w:val="decimal"/>
      <w:start w:val="5"/>
    </w:lvl>
  </w:abstractNum>
  <w:abstractNum w:abstractNumId="57">
    <w:nsid w:val="11447B73"/>
    <w:multiLevelType w:val="hybridMultilevel"/>
    <w:lvl w:ilvl="0">
      <w:lvlJc w:val="left"/>
      <w:lvlText w:val="%1."/>
      <w:numFmt w:val="decimal"/>
      <w:start w:val="6"/>
    </w:lvl>
  </w:abstractNum>
  <w:abstractNum w:abstractNumId="58">
    <w:nsid w:val="42963E5A"/>
    <w:multiLevelType w:val="hybridMultilevel"/>
    <w:lvl w:ilvl="0">
      <w:lvlJc w:val="left"/>
      <w:lvlText w:val="%1."/>
      <w:numFmt w:val="decimal"/>
      <w:start w:val="7"/>
    </w:lvl>
  </w:abstractNum>
  <w:abstractNum w:abstractNumId="59">
    <w:nsid w:val="A0382C5"/>
    <w:multiLevelType w:val="hybridMultilevel"/>
    <w:lvl w:ilvl="0">
      <w:lvlJc w:val="left"/>
      <w:lvlText w:val="%1."/>
      <w:numFmt w:val="decimal"/>
      <w:start w:val="8"/>
    </w:lvl>
  </w:abstractNum>
  <w:abstractNum w:abstractNumId="60">
    <w:nsid w:val="8F2B15E"/>
    <w:multiLevelType w:val="hybridMultilevel"/>
    <w:lvl w:ilvl="0">
      <w:lvlJc w:val="left"/>
      <w:lvlText w:val="%1."/>
      <w:numFmt w:val="decimal"/>
      <w:start w:val="9"/>
    </w:lvl>
  </w:abstractNum>
  <w:abstractNum w:abstractNumId="61">
    <w:nsid w:val="1A32234B"/>
    <w:multiLevelType w:val="hybridMultilevel"/>
    <w:lvl w:ilvl="0">
      <w:lvlJc w:val="left"/>
      <w:lvlText w:val="%1."/>
      <w:numFmt w:val="decimal"/>
      <w:start w:val="10"/>
    </w:lvl>
  </w:abstractNum>
  <w:abstractNum w:abstractNumId="62">
    <w:nsid w:val="3B0FD379"/>
    <w:multiLevelType w:val="hybridMultilevel"/>
    <w:lvl w:ilvl="0">
      <w:lvlJc w:val="left"/>
      <w:lvlText w:val="%1."/>
      <w:numFmt w:val="decimal"/>
      <w:start w:val="11"/>
    </w:lvl>
  </w:abstractNum>
  <w:abstractNum w:abstractNumId="63">
    <w:nsid w:val="68EB2F63"/>
    <w:multiLevelType w:val="hybridMultilevel"/>
    <w:lvl w:ilvl="0">
      <w:lvlJc w:val="left"/>
      <w:lvlText w:val="%1."/>
      <w:numFmt w:val="decimal"/>
      <w:start w:val="12"/>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1"/>
    </w:lvl>
    <w:lvl w:ilvl="1">
      <w:lvlJc w:val="left"/>
      <w:lvlText w:val="(%2)"/>
      <w:numFmt w:val="lowerLetter"/>
      <w:start w:val="1"/>
    </w:lvl>
  </w:abstractNum>
  <w:abstractNum w:abstractNumId="66">
    <w:nsid w:val="6A5EE64"/>
    <w:multiLevelType w:val="hybridMultilevel"/>
    <w:lvl w:ilvl="0">
      <w:lvlJc w:val="left"/>
      <w:lvlText w:val="%1."/>
      <w:numFmt w:val="decimal"/>
      <w:start w:val="2"/>
    </w:lvl>
    <w:lvl w:ilvl="1">
      <w:lvlJc w:val="left"/>
      <w:lvlText w:val="(%2)"/>
      <w:numFmt w:val="lowerLetter"/>
      <w:start w:val="1"/>
    </w:lvl>
  </w:abstractNum>
  <w:abstractNum w:abstractNumId="67">
    <w:nsid w:val="14330624"/>
    <w:multiLevelType w:val="hybridMultilevel"/>
    <w:lvl w:ilvl="0">
      <w:lvlJc w:val="left"/>
      <w:lvlText w:val="%1"/>
      <w:numFmt w:val="decimal"/>
      <w:start w:val="1"/>
    </w:lvl>
    <w:lvl w:ilvl="1">
      <w:lvlJc w:val="left"/>
      <w:lvlText w:val="(%2)"/>
      <w:numFmt w:val="lowerLetter"/>
      <w:start w:val="4"/>
    </w:lvl>
  </w:abstractNum>
  <w:abstractNum w:abstractNumId="68">
    <w:nsid w:val="7FFFCA11"/>
    <w:multiLevelType w:val="hybridMultilevel"/>
    <w:lvl w:ilvl="0">
      <w:lvlJc w:val="left"/>
      <w:lvlText w:val="%1."/>
      <w:numFmt w:val="decimal"/>
      <w:start w:val="3"/>
    </w:lvl>
    <w:lvl w:ilvl="1">
      <w:lvlJc w:val="left"/>
      <w:lvlText w:val="%2"/>
      <w:numFmt w:val="lowerLetter"/>
      <w:start w:val="1"/>
    </w:lvl>
  </w:abstractNum>
  <w:abstractNum w:abstractNumId="69">
    <w:nsid w:val="1A27709E"/>
    <w:multiLevelType w:val="hybridMultilevel"/>
    <w:lvl w:ilvl="0">
      <w:lvlJc w:val="left"/>
      <w:lvlText w:val="%1."/>
      <w:numFmt w:val="decimal"/>
      <w:start w:val="4"/>
    </w:lvl>
  </w:abstractNum>
  <w:abstractNum w:abstractNumId="70">
    <w:nsid w:val="71EA1109"/>
    <w:multiLevelType w:val="hybridMultilevel"/>
    <w:lvl w:ilvl="0">
      <w:lvlJc w:val="left"/>
      <w:lvlText w:val="(%1)"/>
      <w:numFmt w:val="lowerLetter"/>
      <w:start w:val="1"/>
    </w:lvl>
  </w:abstractNum>
  <w:abstractNum w:abstractNumId="71">
    <w:nsid w:val="100F59DC"/>
    <w:multiLevelType w:val="hybridMultilevel"/>
    <w:lvl w:ilvl="0">
      <w:lvlJc w:val="left"/>
      <w:lvlText w:val="%1."/>
      <w:numFmt w:val="decimal"/>
      <w:start w:val="5"/>
    </w:lvl>
  </w:abstractNum>
  <w:abstractNum w:abstractNumId="72">
    <w:nsid w:val="7FB7E0AA"/>
    <w:multiLevelType w:val="hybridMultilevel"/>
    <w:lvl w:ilvl="0">
      <w:lvlJc w:val="left"/>
      <w:lvlText w:val="%1."/>
      <w:numFmt w:val="decimal"/>
      <w:start w:val="6"/>
    </w:lvl>
  </w:abstractNum>
  <w:abstractNum w:abstractNumId="73">
    <w:nsid w:val="6EB5BD4"/>
    <w:multiLevelType w:val="hybridMultilevel"/>
    <w:lvl w:ilvl="0">
      <w:lvlJc w:val="left"/>
      <w:lvlText w:val="%1."/>
      <w:numFmt w:val="decimal"/>
      <w:start w:val="1"/>
    </w:lvl>
  </w:abstractNum>
  <w:abstractNum w:abstractNumId="74">
    <w:nsid w:val="6F6DD9AC"/>
    <w:multiLevelType w:val="hybridMultilevel"/>
    <w:lvl w:ilvl="0">
      <w:lvlJc w:val="left"/>
      <w:lvlText w:val="%1"/>
      <w:numFmt w:val="decimal"/>
      <w:start w:val="1"/>
    </w:lvl>
    <w:lvl w:ilvl="1">
      <w:lvlJc w:val="left"/>
      <w:lvlText w:val="(%2)"/>
      <w:numFmt w:val="lowerLetter"/>
      <w:start w:val="1"/>
    </w:lvl>
  </w:abstractNum>
  <w:abstractNum w:abstractNumId="75">
    <w:nsid w:val="94211F2"/>
    <w:multiLevelType w:val="hybridMultilevel"/>
    <w:lvl w:ilvl="0">
      <w:lvlJc w:val="left"/>
      <w:lvlText w:val="%1."/>
      <w:numFmt w:val="decimal"/>
      <w:start w:val="2"/>
    </w:lvl>
    <w:lvl w:ilvl="1">
      <w:lvlJc w:val="left"/>
      <w:lvlText w:val="(%2)"/>
      <w:numFmt w:val="lowerLetter"/>
      <w:start w:val="1"/>
    </w:lvl>
  </w:abstractNum>
  <w:abstractNum w:abstractNumId="76">
    <w:nsid w:val="885E1B"/>
    <w:multiLevelType w:val="hybridMultilevel"/>
    <w:lvl w:ilvl="0">
      <w:lvlJc w:val="left"/>
      <w:lvlText w:val="%1"/>
      <w:numFmt w:val="decimal"/>
      <w:start w:val="1"/>
    </w:lvl>
    <w:lvl w:ilvl="1">
      <w:lvlJc w:val="left"/>
      <w:lvlText w:val="(%2)"/>
      <w:numFmt w:val="lowerLetter"/>
      <w:start w:val="4"/>
    </w:lvl>
  </w:abstractNum>
  <w:abstractNum w:abstractNumId="77">
    <w:nsid w:val="76272110"/>
    <w:multiLevelType w:val="hybridMultilevel"/>
    <w:lvl w:ilvl="0">
      <w:lvlJc w:val="left"/>
      <w:lvlText w:val="%1."/>
      <w:numFmt w:val="decimal"/>
      <w:start w:val="3"/>
    </w:lvl>
    <w:lvl w:ilvl="1">
      <w:lvlJc w:val="left"/>
      <w:lvlText w:val="%2"/>
      <w:numFmt w:val="lowerLetter"/>
      <w:start w:val="1"/>
    </w:lvl>
  </w:abstractNum>
  <w:abstractNum w:abstractNumId="78">
    <w:nsid w:val="4C04A8AF"/>
    <w:multiLevelType w:val="hybridMultilevel"/>
    <w:lvl w:ilvl="0">
      <w:lvlJc w:val="left"/>
      <w:lvlText w:val="%1."/>
      <w:numFmt w:val="decimal"/>
      <w:start w:val="4"/>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decimal"/>
      <w:start w:val="5"/>
    </w:lvl>
  </w:abstractNum>
  <w:abstractNum w:abstractNumId="81">
    <w:nsid w:val="3222E7CD"/>
    <w:multiLevelType w:val="hybridMultilevel"/>
    <w:lvl w:ilvl="0">
      <w:lvlJc w:val="left"/>
      <w:lvlText w:val="%1."/>
      <w:numFmt w:val="decimal"/>
      <w:start w:val="6"/>
    </w:lvl>
  </w:abstractNum>
  <w:abstractNum w:abstractNumId="82">
    <w:nsid w:val="74DE0EE3"/>
    <w:multiLevelType w:val="hybridMultilevel"/>
    <w:lvl w:ilvl="0">
      <w:lvlJc w:val="left"/>
      <w:lvlText w:val="%1."/>
      <w:numFmt w:val="decimal"/>
      <w:start w:val="7"/>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1"/>
      <w:numFmt w:val="decimal"/>
      <w:start w:val="1"/>
    </w:lvl>
    <w:lvl w:ilvl="1">
      <w:lvlJc w:val="left"/>
      <w:lvlText w:val="(%2)"/>
      <w:numFmt w:val="lowerLetter"/>
      <w:start w:val="1"/>
    </w:lvl>
  </w:abstractNum>
  <w:abstractNum w:abstractNumId="85">
    <w:nsid w:val="46B7D447"/>
    <w:multiLevelType w:val="hybridMultilevel"/>
    <w:lvl w:ilvl="0">
      <w:lvlJc w:val="left"/>
      <w:lvlText w:val="%1."/>
      <w:numFmt w:val="decimal"/>
      <w:start w:val="2"/>
    </w:lvl>
    <w:lvl w:ilvl="1">
      <w:lvlJc w:val="left"/>
      <w:lvlText w:val="(%2)"/>
      <w:numFmt w:val="lowerLetter"/>
      <w:start w:val="1"/>
    </w:lvl>
  </w:abstractNum>
  <w:abstractNum w:abstractNumId="86">
    <w:nsid w:val="4A2AC315"/>
    <w:multiLevelType w:val="hybridMultilevel"/>
    <w:lvl w:ilvl="0">
      <w:lvlJc w:val="left"/>
      <w:lvlText w:val="%1"/>
      <w:numFmt w:val="decimal"/>
      <w:start w:val="1"/>
    </w:lvl>
    <w:lvl w:ilvl="1">
      <w:lvlJc w:val="left"/>
      <w:lvlText w:val="(%2)"/>
      <w:numFmt w:val="lowerLetter"/>
      <w:start w:val="4"/>
    </w:lvl>
  </w:abstractNum>
  <w:abstractNum w:abstractNumId="87">
    <w:nsid w:val="39EE015C"/>
    <w:multiLevelType w:val="hybridMultilevel"/>
    <w:lvl w:ilvl="0">
      <w:lvlJc w:val="left"/>
      <w:lvlText w:val="%1."/>
      <w:numFmt w:val="decimal"/>
      <w:start w:val="3"/>
    </w:lvl>
    <w:lvl w:ilvl="1">
      <w:lvlJc w:val="left"/>
      <w:lvlText w:val="%2"/>
      <w:numFmt w:val="lowerLetter"/>
      <w:start w:val="1"/>
    </w:lvl>
  </w:abstractNum>
  <w:abstractNum w:abstractNumId="88">
    <w:nsid w:val="57FC4FBB"/>
    <w:multiLevelType w:val="hybridMultilevel"/>
    <w:lvl w:ilvl="0">
      <w:lvlJc w:val="left"/>
      <w:lvlText w:val="%1."/>
      <w:numFmt w:val="decimal"/>
      <w:start w:val="4"/>
    </w:lvl>
  </w:abstractNum>
  <w:abstractNum w:abstractNumId="89">
    <w:nsid w:val="CC1016F"/>
    <w:multiLevelType w:val="hybridMultilevel"/>
    <w:lvl w:ilvl="0">
      <w:lvlJc w:val="left"/>
      <w:lvlText w:val="(%1)"/>
      <w:numFmt w:val="lowerLetter"/>
      <w:start w:val="1"/>
    </w:lvl>
  </w:abstractNum>
  <w:abstractNum w:abstractNumId="90">
    <w:nsid w:val="43F18422"/>
    <w:multiLevelType w:val="hybridMultilevel"/>
    <w:lvl w:ilvl="0">
      <w:lvlJc w:val="left"/>
      <w:lvlText w:val="%1."/>
      <w:numFmt w:val="decimal"/>
      <w:start w:val="5"/>
    </w:lvl>
  </w:abstractNum>
  <w:abstractNum w:abstractNumId="91">
    <w:nsid w:val="60EF0119"/>
    <w:multiLevelType w:val="hybridMultilevel"/>
    <w:lvl w:ilvl="0">
      <w:lvlJc w:val="left"/>
      <w:lvlText w:val="%1."/>
      <w:numFmt w:val="decimal"/>
      <w:start w:val="6"/>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2019-12-05T15:06:11Z</dcterms:created>
  <dcterms:modified xsi:type="dcterms:W3CDTF">2019-12-05T15:06:11Z</dcterms:modified>
</cp:coreProperties>
</file>