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108585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94615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92710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9"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1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PARIS, FRANCE</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5599 SAN FELIPE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HOUSTON, TEXAS, U.S.A.</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62 BUCKINGHAM GATE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LONDON, UNITED KINGDOM</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6"/>
              </w:rPr>
              <w:t>SW1E 6AJ</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8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w w:val="99"/>
              </w:rPr>
              <w:t>(Zip Codes)</w:t>
            </w:r>
          </w:p>
        </w:tc>
      </w:tr>
    </w:tbl>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118"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right="240"/>
        <w:spacing w:after="0" w:line="26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ectPr>
          <w:pgSz w:w="11900" w:h="16838" w:orient="portrait"/>
          <w:cols w:equalWidth="0" w:num="1">
            <w:col w:w="11440"/>
          </w:cols>
          <w:pgMar w:left="240" w:top="438" w:right="219" w:bottom="1440" w:gutter="0" w:footer="0" w:header="0"/>
        </w:sectPr>
      </w:pP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7" w:lineRule="exact"/>
        <w:rPr>
          <w:sz w:val="24"/>
          <w:szCs w:val="24"/>
          <w:color w:val="auto"/>
        </w:rPr>
      </w:pPr>
    </w:p>
    <w:p>
      <w:pPr>
        <w:sectPr>
          <w:pgSz w:w="11900" w:h="16838" w:orient="portrait"/>
          <w:cols w:equalWidth="0" w:num="2">
            <w:col w:w="1740" w:space="560"/>
            <w:col w:w="9140"/>
          </w:cols>
          <w:pgMar w:left="240" w:top="438" w:right="219" w:bottom="1440" w:gutter="0" w:footer="0" w:header="0"/>
          <w:type w:val="continuous"/>
        </w:sectPr>
      </w:pPr>
    </w:p>
    <w:p>
      <w:pPr>
        <w:ind w:right="3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350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Outstanding at March 31, 2017</w:t>
            </w:r>
          </w:p>
        </w:tc>
      </w:tr>
      <w:tr>
        <w:trPr>
          <w:trHeight w:val="221"/>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720" w:type="dxa"/>
            <w:vAlign w:val="bottom"/>
          </w:tcPr>
          <w:p>
            <w:pPr>
              <w:spacing w:after="0"/>
              <w:rPr>
                <w:sz w:val="19"/>
                <w:szCs w:val="19"/>
                <w:color w:val="auto"/>
              </w:rPr>
            </w:pPr>
          </w:p>
        </w:tc>
        <w:tc>
          <w:tcPr>
            <w:tcW w:w="212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color w:val="auto"/>
              </w:rPr>
              <w:t>1,389,476,854</w:t>
            </w:r>
          </w:p>
        </w:tc>
        <w:tc>
          <w:tcPr>
            <w:tcW w:w="660" w:type="dxa"/>
            <w:vAlign w:val="bottom"/>
          </w:tcPr>
          <w:p>
            <w:pPr>
              <w:spacing w:after="0"/>
              <w:rPr>
                <w:sz w:val="19"/>
                <w:szCs w:val="19"/>
                <w:color w:val="auto"/>
              </w:rPr>
            </w:pPr>
          </w:p>
        </w:tc>
      </w:tr>
      <w:tr>
        <w:trPr>
          <w:trHeight w:val="583"/>
        </w:trPr>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First Quarter 2017 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3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69850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35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600" w:type="dxa"/>
            <w:vAlign w:val="bottom"/>
            <w:gridSpan w:val="6"/>
          </w:tcPr>
          <w:p>
            <w:pPr>
              <w:ind w:left="88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36"/>
        </w:trPr>
        <w:tc>
          <w:tcPr>
            <w:tcW w:w="7820" w:type="dxa"/>
            <w:vAlign w:val="bottom"/>
          </w:tcPr>
          <w:p>
            <w:pPr>
              <w:spacing w:after="0"/>
              <w:rPr>
                <w:sz w:val="24"/>
                <w:szCs w:val="2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080" w:type="dxa"/>
            <w:vAlign w:val="bottom"/>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4,937</w:t>
            </w:r>
          </w:p>
        </w:tc>
        <w:tc>
          <w:tcPr>
            <w:tcW w:w="280" w:type="dxa"/>
            <w:vAlign w:val="bottom"/>
          </w:tcPr>
          <w:p>
            <w:pPr>
              <w:spacing w:after="0"/>
              <w:rPr>
                <w:sz w:val="19"/>
                <w:szCs w:val="19"/>
                <w:color w:val="auto"/>
              </w:rPr>
            </w:pPr>
          </w:p>
        </w:tc>
        <w:tc>
          <w:tcPr>
            <w:tcW w:w="114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6,894</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4,251</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Merger &amp; integration</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Income before taxes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Taxes on income</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1080" w:type="dxa"/>
            <w:vAlign w:val="bottom"/>
            <w:tcBorders>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of Schlumberger</w:t>
            </w:r>
          </w:p>
        </w:tc>
        <w:tc>
          <w:tcPr>
            <w:tcW w:w="1080" w:type="dxa"/>
            <w:vAlign w:val="bottom"/>
            <w:tcBorders>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of Schlumberger</w:t>
            </w:r>
          </w:p>
        </w:tc>
        <w:tc>
          <w:tcPr>
            <w:tcW w:w="1080" w:type="dxa"/>
            <w:vAlign w:val="bottom"/>
            <w:tcBorders>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Assuming dilution</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 w:name="page4"/>
    <w:bookmarkEnd w:id="3"/>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820" w:type="dxa"/>
            <w:vAlign w:val="bottom"/>
          </w:tcPr>
          <w:p>
            <w:pPr>
              <w:spacing w:after="0"/>
              <w:rPr>
                <w:sz w:val="24"/>
                <w:szCs w:val="24"/>
                <w:color w:val="auto"/>
              </w:rPr>
            </w:pPr>
          </w:p>
        </w:tc>
        <w:tc>
          <w:tcPr>
            <w:tcW w:w="3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78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14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gain (loss) arising during the period</w:t>
            </w:r>
          </w:p>
        </w:tc>
        <w:tc>
          <w:tcPr>
            <w:tcW w:w="1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on cash flow hedges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of net realized loss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cost</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prior service cost</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1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1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1140" w:type="dxa"/>
            <w:vAlign w:val="bottom"/>
            <w:tcBorders>
              <w:bottom w:val="single" w:sz="8" w:color="auto"/>
            </w:tcBorders>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r>
      <w:tr>
        <w:trPr>
          <w:trHeight w:val="232"/>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less allowance for doubtful accounts (2017 - $356; 2016 - $397)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FF0FC"/>
          </w:tcPr>
          <w:p>
            <w:pPr>
              <w:spacing w:after="0"/>
              <w:rPr>
                <w:sz w:val="19"/>
                <w:szCs w:val="19"/>
                <w:color w:val="auto"/>
              </w:rPr>
            </w:pPr>
          </w:p>
        </w:tc>
      </w:tr>
      <w:tr>
        <w:trPr>
          <w:trHeight w:val="259"/>
        </w:trPr>
        <w:tc>
          <w:tcPr>
            <w:tcW w:w="78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76,175</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00" w:type="dxa"/>
            <w:vAlign w:val="bottom"/>
            <w:tcBorders>
              <w:bottom w:val="single" w:sz="8" w:color="CFF0FC"/>
            </w:tcBorders>
          </w:tcPr>
          <w:p>
            <w:pPr>
              <w:spacing w:after="0"/>
              <w:rPr>
                <w:sz w:val="22"/>
                <w:szCs w:val="22"/>
                <w:color w:val="auto"/>
              </w:rPr>
            </w:pPr>
          </w:p>
        </w:tc>
      </w:tr>
      <w:tr>
        <w:trPr>
          <w:trHeight w:val="206"/>
        </w:trPr>
        <w:tc>
          <w:tcPr>
            <w:tcW w:w="782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35,121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(3,697)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(3,550)</w:t>
            </w: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(4,529)</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r>
      <w:tr>
        <w:trPr>
          <w:trHeight w:val="21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40,606</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41,054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76,175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04"/>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20" w:type="dxa"/>
            <w:vAlign w:val="bottom"/>
            <w:gridSpan w:val="7"/>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3"/>
        </w:trPr>
        <w:tc>
          <w:tcPr>
            <w:tcW w:w="65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2017</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Borders>
              <w:bottom w:val="single" w:sz="8" w:color="CFF0FC"/>
            </w:tcBorders>
          </w:tcPr>
          <w:p>
            <w:pPr>
              <w:spacing w:after="0"/>
              <w:rPr>
                <w:sz w:val="13"/>
                <w:szCs w:val="13"/>
                <w:color w:val="auto"/>
              </w:rPr>
            </w:pPr>
          </w:p>
        </w:tc>
      </w:tr>
      <w:tr>
        <w:trPr>
          <w:trHeight w:val="20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400" w:type="dxa"/>
            <w:vAlign w:val="bottom"/>
            <w:gridSpan w:val="2"/>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Merger &amp; integration charges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600"/>
              <w:spacing w:after="0" w:line="214"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Pension and other postretirement benefits expense</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Pension and other postretirement benefits funding</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520" w:type="dxa"/>
            <w:vAlign w:val="bottom"/>
          </w:tcPr>
          <w:p>
            <w:pPr>
              <w:ind w:left="240"/>
              <w:spacing w:after="0" w:line="212"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4"/>
                <w:szCs w:val="24"/>
                <w:color w:val="auto"/>
                <w:vertAlign w:val="superscript"/>
              </w:rPr>
              <w:t>(2)</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 receivables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(670)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(983)</w:t>
            </w: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 estimated liability for taxes on income</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increase in other liabilities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FF0FC"/>
            </w:tcBorders>
          </w:tcPr>
          <w:p>
            <w:pPr>
              <w:spacing w:after="0"/>
              <w:rPr>
                <w:sz w:val="18"/>
                <w:szCs w:val="18"/>
                <w:color w:val="auto"/>
              </w:rPr>
            </w:pPr>
          </w:p>
        </w:tc>
      </w:tr>
      <w:tr>
        <w:trPr>
          <w:trHeight w:val="20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6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FF0FC"/>
          </w:tcPr>
          <w:p>
            <w:pPr>
              <w:spacing w:after="0"/>
              <w:rPr>
                <w:sz w:val="18"/>
                <w:szCs w:val="18"/>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(549)</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SPM investments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(597)</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Multiclient seismic data costs capitalized</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Sale (purchase) of investments, net</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(2,093)</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(696)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(629)</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 repurchase program</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(561)</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r>
      <w:tr>
        <w:trPr>
          <w:trHeight w:val="207"/>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before translation effect</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7"/>
                <w:szCs w:val="17"/>
                <w:color w:val="auto"/>
              </w:rPr>
            </w:pPr>
          </w:p>
        </w:tc>
      </w:tr>
      <w:tr>
        <w:trPr>
          <w:trHeight w:val="215"/>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3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Borders>
              <w:bottom w:val="single" w:sz="8" w:color="CFF0FC"/>
            </w:tcBorders>
          </w:tcPr>
          <w:p>
            <w:pPr>
              <w:spacing w:after="0"/>
              <w:rPr>
                <w:sz w:val="18"/>
                <w:szCs w:val="18"/>
                <w:color w:val="auto"/>
              </w:rPr>
            </w:pPr>
          </w:p>
        </w:tc>
      </w:tr>
      <w:tr>
        <w:trPr>
          <w:trHeight w:val="20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3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ind w:left="280" w:hanging="194"/>
        <w:spacing w:after="0"/>
        <w:tabs>
          <w:tab w:leader="none" w:pos="28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depreciation of property, plant and equipment and amortization of intangible assets, multiclient seismic data costs and SPM investments.</w:t>
      </w:r>
    </w:p>
    <w:p>
      <w:pPr>
        <w:spacing w:after="0" w:line="22" w:lineRule="exact"/>
        <w:rPr>
          <w:rFonts w:ascii="Times New Roman" w:cs="Times New Roman" w:eastAsia="Times New Roman" w:hAnsi="Times New Roman"/>
          <w:sz w:val="23"/>
          <w:szCs w:val="23"/>
          <w:color w:val="auto"/>
          <w:vertAlign w:val="superscript"/>
        </w:rPr>
      </w:pPr>
    </w:p>
    <w:p>
      <w:pPr>
        <w:ind w:left="280" w:hanging="194"/>
        <w:spacing w:after="0" w:line="180" w:lineRule="auto"/>
        <w:tabs>
          <w:tab w:leader="none" w:pos="2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69850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358" w:right="2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6"/>
          </w:tcPr>
          <w:p>
            <w:pPr>
              <w:ind w:lef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2017 – March 31, 2017</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2017</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12,801</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(3,550)</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36,470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(4,643)</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41,529</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284</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(372</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88</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88</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($0.50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(697</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March 31, 2017</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12,780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(3,697)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36,052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(4,529)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41,054</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w w:val="98"/>
              </w:rPr>
              <w:t>(Stated in million</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2016 – March 31, 2016</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2016</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12,693</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(13,372)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40,870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(4,558)</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272</w:t>
            </w:r>
          </w:p>
        </w:tc>
        <w:tc>
          <w:tcPr>
            <w:tcW w:w="280" w:type="dxa"/>
            <w:vAlign w:val="bottom"/>
            <w:tcBorders>
              <w:top w:val="single" w:sz="8" w:color="CFF0FC"/>
            </w:tcBorders>
            <w:gridSpan w:val="3"/>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35,90</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52</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($0.50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(626)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(62</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March 31, 2016</w:t>
            </w:r>
          </w:p>
        </w:tc>
        <w:tc>
          <w:tcPr>
            <w:tcW w:w="20" w:type="dxa"/>
            <w:vAlign w:val="bottom"/>
          </w:tcPr>
          <w:p>
            <w:pPr>
              <w:spacing w:after="0"/>
              <w:rPr>
                <w:sz w:val="13"/>
                <w:szCs w:val="13"/>
                <w:color w:val="auto"/>
              </w:rPr>
            </w:pPr>
          </w:p>
        </w:tc>
        <w:tc>
          <w:tcPr>
            <w:tcW w:w="200" w:type="dxa"/>
            <w:vAlign w:val="bottom"/>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12,700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(13,620)</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40,745</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(4,466)</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303</w:t>
            </w:r>
          </w:p>
        </w:tc>
        <w:tc>
          <w:tcPr>
            <w:tcW w:w="280" w:type="dxa"/>
            <w:vAlign w:val="bottom"/>
            <w:gridSpan w:val="3"/>
          </w:tcPr>
          <w:p>
            <w:pPr>
              <w:spacing w:after="0"/>
              <w:rPr>
                <w:sz w:val="13"/>
                <w:szCs w:val="13"/>
                <w:color w:val="auto"/>
              </w:rPr>
            </w:pP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35,66</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3"/>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2017</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358" w:right="139" w:bottom="1440" w:gutter="0" w:footer="0" w:header="0"/>
        </w:sectPr>
      </w:pPr>
    </w:p>
    <w:bookmarkStart w:id="7" w:name="page8"/>
    <w:bookmarkEnd w:id="7"/>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2017 are not necessarily indicative of the results that may be expected for the full year ending December 31, 2017. The December 31, 2016 balance sheet information has been derived from the Schlumberger 2016 audited financial statements. For further information, refer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and notes thereto included in the Schlumberger Annual Report on Form 10-K for the year ended December 31, 2016,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on January 25,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ASU amends the existing accounting standards for revenue recognition and is based on the principle that revenue should be recognized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depict the transfer of goods or services to a customer at an amount that reflects the consideration a company expects to receive in exchange for those goods or services. Schlumberger will adopt this ASU on January 1, 2018. Schlumberger does not expect the adoption of this ASU to have a material impact on its consolidated financial statements.</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This ASU requires lessees to recognize a right of use asset and lease liability on the balance sheet for all leases, with the exception of short-term leases. Schlumberger will adopt this ASU on January 1, 2019. Based on its current lease portfolio, Schlumberger estimates that the adoption of this ASU will result in approximately $1.3 billion of additional assets and liabilities being reflected on its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280" w:hanging="274"/>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 connection with Schlumberger’s acquisition of Cameron (See Note 4 – </w:t>
      </w:r>
      <w:r>
        <w:rPr>
          <w:rFonts w:ascii="Times New Roman" w:cs="Times New Roman" w:eastAsia="Times New Roman" w:hAnsi="Times New Roman"/>
          <w:sz w:val="18"/>
          <w:szCs w:val="18"/>
          <w:i w:val="1"/>
          <w:iCs w:val="1"/>
          <w:color w:val="auto"/>
        </w:rPr>
        <w:t>Acquisition of Cameron</w:t>
      </w:r>
      <w:r>
        <w:rPr>
          <w:rFonts w:ascii="Times New Roman" w:cs="Times New Roman" w:eastAsia="Times New Roman" w:hAnsi="Times New Roman"/>
          <w:sz w:val="18"/>
          <w:szCs w:val="18"/>
          <w:color w:val="auto"/>
        </w:rPr>
        <w:t xml:space="preserve">), Schlumberger recorded $82 million of pretax charges ($68 million after-tax) consisting of employee benefits, facility consolidation and other merger and integration-related costs during the first quarter of 2017. This charge is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quarter of 2016.</w:t>
      </w:r>
    </w:p>
    <w:p>
      <w:pPr>
        <w:spacing w:after="0" w:line="323"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20" w:type="dxa"/>
            <w:vAlign w:val="bottom"/>
          </w:tcPr>
          <w:p>
            <w:pPr>
              <w:spacing w:after="0"/>
              <w:rPr>
                <w:sz w:val="16"/>
                <w:szCs w:val="16"/>
                <w:color w:val="auto"/>
              </w:rPr>
            </w:pPr>
          </w:p>
        </w:tc>
      </w:tr>
      <w:tr>
        <w:trPr>
          <w:trHeight w:val="421"/>
        </w:trPr>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auto"/>
                <w:w w:val="99"/>
              </w:rPr>
              <w:t>2016</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1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1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Schlumberger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Earnings per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w w:val="97"/>
              </w:rPr>
              <w:t>Schlumberger</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Earnings per</w:t>
            </w:r>
          </w:p>
        </w:tc>
        <w:tc>
          <w:tcPr>
            <w:tcW w:w="20" w:type="dxa"/>
            <w:vAlign w:val="bottom"/>
          </w:tcPr>
          <w:p>
            <w:pPr>
              <w:spacing w:after="0"/>
              <w:rPr>
                <w:sz w:val="17"/>
                <w:szCs w:val="17"/>
                <w:color w:val="auto"/>
              </w:rPr>
            </w:pPr>
          </w:p>
        </w:tc>
      </w:tr>
      <w:tr>
        <w:trPr>
          <w:trHeight w:val="213"/>
        </w:trPr>
        <w:tc>
          <w:tcPr>
            <w:tcW w:w="1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Share</w:t>
            </w:r>
          </w:p>
        </w:tc>
        <w:tc>
          <w:tcPr>
            <w:tcW w:w="20" w:type="dxa"/>
            <w:vAlign w:val="bottom"/>
          </w:tcPr>
          <w:p>
            <w:pPr>
              <w:spacing w:after="0"/>
              <w:rPr>
                <w:sz w:val="18"/>
                <w:szCs w:val="18"/>
                <w:color w:val="auto"/>
              </w:rPr>
            </w:pPr>
          </w:p>
        </w:tc>
      </w:tr>
      <w:tr>
        <w:trPr>
          <w:trHeight w:val="202"/>
        </w:trPr>
        <w:tc>
          <w:tcPr>
            <w:tcW w:w="10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7"/>
              </w:rPr>
              <w:t>First Quarter</w:t>
            </w:r>
          </w:p>
        </w:tc>
        <w:tc>
          <w:tcPr>
            <w:tcW w:w="2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6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3280" w:type="dxa"/>
            <w:vAlign w:val="bottom"/>
            <w:tcBorders>
              <w:top w:val="single" w:sz="8" w:color="CFF0FC"/>
            </w:tcBorders>
            <w:gridSpan w:val="2"/>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1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FF0FC"/>
            </w:tcBorders>
            <w:gridSpan w:val="2"/>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3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6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8" w:name="page9"/>
    <w:bookmarkEnd w:id="8"/>
    <w:p>
      <w:pPr>
        <w:spacing w:after="0" w:line="275"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9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12" w:lineRule="exact"/>
        <w:rPr>
          <w:sz w:val="20"/>
          <w:szCs w:val="20"/>
          <w:color w:val="auto"/>
        </w:rPr>
      </w:pPr>
    </w:p>
    <w:p>
      <w:pPr>
        <w:ind w:left="280" w:hanging="274"/>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 of Cameron</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2016, Schlumberger acquired all of the outstanding shares of Cameron, a leading provider of flow equipment products, systems and services to the oil and gas industry worldwide. Schlumberger issued approximately 138 million shares of its common stock, which were valued at $9.9 billion at the time of closing, and paid cash of $2.8 billion. Prior to being acquired by Schlumberger, Cameron reported revenue of approximately $1.6 billion during the first quarter of 2016.</w:t>
      </w:r>
    </w:p>
    <w:p>
      <w:pPr>
        <w:spacing w:after="0" w:line="271"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market,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3"/>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4,288</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Fixed Assets</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fixed assets follows: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3"/>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27,350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6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$613 million and $682 million in the first quarter of 2017 and 2016, respectively.</w:t>
      </w:r>
    </w:p>
    <w:p>
      <w:pPr>
        <w:spacing w:after="0" w:line="216" w:lineRule="exact"/>
        <w:rPr>
          <w:sz w:val="20"/>
          <w:szCs w:val="20"/>
          <w:color w:val="auto"/>
        </w:rPr>
      </w:pPr>
    </w:p>
    <w:p>
      <w:pPr>
        <w:ind w:left="280" w:hanging="274"/>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for the three months ended March 31, 2017 was as follows:</w:t>
      </w:r>
    </w:p>
    <w:p>
      <w:pPr>
        <w:spacing w:after="0" w:line="22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ectPr>
          <w:pgSz w:w="11900" w:h="16838" w:orient="portrait"/>
          <w:cols w:equalWidth="0" w:num="1">
            <w:col w:w="11420"/>
          </w:cols>
          <w:pgMar w:left="240" w:top="360" w:right="2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2485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967" w:hanging="967"/>
        <w:spacing w:after="0"/>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w:t>
      </w:r>
    </w:p>
    <w:p>
      <w:pPr>
        <w:spacing w:after="0" w:line="24" w:lineRule="exact"/>
        <w:rPr>
          <w:rFonts w:ascii="Times New Roman" w:cs="Times New Roman" w:eastAsia="Times New Roman" w:hAnsi="Times New Roman"/>
          <w:sz w:val="18"/>
          <w:szCs w:val="18"/>
          <w:color w:val="auto"/>
        </w:rPr>
      </w:pPr>
    </w:p>
    <w:p>
      <w:pPr>
        <w:ind w:left="10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6" w:lineRule="exact"/>
        <w:rPr>
          <w:sz w:val="20"/>
          <w:szCs w:val="20"/>
          <w:color w:val="auto"/>
        </w:rPr>
      </w:pPr>
    </w:p>
    <w:p>
      <w:pPr>
        <w:ind w:left="967" w:hanging="967"/>
        <w:spacing w:after="0"/>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869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3" w:space="720"/>
            <w:col w:w="1487"/>
          </w:cols>
          <w:pgMar w:left="240" w:top="3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9" w:name="page10"/>
    <w:bookmarkEnd w:id="9"/>
    <w:p>
      <w:pPr>
        <w:ind w:left="280" w:hanging="274"/>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book value, accumulated amortization and net book value of intangible assets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7"/>
              </w:rPr>
              <w:t>Mar. 31, 2017</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Dec. 31, 2016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6"/>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7"/>
                <w:szCs w:val="17"/>
                <w:color w:val="auto"/>
              </w:rPr>
            </w:pPr>
          </w:p>
        </w:tc>
      </w:tr>
      <w:tr>
        <w:trPr>
          <w:trHeight w:val="239"/>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8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Book Value</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Value</w:t>
            </w:r>
          </w:p>
        </w:tc>
      </w:tr>
      <w:tr>
        <w:trPr>
          <w:trHeight w:val="222"/>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12,628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9,743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$169 million during the first quarter of 2017 and $89 million during the first quarter of 2016.</w:t>
      </w:r>
    </w:p>
    <w:p>
      <w:pPr>
        <w:spacing w:after="0" w:line="218"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7"/>
          <w:szCs w:val="17"/>
          <w:color w:val="auto"/>
        </w:rPr>
        <w:t>Based on the net book value of intangible assets at March 31, 2017, amortization charged to income for the subsequent five years is estimated to be: remaining three quarters of 2017—$526 million; 2018—$668 million; 2019—$627 million; 2020—$599 million; 2021—$576 million; and 2022—$571 million.</w:t>
      </w:r>
    </w:p>
    <w:p>
      <w:pPr>
        <w:spacing w:after="0" w:line="285" w:lineRule="exact"/>
        <w:rPr>
          <w:sz w:val="20"/>
          <w:szCs w:val="20"/>
          <w:color w:val="auto"/>
        </w:rPr>
      </w:pPr>
    </w:p>
    <w:p>
      <w:pPr>
        <w:ind w:left="280" w:hanging="274"/>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r>
      <w:tr>
        <w:trPr>
          <w:trHeight w:val="219"/>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2018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0.63%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 due 2019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1.50%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2019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6.38%</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2018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7.00%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4.50%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5.95%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5.13%</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3.70%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16,538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estimated fair value of Schlumberger’s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based on quoted market prices, was $16.8 billion at both March 31, 2017 and December 31, 2016.</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Borrowings under the commercial paper program at March 31, 2017 were $2.9 billion, of which $2.5 billion was 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$0.4 billion was classified within </w:t>
      </w:r>
      <w:r>
        <w:rPr>
          <w:rFonts w:ascii="Times New Roman" w:cs="Times New Roman" w:eastAsia="Times New Roman" w:hAnsi="Times New Roman"/>
          <w:sz w:val="18"/>
          <w:szCs w:val="18"/>
          <w:i w:val="1"/>
          <w:iCs w:val="1"/>
          <w:color w:val="auto"/>
        </w:rPr>
        <w:t>Short-term borrowings and current portion of long-term debt</w:t>
      </w:r>
      <w:r>
        <w:rPr>
          <w:rFonts w:ascii="Times New Roman" w:cs="Times New Roman" w:eastAsia="Times New Roman" w:hAnsi="Times New Roman"/>
          <w:sz w:val="18"/>
          <w:szCs w:val="18"/>
          <w:color w:val="auto"/>
        </w:rPr>
        <w:t xml:space="preserve">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0" w:name="page11"/>
    <w:bookmarkEnd w:id="10"/>
    <w:p>
      <w:pPr>
        <w:spacing w:after="0" w:line="277" w:lineRule="auto"/>
        <w:rPr>
          <w:sz w:val="20"/>
          <w:szCs w:val="20"/>
          <w:color w:val="auto"/>
        </w:rPr>
      </w:pP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At December 31, 2016, borrowings under the commercial paper program were $2.6 billion, of which $2.4 billion was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$0.2 billion was classified in </w:t>
      </w:r>
      <w:r>
        <w:rPr>
          <w:rFonts w:ascii="Times New Roman" w:cs="Times New Roman" w:eastAsia="Times New Roman" w:hAnsi="Times New Roman"/>
          <w:sz w:val="18"/>
          <w:szCs w:val="18"/>
          <w:i w:val="1"/>
          <w:iCs w:val="1"/>
          <w:color w:val="auto"/>
        </w:rPr>
        <w:t>Short-term borrowings and current portion of 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7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2017, Schlumberger had fixed rate debt of $14.2 billion and variable rate debt of $4.8 billion after taking into account the effect of the swap.</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 </w:t>
      </w:r>
      <w:r>
        <w:rPr>
          <w:rFonts w:ascii="Times New Roman" w:cs="Times New Roman" w:eastAsia="Times New Roman" w:hAnsi="Times New Roman"/>
          <w:sz w:val="18"/>
          <w:szCs w:val="18"/>
          <w:color w:val="auto"/>
        </w:rPr>
        <w:t>totaled $5.7 billion at March 31, 2017. The carrying value of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approximated fair value, which was estimated using quoted market prices for those or similar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over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Amounts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At March 31, 2017, Schlumberger recognized a cumulative net loss of $8 million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fair value of the hedged item.</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2017, contracts were outstanding for the US dollar equivalent of $3.8 billion in various foreign currencies, of which $0.7 billion related to hedges of debt denominated in currencies other than the functional currency.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4820" w:type="dxa"/>
            <w:vAlign w:val="bottom"/>
          </w:tcPr>
          <w:p>
            <w:pPr>
              <w:spacing w:after="0"/>
              <w:rPr>
                <w:sz w:val="24"/>
                <w:szCs w:val="24"/>
                <w:color w:val="auto"/>
              </w:rPr>
            </w:pPr>
          </w:p>
        </w:tc>
        <w:tc>
          <w:tcPr>
            <w:tcW w:w="2620" w:type="dxa"/>
            <w:vAlign w:val="bottom"/>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Fair Value of Derivatives</w:t>
            </w:r>
          </w:p>
        </w:tc>
        <w:tc>
          <w:tcPr>
            <w:tcW w:w="34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Consolidated Balance Sheet Classification</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10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 31,</w:t>
            </w:r>
          </w:p>
        </w:tc>
        <w:tc>
          <w:tcPr>
            <w:tcW w:w="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2016</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4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40" w:type="dxa"/>
            <w:vAlign w:val="bottom"/>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Pr>
          <w:p>
            <w:pPr>
              <w:spacing w:after="0"/>
              <w:rPr>
                <w:sz w:val="19"/>
                <w:szCs w:val="19"/>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10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4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4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The fair value of all outstanding derivatives was determined using a model with inputs that are observable in the market or that can be derived from, or corroborated by, observable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effect of derivative instruments designated as fair value hedges and those not designated as hedges on the </w:t>
      </w:r>
      <w:r>
        <w:rPr>
          <w:rFonts w:ascii="Times New Roman" w:cs="Times New Roman" w:eastAsia="Times New Roman" w:hAnsi="Times New Roman"/>
          <w:sz w:val="17"/>
          <w:szCs w:val="17"/>
          <w:i w:val="1"/>
          <w:iCs w:val="1"/>
          <w:color w:val="auto"/>
        </w:rPr>
        <w:t>Consolidated Statement of Income</w:t>
      </w:r>
      <w:r>
        <w:rPr>
          <w:rFonts w:ascii="Times New Roman" w:cs="Times New Roman" w:eastAsia="Times New Roman" w:hAnsi="Times New Roman"/>
          <w:sz w:val="17"/>
          <w:szCs w:val="17"/>
          <w:color w:val="auto"/>
        </w:rPr>
        <w:t xml:space="preserve">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4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8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Gain (Loss) Recognized in Income</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1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2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Consolidated Statement</w:t>
            </w: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Income Classification</w:t>
            </w:r>
          </w:p>
        </w:tc>
        <w:tc>
          <w:tcPr>
            <w:tcW w:w="0" w:type="dxa"/>
            <w:vAlign w:val="bottom"/>
          </w:tcPr>
          <w:p>
            <w:pPr>
              <w:spacing w:after="0"/>
              <w:rPr>
                <w:sz w:val="1"/>
                <w:szCs w:val="1"/>
                <w:color w:val="auto"/>
              </w:rPr>
            </w:pPr>
          </w:p>
        </w:tc>
      </w:tr>
      <w:tr>
        <w:trPr>
          <w:trHeight w:val="222"/>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4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2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2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Segment Information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First Quarter 2017</w:t>
            </w:r>
          </w:p>
        </w:tc>
        <w:tc>
          <w:tcPr>
            <w:tcW w:w="18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First Quarter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300" w:right="20" w:hanging="287"/>
        <w:spacing w:after="0" w:line="275" w:lineRule="auto"/>
        <w:tabs>
          <w:tab w:leader="none" w:pos="24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first quarter of 2017 includes $63 million of intangible asset amortization expense resulting from the April 2016 acquisition of Cameron.</w:t>
      </w:r>
    </w:p>
    <w:p>
      <w:pPr>
        <w:spacing w:after="0" w:line="85" w:lineRule="exact"/>
        <w:rPr>
          <w:rFonts w:ascii="Times New Roman" w:cs="Times New Roman" w:eastAsia="Times New Roman" w:hAnsi="Times New Roman"/>
          <w:sz w:val="15"/>
          <w:szCs w:val="15"/>
          <w:color w:val="auto"/>
        </w:rPr>
      </w:pPr>
    </w:p>
    <w:p>
      <w:pPr>
        <w:ind w:left="280" w:hanging="255"/>
        <w:spacing w:after="0"/>
        <w:tabs>
          <w:tab w:leader="none" w:pos="280" w:val="left"/>
        </w:tabs>
        <w:numPr>
          <w:ilvl w:val="2"/>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($5 million in 2017; $6 million in 2016).</w:t>
      </w:r>
    </w:p>
    <w:p>
      <w:pPr>
        <w:spacing w:after="0" w:line="134"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2017; $13 million in 2016).</w:t>
      </w:r>
    </w:p>
    <w:p>
      <w:pPr>
        <w:spacing w:after="0" w:line="132"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See Note 2 – </w:t>
      </w:r>
      <w:r>
        <w:rPr>
          <w:rFonts w:ascii="Times New Roman" w:cs="Times New Roman" w:eastAsia="Times New Roman" w:hAnsi="Times New Roman"/>
          <w:sz w:val="16"/>
          <w:szCs w:val="16"/>
          <w:i w:val="1"/>
          <w:iCs w:val="1"/>
          <w:color w:val="auto"/>
        </w:rPr>
        <w:t>Charges and Credits</w:t>
      </w:r>
      <w:r>
        <w:rPr>
          <w:rFonts w:ascii="Times New Roman" w:cs="Times New Roman" w:eastAsia="Times New Roman" w:hAnsi="Times New Roman"/>
          <w:sz w:val="16"/>
          <w:szCs w:val="16"/>
          <w:color w:val="auto"/>
        </w:rPr>
        <w:t>.</w:t>
      </w:r>
    </w:p>
    <w:p>
      <w:pPr>
        <w:spacing w:after="0" w:line="123" w:lineRule="exact"/>
        <w:rPr>
          <w:rFonts w:ascii="Times New Roman" w:cs="Times New Roman" w:eastAsia="Times New Roman" w:hAnsi="Times New Roman"/>
          <w:sz w:val="15"/>
          <w:szCs w:val="15"/>
          <w:color w:val="auto"/>
        </w:rPr>
      </w:pP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Certain prior period items have been reclassified to conform to the current period presentation.</w:t>
      </w:r>
    </w:p>
    <w:p>
      <w:pPr>
        <w:spacing w:after="0" w:line="301" w:lineRule="exact"/>
        <w:rPr>
          <w:sz w:val="20"/>
          <w:szCs w:val="20"/>
          <w:color w:val="auto"/>
        </w:rPr>
      </w:pPr>
    </w:p>
    <w:p>
      <w:pPr>
        <w:ind w:left="360" w:hanging="354"/>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for the Schlumberger pension plans included the following components: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(Stated in millions)</w:t>
            </w:r>
          </w:p>
        </w:tc>
        <w:tc>
          <w:tcPr>
            <w:tcW w:w="20" w:type="dxa"/>
            <w:vAlign w:val="bottom"/>
          </w:tcPr>
          <w:p>
            <w:pPr>
              <w:spacing w:after="0"/>
              <w:rPr>
                <w:sz w:val="20"/>
                <w:szCs w:val="20"/>
                <w:color w:val="auto"/>
              </w:rPr>
            </w:pPr>
          </w:p>
        </w:tc>
      </w:tr>
      <w:tr>
        <w:trPr>
          <w:trHeight w:val="464"/>
        </w:trPr>
        <w:tc>
          <w:tcPr>
            <w:tcW w:w="3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2017</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57"/>
              <w:spacing w:after="0"/>
              <w:rPr>
                <w:sz w:val="20"/>
                <w:szCs w:val="20"/>
                <w:color w:val="auto"/>
              </w:rPr>
            </w:pPr>
            <w:r>
              <w:rPr>
                <w:rFonts w:ascii="Times New Roman" w:cs="Times New Roman" w:eastAsia="Times New Roman" w:hAnsi="Times New Roman"/>
                <w:sz w:val="18"/>
                <w:szCs w:val="18"/>
                <w:color w:val="auto"/>
              </w:rPr>
              <w:t>2016</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88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Int'l</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US</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Int'l</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0"/>
                <w:szCs w:val="20"/>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4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3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77"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net periodic benefit credit for the Schlumberger US postretirement medical plan included the following components: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14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8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consists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Pension and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Marketable</w:t>
            </w: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Hedges</w:t>
            </w: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top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(2,509)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gridSpan w:val="3"/>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tcBorders>
              <w:right w:val="single" w:sz="8" w:color="CFF0FC"/>
            </w:tcBorders>
            <w:gridSpan w:val="3"/>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 March 31, 2017</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7"/>
              </w:rPr>
              <w:t>(2,447)</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Pension and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Marketable</w:t>
            </w: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Hedges</w:t>
            </w: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Benefit Plans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top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(2,466)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gain (loss) before reclassifications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Borders>
              <w:top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(2,403)</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00" w:right="219" w:bottom="1440" w:gutter="0" w:footer="0" w:header="0"/>
        </w:sectPr>
      </w:pPr>
    </w:p>
    <w:bookmarkStart w:id="14" w:name="page15"/>
    <w:bookmarkEnd w:id="14"/>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2017 Compared to Fourth Quarter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First Quarter 2017</w:t>
            </w:r>
          </w:p>
        </w:tc>
        <w:tc>
          <w:tcPr>
            <w:tcW w:w="180" w:type="dxa"/>
            <w:vAlign w:val="bottom"/>
          </w:tcPr>
          <w:p>
            <w:pPr>
              <w:spacing w:after="0"/>
              <w:rPr>
                <w:sz w:val="24"/>
                <w:szCs w:val="24"/>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Fourth Quarter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hanging="286"/>
        <w:spacing w:after="0" w:line="291" w:lineRule="auto"/>
        <w:tabs>
          <w:tab w:leader="none" w:pos="237"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3"/>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($5 million in 2017; $7 million in 2016).</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2"/>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2017; $13 million in 2016).</w:t>
      </w:r>
    </w:p>
    <w:p>
      <w:pPr>
        <w:spacing w:after="0" w:line="132" w:lineRule="exact"/>
        <w:rPr>
          <w:rFonts w:ascii="Times New Roman" w:cs="Times New Roman" w:eastAsia="Times New Roman" w:hAnsi="Times New Roman"/>
          <w:sz w:val="15"/>
          <w:szCs w:val="15"/>
          <w:color w:val="auto"/>
        </w:rPr>
      </w:pPr>
    </w:p>
    <w:p>
      <w:pPr>
        <w:jc w:val="both"/>
        <w:ind w:left="300" w:right="5080" w:hanging="287"/>
        <w:spacing w:after="0" w:line="477" w:lineRule="auto"/>
        <w:tabs>
          <w:tab w:leader="none" w:pos="286"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Charges and credits are described in detail in Note 2 to the </w:t>
      </w:r>
      <w:r>
        <w:rPr>
          <w:rFonts w:ascii="Times New Roman" w:cs="Times New Roman" w:eastAsia="Times New Roman" w:hAnsi="Times New Roman"/>
          <w:sz w:val="15"/>
          <w:szCs w:val="15"/>
          <w:i w:val="1"/>
          <w:iCs w:val="1"/>
          <w:color w:val="auto"/>
        </w:rPr>
        <w:t>Consolidated Financial Statements</w:t>
      </w:r>
      <w:r>
        <w:rPr>
          <w:rFonts w:ascii="Times New Roman" w:cs="Times New Roman" w:eastAsia="Times New Roman" w:hAnsi="Times New Roman"/>
          <w:sz w:val="15"/>
          <w:szCs w:val="15"/>
          <w:color w:val="auto"/>
        </w:rPr>
        <w:t>. Certain prior period items have been reclassified to conform to the current period presentation.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Reservoir Characterization Group revenue of $1.6 billion decreased 3% sequentially primarily due to project completions in Testing &amp; Process systems and lower SIS software license sales. These decreases were partly offset by Wireline revenue growth as a result of infrastructure-led exploration activity in North America.</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17% decreased 170 basis points (bps) sequentially as the increased contribution from high-margin Wireline exploration activities was more than offset by reduced profitability in WesternGeco and lower contributions from SIS software license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Drilling Group revenue of $2.0 billion decreased 1% sequentially as strong directional drilling activity in North America land was more than offset by lower drilling activity and pricing pressure in the International Areas.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12% was essentially flat sequentially despite the slight revenue decline. This was due to pricing improvements in the US offset by pricing pressure in the international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Production Group revenue of $2.2 billion was 1% lower sequentially primarily due to a combination of decreased revenue on SPM projects in Ecuador, reduced hydraulic fracturing activity on land in the Middle East and lower Completions product sales. These decreases were partially mitigated by strong hydraulic fracturing activity and pricing recovery that led to a 19% growth in revenue in North America land.</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5% decreased 78 bps sequentially as the positive effects of increased activity and pricing recovery on land in North America were more than offset by margin contraction from lower SPM revenue.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Cameron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Cameron Group revenue of $1.2 billion decreased 9% sequentially driven by declining project volumes in OneSubsea and reduced product sales in Surface Systems. The revenue decline for OneSubsea was due to falling project volumes in Brazil and reduced activity in the US Gulf of Mexico. Surface Systems sales were lower in the Europe/CIS/Africa and Latin America Areas, which more than offset the double-digit revenue growth in North America land.</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13% declined 80 bps sequentially as continued strong project execution in OneSubsea and tight cost control in Drilling Systems limited the impact of lower product volume in Surface Systems.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2017 Compared to First Quarter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First Quarter 2017</w:t>
            </w:r>
          </w:p>
        </w:tc>
        <w:tc>
          <w:tcPr>
            <w:tcW w:w="18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First Quarter 2016</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8" w:lineRule="exact"/>
        <w:rPr>
          <w:sz w:val="20"/>
          <w:szCs w:val="20"/>
          <w:color w:val="auto"/>
        </w:rPr>
      </w:pPr>
    </w:p>
    <w:p>
      <w:pPr>
        <w:ind w:left="300" w:hanging="286"/>
        <w:spacing w:after="0" w:line="275" w:lineRule="auto"/>
        <w:tabs>
          <w:tab w:leader="none" w:pos="23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first quarter of 2017 includes $63 million of intangible asset amortization expense resulting from the April 2016 acquisition of Cameron.</w:t>
      </w:r>
    </w:p>
    <w:p>
      <w:pPr>
        <w:spacing w:after="0" w:line="85"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3"/>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($5 million in 2017; $6 million in 2016).</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2"/>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($13 million in 2017; $13 million in 2016).</w:t>
      </w:r>
    </w:p>
    <w:p>
      <w:pPr>
        <w:spacing w:after="0" w:line="132" w:lineRule="exact"/>
        <w:rPr>
          <w:rFonts w:ascii="Times New Roman" w:cs="Times New Roman" w:eastAsia="Times New Roman" w:hAnsi="Times New Roman"/>
          <w:sz w:val="15"/>
          <w:szCs w:val="15"/>
          <w:color w:val="auto"/>
        </w:rPr>
      </w:pPr>
    </w:p>
    <w:p>
      <w:pPr>
        <w:ind w:left="240" w:hanging="227"/>
        <w:spacing w:after="0"/>
        <w:tabs>
          <w:tab w:leader="none" w:pos="2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Charges and credits recorded are described in detail in Note 2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Certain prior period items have been reclassified to conform to the current period presentation.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First-quarter 2017 revenue of $6.9 billion increased 6% year-on-year. This included a full quarter of activity from the acquired Cameron businesses, which contributed revenue of $1.2 billion. Excluding the impact of the Cameron acquisition, revenue declined 13% year-on-year. During the first-quarter of 2017 the North America land rig count returned to prior year levels. However, the international land rig count was lower by 8%, the North America offshore rig count was lower by 25%, and the International offshore rig count was lower by 18%. As a result, Drilling Group revenue decreased 20% while Production Group and Reservoir Characterization Group were lower by 8% and 6%, respectively. In addition to the impact of the rig count, revenue also declined year-on-year as a result of reduced activity levels in Venezuela following Schlumberger’s decision in April 2016 to align activity with cash collections.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First-quarter 2017 pretax operating margin decreased 284 bps to 11%, as a result of the overall decline in activity and pervasive pricing pressure internationally. The margin decrease was the highest in the Production Group, which contracted by 365 bps to 5%. Drilling Group pretax operating margin fell 334 bps to 12%, while the Reservoir Characterization Group decreased 206 bps to 17%, and the Cameron Group posted a pretax margin of 13%.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First-quarter 2017 revenue of $1.6 billion decreased 6% year-on-year primarily due to lower exploration and reduced discretionary spending by customers in the offshore markets which impacted Wireline and SIS software license sales as well as reduced activity in Venezuela. These decreases were partly offset by higher revenue from increased land seismic and multiclient activity in WesternGeco and increased revenue in Testing &amp; Process relating to progress on early production facilities in the Middle East &amp; Asia Area.</w:t>
      </w:r>
    </w:p>
    <w:p>
      <w:pPr>
        <w:spacing w:after="0" w:line="1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decreased 206 bps to 17% due to reduced higher-margin Wireline activities partly offset by improved profitability in WesternGeco.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First-quarter 2017 revenue of $2.0 billion decreased 20% year-on-year primarily due to the decline in the international and offshore North America rig counts and lower activity in Venezuela combined with pricing pressure.</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decreased 334 bps to 12% primarily due to a decline in higher-margin activities of Drilling &amp; Measurements combined with the impact of pricing pressure.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First-quarter 2017 revenue of $2.2 billion decreased 8% year-on-year due primarily to the decline in international activity as well as decreased revenue on SPM projects in Ecuador. These decreases were partially offset by increased hydraulic fracturing activity in North America 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365 bps to 5% as a result of lower international activity and increased pricing pressure.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 Group</w:t>
      </w:r>
    </w:p>
    <w:p>
      <w:pPr>
        <w:spacing w:after="0" w:line="11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April 1, 2016, Schlumberger acquired all of the outstanding shares of Cameron, a leading provider of flow equipment products, systems and services to the oil and gas industry worldwide. Schlumberger issued approximately 138 million shares of its common stock, which were valued at $9.9 billion at the time of closing, and paid cash of $2.8 billion. Prior to being acquired by Schlumberger, Cameron reported revenue of approximately $1.6 billion during the first quarter of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1"/>
        </w:trPr>
        <w:tc>
          <w:tcPr>
            <w:tcW w:w="7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1100" w:type="dxa"/>
            <w:vAlign w:val="bottom"/>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decrease in earnings of equity method investments primarily reflects the effects of the downturn in the oil and gas industry, which has negatively impacted the majority of Schlumberger’s investments in affiliates, particularly those in North America.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first quarter ended March 31, 2017 and 2016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7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First Quarter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631"/>
        </w:trPr>
        <w:tc>
          <w:tcPr>
            <w:tcW w:w="7680" w:type="dxa"/>
            <w:vAlign w:val="bottom"/>
          </w:tcPr>
          <w:p>
            <w:pPr>
              <w:jc w:val="right"/>
              <w:ind w:right="1791"/>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76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77" w:right="219" w:bottom="1440" w:gutter="0" w:footer="0" w:header="0"/>
        </w:sectPr>
      </w:pPr>
    </w:p>
    <w:bookmarkStart w:id="17" w:name="page18"/>
    <w:bookmarkEnd w:id="17"/>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costs have decreased $29 million and $12 million, respectively, as a result of cost control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in part by the impact of the Cameron acquisition.</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The effective tax rate for the first quarter of 2017 was 15% compared to 16% for the same period of the prior year. The charges described in Note 2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reduced the first-quarter 2017 effective tax rate by 0.4 percentage points. There were no charges or credits recorded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Charges and Credits</w:t>
      </w:r>
    </w:p>
    <w:p>
      <w:pPr>
        <w:spacing w:after="0" w:line="1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 connection with Schlumberger’s acquisition of Cameron (See Note 4 – </w:t>
      </w:r>
      <w:r>
        <w:rPr>
          <w:rFonts w:ascii="Times New Roman" w:cs="Times New Roman" w:eastAsia="Times New Roman" w:hAnsi="Times New Roman"/>
          <w:sz w:val="18"/>
          <w:szCs w:val="18"/>
          <w:i w:val="1"/>
          <w:iCs w:val="1"/>
          <w:color w:val="auto"/>
        </w:rPr>
        <w:t>Acquisition of Cameron</w:t>
      </w:r>
      <w:r>
        <w:rPr>
          <w:rFonts w:ascii="Times New Roman" w:cs="Times New Roman" w:eastAsia="Times New Roman" w:hAnsi="Times New Roman"/>
          <w:sz w:val="18"/>
          <w:szCs w:val="18"/>
          <w:color w:val="auto"/>
        </w:rPr>
        <w:t xml:space="preserve">), Schlumberger recorded $82 million of pretax charges ($68 million after-tax) consisting of employee benefits, facility consolidation, and other merger and integration-related costs during the first quarter of 2017. This charge is classified in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during the first quarter of 2016.</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1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right"/>
              <w:ind w:right="117"/>
              <w:spacing w:after="0"/>
              <w:rPr>
                <w:sz w:val="20"/>
                <w:szCs w:val="20"/>
                <w:color w:val="auto"/>
              </w:rPr>
            </w:pPr>
            <w:r>
              <w:rPr>
                <w:rFonts w:ascii="Times New Roman" w:cs="Times New Roman" w:eastAsia="Times New Roman" w:hAnsi="Times New Roman"/>
                <w:sz w:val="18"/>
                <w:szCs w:val="18"/>
                <w:color w:val="auto"/>
              </w:rPr>
              <w:t>(4,254)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(17,233)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1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Three Months Ended Mar.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88"/>
              </w:rPr>
              <w:t>2017</w:t>
            </w:r>
          </w:p>
        </w:tc>
        <w:tc>
          <w:tcPr>
            <w:tcW w:w="2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costs capitalized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1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w w:val="98"/>
              </w:rPr>
              <w:t>Business acquisitions and investments, net of cash acquired plus debt assumed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debt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(10,121)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20" w:type="dxa"/>
            <w:vAlign w:val="bottom"/>
            <w:vMerge w:val="restart"/>
          </w:tcPr>
          <w:p>
            <w:pPr>
              <w:jc w:val="right"/>
              <w:ind w:right="831"/>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6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6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98" w:right="219" w:bottom="1440" w:gutter="0" w:footer="0" w:header="0"/>
        </w:sectPr>
      </w:pPr>
    </w:p>
    <w:bookmarkStart w:id="18" w:name="page19"/>
    <w:bookmarkEnd w:id="18"/>
    <w:p>
      <w:pPr>
        <w:jc w:val="both"/>
        <w:ind w:left="520" w:hanging="514"/>
        <w:spacing w:after="0" w:line="215" w:lineRule="auto"/>
        <w:tabs>
          <w:tab w:leader="none" w:pos="52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520" w:hanging="514"/>
        <w:spacing w:after="0" w:line="192" w:lineRule="auto"/>
        <w:tabs>
          <w:tab w:leader="none" w:pos="52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SPM investments.</w:t>
      </w:r>
    </w:p>
    <w:p>
      <w:pPr>
        <w:spacing w:after="0" w:line="62" w:lineRule="exact"/>
        <w:rPr>
          <w:rFonts w:ascii="Times New Roman" w:cs="Times New Roman" w:eastAsia="Times New Roman" w:hAnsi="Times New Roman"/>
          <w:sz w:val="26"/>
          <w:szCs w:val="26"/>
          <w:color w:val="auto"/>
          <w:vertAlign w:val="superscript"/>
        </w:rPr>
      </w:pPr>
    </w:p>
    <w:p>
      <w:pPr>
        <w:ind w:left="520" w:hanging="514"/>
        <w:spacing w:after="0" w:line="180" w:lineRule="auto"/>
        <w:tabs>
          <w:tab w:leader="none" w:pos="52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severance payments of approximately $140 million and $260 million during the three months ended March 31, 2017 and 2016, respectively.</w:t>
      </w:r>
    </w:p>
    <w:p>
      <w:pPr>
        <w:spacing w:after="0" w:line="49" w:lineRule="exact"/>
        <w:rPr>
          <w:rFonts w:ascii="Times New Roman" w:cs="Times New Roman" w:eastAsia="Times New Roman" w:hAnsi="Times New Roman"/>
          <w:sz w:val="22"/>
          <w:szCs w:val="22"/>
          <w:color w:val="auto"/>
          <w:vertAlign w:val="superscript"/>
        </w:rPr>
      </w:pPr>
    </w:p>
    <w:p>
      <w:pPr>
        <w:jc w:val="both"/>
        <w:ind w:left="520" w:hanging="514"/>
        <w:spacing w:after="0" w:line="226" w:lineRule="auto"/>
        <w:tabs>
          <w:tab w:leader="none" w:pos="52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Key liquidity events during the first three months of 2017 and 2016 included:</w:t>
      </w:r>
    </w:p>
    <w:p>
      <w:pPr>
        <w:spacing w:after="0" w:line="112" w:lineRule="exact"/>
        <w:rPr>
          <w:sz w:val="20"/>
          <w:szCs w:val="20"/>
          <w:color w:val="auto"/>
        </w:rPr>
      </w:pPr>
    </w:p>
    <w:p>
      <w:pPr>
        <w:ind w:left="1020" w:hanging="376"/>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2013, the Schlumberger Board of Directors (the “Board”) approved a $10 billion share repurchase program to be completed at the latest by June 30, 2018. Schlumberger had repurchased $9.7 billion of shares under this new share repurchase program as of March 31, 2017.</w:t>
      </w:r>
    </w:p>
    <w:p>
      <w:pPr>
        <w:spacing w:after="0" w:line="5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summarizes the activity under this share repurchase program:</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18"/>
        </w:trPr>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color w:val="auto"/>
                <w:w w:val="97"/>
              </w:rPr>
              <w:t>Total cost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Average price</w:t>
            </w:r>
          </w:p>
        </w:tc>
      </w:tr>
      <w:tr>
        <w:trPr>
          <w:trHeight w:val="213"/>
        </w:trPr>
        <w:tc>
          <w:tcPr>
            <w:tcW w:w="4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color w:val="auto"/>
                <w:w w:val="97"/>
              </w:rPr>
              <w:t>of 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paid per</w:t>
            </w:r>
          </w:p>
        </w:tc>
      </w:tr>
      <w:tr>
        <w:trPr>
          <w:trHeight w:val="215"/>
        </w:trPr>
        <w:tc>
          <w:tcPr>
            <w:tcW w:w="4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color w:val="auto"/>
                <w:w w:val="98"/>
              </w:rPr>
              <w:t>purchased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share</w:t>
            </w:r>
          </w:p>
        </w:tc>
      </w:tr>
      <w:tr>
        <w:trPr>
          <w:trHeight w:val="222"/>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tc>
        <w:tc>
          <w:tcPr>
            <w:tcW w:w="1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31, 2016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1" w:lineRule="exact"/>
        <w:rPr>
          <w:sz w:val="20"/>
          <w:szCs w:val="20"/>
          <w:color w:val="auto"/>
        </w:rPr>
      </w:pPr>
    </w:p>
    <w:p>
      <w:pPr>
        <w:ind w:left="1060" w:right="180"/>
        <w:spacing w:after="0" w:line="275" w:lineRule="auto"/>
        <w:rPr>
          <w:sz w:val="20"/>
          <w:szCs w:val="20"/>
          <w:color w:val="auto"/>
        </w:rPr>
      </w:pPr>
      <w:r>
        <w:rPr>
          <w:rFonts w:ascii="Times New Roman" w:cs="Times New Roman" w:eastAsia="Times New Roman" w:hAnsi="Times New Roman"/>
          <w:sz w:val="18"/>
          <w:szCs w:val="18"/>
          <w:color w:val="auto"/>
        </w:rPr>
        <w:t>On January 21, 2016, the Board approved a new $10 billion share repurchase program for Schlumberger common stock. The new program will take effect once the remaining $0.3 billion authorized to be repurchased under the July 18, 2013 program is exhausted.</w:t>
      </w:r>
    </w:p>
    <w:p>
      <w:pPr>
        <w:spacing w:after="0" w:line="190" w:lineRule="exact"/>
        <w:rPr>
          <w:sz w:val="20"/>
          <w:szCs w:val="20"/>
          <w:color w:val="auto"/>
        </w:rPr>
      </w:pPr>
    </w:p>
    <w:p>
      <w:pPr>
        <w:ind w:left="1020" w:hanging="363"/>
        <w:spacing w:after="0" w:line="27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$0.4 billion during the first three months of 2017 compared to $0.5 billion during the first three months of 2016. Capital expenditures for full-year 2017 are expected to be approximately $2.2 billion as compared to expenditures of $2.1 billion in 2016.</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24, 2017, Schlumberger and Weatherford announced an agreement to create OneStim</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a joint venture to deliver completions products and services for the development of unconventional resource plays in the United States and Canada land markets. The joint venture will offer one of the broadest multistage completions portfolios in the market combined with one of the largest hydraulic fracturing fleets in the industry. Schlumberger and Weatherford will have a 70%/30% ownership of the joint venture, respectively. The transaction is expected to close in the second half of 2017 and is subject to regulatory approvals and other customary closing conditions. Under the terms of the formation agreement, Schlumberger and Weatherford will contribute all their respective North America land hydraulic fracturing pressure pumping assets, multistage completions, and pump-down perforating businesses. Schlumberger will also make a $535 million cash payment to Weatherford. Schlumberger will manage the joint venture and consolidate it for financial reporting purposes.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April 2016, Schlumberger announced that it would reduce its activity in Venezuela to align operations with cash collections as a result of insufficient payments received in recent quarters and a lack of progress in establishing new mechanisms that address past and future accounts receivable. Schlumberger’s total net receivable balance in Venezuela as of March 31, 2017 was approximately $1.2 billion. During the first quarter of 2017, Schlumberger reclassified $700 million of this balance from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to long-term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Schlumberger continues to experience payment delays from certain other customers as well, primarily as a result of the impact of lower oil prices in the industry. In this regard, included 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March 31, 2017, is approximately $1.2 billion of receivables relating to Ecuador.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operates in more than 85 countries. At March 31, 2017, only five of those countries individually accounted for greater than 5% of Schlumberger’s net receivable balance, of which only three (the United States, Venezuela and Ecuador) accounted for greater than 10%.</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2017, Schlumberger had $7.4 billion of cash and short-term investments on hand. Schlumberger had separate committed debt facility agreements aggregating $6.6 billion with commercial banks, of which $3.7 billion was available and unused as of March 31, 2017. The $6.6 billion of committed debt facility agreements included $6.3 billion of committed facilities that support commercial paper programs. Schlumberger believes these amounts are sufficient to meet future business requirements for at least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commercial paper programs at March 31, 2017 were $2.9 billion.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payment delays;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first-quarter 2017 Form 10-Q and our most recent Form 10-K, and Forms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2016. Schlumberger’s exposure to market risk has not changed materially since December 31,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11—</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previously disclosed in Part 1, Item 1A, of Schlumberger’s Annual Report on Form 10-K for the fiscal year ended December 31,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July 18, 2013, the Board approved a $10 billion share repurchase program for shares of Schlumberger common stock, to be completed at the latest by June 30,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program activity for the three months ended March 31, 2017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09"/>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under the</w:t>
            </w:r>
          </w:p>
        </w:tc>
      </w:tr>
      <w:tr>
        <w:trPr>
          <w:trHeight w:val="211"/>
        </w:trPr>
        <w:tc>
          <w:tcPr>
            <w:tcW w:w="58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1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program</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program</w:t>
            </w:r>
          </w:p>
        </w:tc>
      </w:tr>
      <w:tr>
        <w:trPr>
          <w:trHeight w:val="222"/>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through January 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February 1 through February 28, 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593,491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through March 31, 2017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272,727</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January 21, 2016, the Board approved a new $10 billion share repurchase program for Schlumberger common stock. This new program will take effect once the remaining $0.3 billion authorized to be repurchased under the July 18, 2013 program is exhausted.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completed the wind down of its service operations in Iran during 2013. Prior to this, certain non-US subsidiaries of Schlumberger provided oilfield services to the National Iranian Oil Company and certain of its affiliates (“NIOC”).</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in the first quarter of 2017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fourth quarter of 2016, a non-US subsidiary entered into a memorandum of understanding (“MOU”) with NIOC relating to the non-disclosure of data required for the technical evaluation of an oilfield project. In the first quarter of 2017, the Schlumberger subsidiary provided NIOC with written notice that it was terminating the MOU, effective March 11, 2017. The MOU did not involve the provision of services.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00" w:lineRule="exact"/>
        <w:rPr>
          <w:sz w:val="20"/>
          <w:szCs w:val="20"/>
          <w:color w:val="auto"/>
        </w:rPr>
      </w:pPr>
    </w:p>
    <w:p>
      <w:pPr>
        <w:spacing w:after="0" w:line="233" w:lineRule="exact"/>
        <w:rPr>
          <w:sz w:val="20"/>
          <w:szCs w:val="20"/>
          <w:color w:val="auto"/>
        </w:rPr>
      </w:pPr>
    </w:p>
    <w:p>
      <w:pPr>
        <w:ind w:left="440" w:right="20"/>
        <w:spacing w:after="0" w:line="275" w:lineRule="auto"/>
        <w:rPr>
          <w:sz w:val="20"/>
          <w:szCs w:val="20"/>
          <w:color w:val="auto"/>
        </w:rPr>
      </w:pPr>
      <w:r>
        <w:rPr>
          <w:rFonts w:ascii="Times New Roman" w:cs="Times New Roman" w:eastAsia="Times New Roman" w:hAnsi="Times New Roman"/>
          <w:sz w:val="18"/>
          <w:szCs w:val="18"/>
          <w:color w:val="auto"/>
        </w:rPr>
        <w:t>Exhibit 3.1—Articles of Incorporation of Schlumberger Limited (Schlumberger N.V.) (incorporated by reference to Exhibit 3.1 to Schlumberger’s Current Report on Form 8-K filed on April 6, 2016)</w:t>
      </w:r>
    </w:p>
    <w:p>
      <w:pPr>
        <w:spacing w:after="0" w:line="71" w:lineRule="exact"/>
        <w:rPr>
          <w:sz w:val="20"/>
          <w:szCs w:val="20"/>
          <w:color w:val="auto"/>
        </w:rPr>
      </w:pPr>
    </w:p>
    <w:p>
      <w:pPr>
        <w:ind w:left="440" w:right="100"/>
        <w:spacing w:after="0" w:line="275" w:lineRule="auto"/>
        <w:rPr>
          <w:sz w:val="20"/>
          <w:szCs w:val="20"/>
          <w:color w:val="auto"/>
        </w:rPr>
      </w:pPr>
      <w:r>
        <w:rPr>
          <w:rFonts w:ascii="Times New Roman" w:cs="Times New Roman" w:eastAsia="Times New Roman" w:hAnsi="Times New Roman"/>
          <w:sz w:val="18"/>
          <w:szCs w:val="18"/>
          <w:color w:val="auto"/>
        </w:rPr>
        <w:t>Exhibit 3.2—Amended and Restated By-laws of Schlumberger Limited (Schlumberger N.V.) (incorporated by reference to Exhibit 3.1 to Schlumberger’s Current Report on Form 8-K filed on January 19, 2017)</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10.1—Form of Two-Year Performance Share Unit Award Agreement under the Schlumberger 2013 Omnibus Stock Incentive Plan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10.2—Form of Three-Year Performance Share Unit Award Agreement under the Schlumberger 2013 Omnibus Stock Incentive Plan 2017 (+)</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10.3—Form of Schlumberger Omnibus Stock Incentive Plan Restricted Stock Unit Award Agreement for France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10.4—Form of Schlumberger Omnibus Stock Incentive Plan Restricted Stock Unit Award Agreement(+)</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10.5—Form of Schlumberger Omnibus Stock Incentive Plan Non-Qualified Stock Option Agreement(+)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 10.6—Form of Schlumberger Omnibus Stock Incentive Plan Incentive Stock Option Agreement(+)</w:t>
      </w:r>
    </w:p>
    <w:p>
      <w:pPr>
        <w:spacing w:after="0" w:line="125" w:lineRule="exact"/>
        <w:rPr>
          <w:sz w:val="20"/>
          <w:szCs w:val="20"/>
          <w:color w:val="auto"/>
        </w:rPr>
      </w:pPr>
    </w:p>
    <w:p>
      <w:pPr>
        <w:ind w:left="440" w:right="400"/>
        <w:spacing w:after="0" w:line="275" w:lineRule="auto"/>
        <w:tabs>
          <w:tab w:leader="none" w:pos="5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70" w:lineRule="exact"/>
        <w:rPr>
          <w:rFonts w:ascii="Times New Roman" w:cs="Times New Roman" w:eastAsia="Times New Roman" w:hAnsi="Times New Roman"/>
          <w:sz w:val="18"/>
          <w:szCs w:val="18"/>
          <w:color w:val="auto"/>
        </w:rPr>
      </w:pPr>
    </w:p>
    <w:p>
      <w:pPr>
        <w:ind w:left="440" w:right="460"/>
        <w:spacing w:after="0" w:line="275" w:lineRule="auto"/>
        <w:tabs>
          <w:tab w:leader="none" w:pos="5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71" w:lineRule="exact"/>
        <w:rPr>
          <w:sz w:val="20"/>
          <w:szCs w:val="20"/>
          <w:color w:val="auto"/>
        </w:rPr>
      </w:pPr>
    </w:p>
    <w:p>
      <w:pPr>
        <w:ind w:left="440" w:right="120"/>
        <w:spacing w:after="0" w:line="275" w:lineRule="auto"/>
        <w:tabs>
          <w:tab w:leader="none" w:pos="6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32.1—Certification of Chief Executive Officer pursuant to 18 U.S.C. Section 1350, as adopted pursuant to Section 906 of the Sarbanes-Oxley Act of 2002</w:t>
      </w:r>
    </w:p>
    <w:p>
      <w:pPr>
        <w:spacing w:after="0" w:line="70" w:lineRule="exact"/>
        <w:rPr>
          <w:rFonts w:ascii="Times New Roman" w:cs="Times New Roman" w:eastAsia="Times New Roman" w:hAnsi="Times New Roman"/>
          <w:sz w:val="18"/>
          <w:szCs w:val="18"/>
          <w:color w:val="auto"/>
        </w:rPr>
      </w:pPr>
    </w:p>
    <w:p>
      <w:pPr>
        <w:ind w:left="440" w:right="160"/>
        <w:spacing w:after="0" w:line="275" w:lineRule="auto"/>
        <w:tabs>
          <w:tab w:leader="none" w:pos="6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32.2—Certification of Chief Financial Officer pursuant to 18 U.S.C. Section 1350, as adopted pursuant to Section 906 of the Sarbanes-Oxley Act of 2002</w:t>
      </w:r>
    </w:p>
    <w:p>
      <w:pPr>
        <w:spacing w:after="0" w:line="71" w:lineRule="exact"/>
        <w:rPr>
          <w:sz w:val="20"/>
          <w:szCs w:val="20"/>
          <w:color w:val="auto"/>
        </w:rPr>
      </w:pPr>
    </w:p>
    <w:p>
      <w:pPr>
        <w:ind w:left="580" w:hanging="140"/>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95—Mine Safety Disclosures</w:t>
      </w:r>
    </w:p>
    <w:p>
      <w:pPr>
        <w:spacing w:after="0" w:line="125" w:lineRule="exact"/>
        <w:rPr>
          <w:rFonts w:ascii="Times New Roman" w:cs="Times New Roman" w:eastAsia="Times New Roman" w:hAnsi="Times New Roman"/>
          <w:sz w:val="18"/>
          <w:szCs w:val="18"/>
          <w:color w:val="auto"/>
        </w:rPr>
      </w:pPr>
    </w:p>
    <w:p>
      <w:pPr>
        <w:ind w:left="440"/>
        <w:spacing w:after="0" w:line="257" w:lineRule="auto"/>
        <w:tabs>
          <w:tab w:leader="none" w:pos="5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101—The following materials from Schlumberger Limited’s Quarterly Report on Form 10-Q for the quarter ended March 31, 2017, formatted in XBRL (Extensible Business Reporting Language): (i) Consolidated Statement of Income; (ii) Consolidated Statement of Comprehensive Income;</w:t>
      </w:r>
    </w:p>
    <w:p>
      <w:pPr>
        <w:spacing w:after="0" w:line="1" w:lineRule="exact"/>
        <w:rPr>
          <w:rFonts w:ascii="Times New Roman" w:cs="Times New Roman" w:eastAsia="Times New Roman" w:hAnsi="Times New Roman"/>
          <w:sz w:val="18"/>
          <w:szCs w:val="18"/>
          <w:color w:val="auto"/>
        </w:rPr>
      </w:pPr>
    </w:p>
    <w:p>
      <w:pPr>
        <w:ind w:left="440" w:righ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Consolidated Balance Sheet; (iv) Consolidated Statement of Cash Flows; (v) Consolidated Statement of Equity and (vi) Notes to Consolidated Financial Statements.</w:t>
      </w:r>
    </w:p>
    <w:p>
      <w:pPr>
        <w:spacing w:after="0" w:line="89" w:lineRule="exact"/>
        <w:rPr>
          <w:rFonts w:ascii="Times New Roman" w:cs="Times New Roman" w:eastAsia="Times New Roman" w:hAnsi="Times New Roman"/>
          <w:sz w:val="18"/>
          <w:szCs w:val="18"/>
          <w:color w:val="auto"/>
        </w:rPr>
      </w:pPr>
    </w:p>
    <w:p>
      <w:pPr>
        <w:ind w:left="580" w:hanging="140"/>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Furnished with this Form 10-Q.</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23" w:name="page24"/>
    <w:bookmarkEnd w:id="23"/>
    <w:p>
      <w:pPr>
        <w:jc w:val="center"/>
        <w:ind w:right="-399"/>
        <w:spacing w:after="0"/>
        <w:rPr>
          <w:sz w:val="20"/>
          <w:szCs w:val="20"/>
          <w:color w:val="auto"/>
        </w:rPr>
      </w:pPr>
      <w:r>
        <w:rPr>
          <w:rFonts w:ascii="Times New Roman" w:cs="Times New Roman" w:eastAsia="Times New Roman" w:hAnsi="Times New Roman"/>
          <w:sz w:val="18"/>
          <w:szCs w:val="18"/>
          <w:color w:val="auto"/>
        </w:rPr>
        <w:t>SIGNATURE</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(Registrant)</w:t>
      </w:r>
    </w:p>
    <w:p>
      <w:pPr>
        <w:spacing w:after="0" w:line="199" w:lineRule="exact"/>
        <w:rPr>
          <w:sz w:val="20"/>
          <w:szCs w:val="20"/>
          <w:color w:val="auto"/>
        </w:rPr>
      </w:pPr>
    </w:p>
    <w:p>
      <w:pPr>
        <w:spacing w:after="0"/>
        <w:tabs>
          <w:tab w:leader="none" w:pos="78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26, 2017</w:t>
      </w:r>
      <w:r>
        <w:rPr>
          <w:sz w:val="20"/>
          <w:szCs w:val="20"/>
          <w:color w:val="auto"/>
        </w:rPr>
        <w:tab/>
      </w:r>
      <w:r>
        <w:rPr>
          <w:rFonts w:ascii="Times New Roman" w:cs="Times New Roman" w:eastAsia="Times New Roman" w:hAnsi="Times New Roman"/>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15240</wp:posOffset>
            </wp:positionV>
            <wp:extent cx="2911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Howard Guild</w:t>
      </w:r>
    </w:p>
    <w:p>
      <w:pPr>
        <w:spacing w:after="0" w:line="6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240" w:top="360" w:right="6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168275</wp:posOffset>
            </wp:positionV>
            <wp:extent cx="1088390" cy="236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8390"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2013 OMNIBUS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PERFORMANCE SHARE UNIT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u w:val="single" w:color="auto"/>
          <w:color w:val="auto"/>
        </w:rPr>
        <w:t>Includes Confidentiality, Intellectual Property, Non-Competition, and Non-Solicitation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Provisions in Section 11 and Attachment II.</w:t>
      </w:r>
      <w:r>
        <w:rPr>
          <w:rFonts w:ascii="Times New Roman" w:cs="Times New Roman" w:eastAsia="Times New Roman" w:hAnsi="Times New Roman"/>
          <w:sz w:val="18"/>
          <w:szCs w:val="18"/>
          <w:b w:val="1"/>
          <w:bCs w:val="1"/>
          <w:color w:val="auto"/>
        </w:rPr>
        <w:t>)</w:t>
      </w:r>
    </w:p>
    <w:p>
      <w:pPr>
        <w:sectPr>
          <w:pgSz w:w="11900" w:h="16838" w:orient="portrait"/>
          <w:cols w:equalWidth="0" w:num="1">
            <w:col w:w="11420"/>
          </w:cols>
          <w:pgMar w:left="240" w:top="332" w:right="239" w:bottom="1440" w:gutter="0" w:footer="0" w:header="0"/>
        </w:sectPr>
      </w:pPr>
    </w:p>
    <w:p>
      <w:pPr>
        <w:spacing w:after="0" w:line="1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Performance Period: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and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3">
            <w:col w:w="6100" w:space="220"/>
            <w:col w:w="500" w:space="180"/>
            <w:col w:w="4420"/>
          </w:cols>
          <w:pgMar w:left="240" w:top="332" w:right="239" w:bottom="1440" w:gutter="0" w:footer="0" w:header="0"/>
          <w:type w:val="continuous"/>
        </w:sectPr>
      </w:pPr>
    </w:p>
    <w:p>
      <w:pPr>
        <w:spacing w:after="0" w:line="20" w:lineRule="exact"/>
        <w:rPr>
          <w:sz w:val="20"/>
          <w:szCs w:val="20"/>
          <w:color w:val="auto"/>
        </w:rPr>
      </w:pPr>
    </w:p>
    <w:p>
      <w:pPr>
        <w:ind w:left="760"/>
        <w:spacing w:after="0"/>
        <w:tabs>
          <w:tab w:leader="none" w:pos="9660" w:val="left"/>
        </w:tabs>
        <w:rPr>
          <w:sz w:val="20"/>
          <w:szCs w:val="20"/>
          <w:color w:val="auto"/>
        </w:rPr>
      </w:pPr>
      <w:r>
        <w:rPr>
          <w:rFonts w:ascii="Times New Roman" w:cs="Times New Roman" w:eastAsia="Times New Roman" w:hAnsi="Times New Roman"/>
          <w:sz w:val="18"/>
          <w:szCs w:val="18"/>
          <w:color w:val="auto"/>
        </w:rPr>
        <w:t>This Performance Share Unit Award Agreement (as may be amended, the “Agreement”) is granted effective as of [</w:t>
      </w:r>
      <w:r>
        <w:rPr>
          <w:sz w:val="20"/>
          <w:szCs w:val="20"/>
          <w:color w:val="auto"/>
        </w:rPr>
        <w:tab/>
      </w:r>
      <w:r>
        <w:rPr>
          <w:rFonts w:ascii="Times New Roman" w:cs="Times New Roman" w:eastAsia="Times New Roman" w:hAnsi="Times New Roman"/>
          <w:sz w:val="18"/>
          <w:szCs w:val="18"/>
          <w:color w:val="auto"/>
        </w:rPr>
        <w:t>] (the “Grant Date”) by</w:t>
      </w:r>
    </w:p>
    <w:p>
      <w:pPr>
        <w:sectPr>
          <w:pgSz w:w="11900" w:h="16838" w:orient="portrait"/>
          <w:cols w:equalWidth="0" w:num="1">
            <w:col w:w="11420"/>
          </w:cols>
          <w:pgMar w:left="240" w:top="332"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Schlumberger Limited (the “Company”), for the benefit of __________________ (“Employee”), pursuant to the Schlumberger 2013 Omnibus Stock Incentive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may be amended (the “Plan”).</w:t>
      </w:r>
    </w:p>
    <w:p>
      <w:pPr>
        <w:spacing w:after="0" w:line="199" w:lineRule="exact"/>
        <w:rPr>
          <w:sz w:val="20"/>
          <w:szCs w:val="20"/>
          <w:color w:val="auto"/>
        </w:rPr>
      </w:pPr>
    </w:p>
    <w:p>
      <w:pPr>
        <w:jc w:val="both"/>
        <w:ind w:firstLine="768"/>
        <w:spacing w:after="0" w:line="251" w:lineRule="auto"/>
        <w:tabs>
          <w:tab w:leader="none" w:pos="9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The target Performance Share Units subject to this award is set forth in an award letter previously delivered to Employee and the Notice of Grant of Award of Performance-based Restricted Stock Units attached hereto. The Performance Share Units are notional units of measurement denominated in shares of common stock of the Company, $.01 par value per share (“Common Stock”). Each Performance Share Unit represents a right to receive one share of Restricted Stock (as defined in the Plan), subject to the conditions and restrictions on transferability set forth herein and in the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2. Conversion of Performance Share Units. The period of time between January 1, [</w:t>
            </w: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and December 31, [   ] is the “Performance Period.” The</w:t>
            </w:r>
          </w:p>
        </w:tc>
      </w:tr>
      <w:tr>
        <w:trPr>
          <w:trHeight w:val="20"/>
        </w:trPr>
        <w:tc>
          <w:tcPr>
            <w:tcW w:w="9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3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Performance Share Units will be earned and converted into shares of Restricted Stock as follows:</w:t>
            </w:r>
          </w:p>
        </w:tc>
        <w:tc>
          <w:tcPr>
            <w:tcW w:w="4420" w:type="dxa"/>
            <w:vAlign w:val="bottom"/>
          </w:tcPr>
          <w:p>
            <w:pPr>
              <w:spacing w:after="0"/>
              <w:rPr>
                <w:sz w:val="20"/>
                <w:szCs w:val="20"/>
                <w:color w:val="auto"/>
              </w:rPr>
            </w:pPr>
          </w:p>
        </w:tc>
      </w:tr>
    </w:tbl>
    <w:p>
      <w:pPr>
        <w:spacing w:after="0" w:line="193" w:lineRule="exact"/>
        <w:rPr>
          <w:sz w:val="20"/>
          <w:szCs w:val="20"/>
          <w:color w:val="auto"/>
        </w:rPr>
      </w:pPr>
    </w:p>
    <w:p>
      <w:pPr>
        <w:jc w:val="both"/>
        <w:ind w:firstLine="768"/>
        <w:spacing w:after="0" w:line="250" w:lineRule="auto"/>
        <w:tabs>
          <w:tab w:leader="none" w:pos="10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end of the Performance Period, a number of Performance Share Units will convert into shares of Restricted Stock on the date determined by the Compensation Committee of the Board of Directors (“Committee, and such date the “Conversion Date”) based on the extent to which the Company has satisfied the performance condition set forth on Attachment I to this Agreement, provided that Employee remains continuously employed by the Company or any of its Subsidiaries from the Grant Date through the Conversion Date and has not experienced a Termination of Employment (as defined in Section 14(v) below) as of the Conversion Date. Except as provided in Sections 2(b) and 2(c) below, if there is any Termination of Employment during the period from and between the Grant Date until and including the Conversion Date, Employee will immediately and automatically forfeit all Performance Share Units. Any questions as to whether and when there has been a Termination of Employment, and the cause of such termination, will be resolved by the Committee in its sole discretion, and its determination will be final.</w:t>
      </w:r>
    </w:p>
    <w:p>
      <w:pPr>
        <w:spacing w:after="0" w:line="188" w:lineRule="exact"/>
        <w:rPr>
          <w:rFonts w:ascii="Times New Roman" w:cs="Times New Roman" w:eastAsia="Times New Roman" w:hAnsi="Times New Roman"/>
          <w:sz w:val="18"/>
          <w:szCs w:val="18"/>
          <w:color w:val="auto"/>
        </w:rPr>
      </w:pPr>
    </w:p>
    <w:p>
      <w:pPr>
        <w:jc w:val="both"/>
        <w:ind w:firstLine="768"/>
        <w:spacing w:after="0" w:line="256" w:lineRule="auto"/>
        <w:tabs>
          <w:tab w:leader="none" w:pos="10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Retirement (as defined in Section 14(q) below) or Special Retirement (as defined in Section 14(t) below), the Performance Share Units will convert into shares of Restricted Stock in accordance with Section 2(a) above as if Employee had remained continuously employed by the Company or any of its Subsidiaries from the Grant Date through the Conversion Date. The shares of Restricted Stock that are received on the conversion of the Performance Share Units will be subject to the Transfer Restrictions (as defined in Section 7).</w:t>
      </w:r>
    </w:p>
    <w:p>
      <w:pPr>
        <w:spacing w:after="0" w:line="179" w:lineRule="exact"/>
        <w:rPr>
          <w:rFonts w:ascii="Times New Roman" w:cs="Times New Roman" w:eastAsia="Times New Roman" w:hAnsi="Times New Roman"/>
          <w:sz w:val="18"/>
          <w:szCs w:val="18"/>
          <w:color w:val="auto"/>
        </w:rPr>
      </w:pPr>
    </w:p>
    <w:p>
      <w:pPr>
        <w:jc w:val="both"/>
        <w:ind w:firstLine="768"/>
        <w:spacing w:after="0" w:line="256" w:lineRule="auto"/>
        <w:tabs>
          <w:tab w:leader="none" w:pos="10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Disability (as defined in Section 14(h) below) or death, then immediately on the occurrence of such Termination of Employment, the target number of Performance Share Units will convert into shares of Common Stock. For the avoidance of doubt, the shares of Common Stock that are received on the conversion of the Performance Share Units pursuant to this Section 2(c) will not be subject to the Transfer Restrictions.</w:t>
      </w:r>
    </w:p>
    <w:p>
      <w:pPr>
        <w:spacing w:after="0" w:line="179" w:lineRule="exact"/>
        <w:rPr>
          <w:rFonts w:ascii="Times New Roman" w:cs="Times New Roman" w:eastAsia="Times New Roman" w:hAnsi="Times New Roman"/>
          <w:sz w:val="18"/>
          <w:szCs w:val="18"/>
          <w:color w:val="auto"/>
        </w:rPr>
      </w:pPr>
    </w:p>
    <w:p>
      <w:pPr>
        <w:jc w:val="both"/>
        <w:ind w:firstLine="768"/>
        <w:spacing w:after="0" w:line="251" w:lineRule="auto"/>
        <w:tabs>
          <w:tab w:leader="none" w:pos="10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ceases to be employed in a position eligible to receive Performance Share Units pursuant to this Agreement (as determined by the Committee in its sole and absolute discretion) (an “Eligible Position”) the Performance Share Units will convert into shares of Restricted Stock in accordance with Section 2(a) above, provided that Employee (x) remains continuously employed by the Company or any of its Subsidiaries from the Grant Date through the Conversion Date or (y) experiences a Qualifying Termination after Employee ceases to be employed in an Eligible Position. The shares of Restricted Stock that are received on the conversion of the Performance Share Units pursuant to clause (x) will be subject to the Transfer Restrictions and the Vesting Conditions (as defined in Section 6). For the avoidance of doubt, if Employee experiences a Termination of Employment due to Disability or death after Employee ceases to be employed in an Eligible Position, the provisions of Section 2(c), will control.</w:t>
      </w:r>
    </w:p>
    <w:p>
      <w:pPr>
        <w:spacing w:after="0" w:line="18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25" w:name="page26"/>
    <w:bookmarkEnd w:id="25"/>
    <w:p>
      <w:pPr>
        <w:jc w:val="both"/>
        <w:ind w:left="-768" w:firstLine="768"/>
        <w:spacing w:after="0" w:line="256" w:lineRule="auto"/>
        <w:tabs>
          <w:tab w:leader="none" w:pos="1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Performance Share Units</w:t>
      </w:r>
      <w:r>
        <w:rPr>
          <w:rFonts w:ascii="Times New Roman" w:cs="Times New Roman" w:eastAsia="Times New Roman" w:hAnsi="Times New Roman"/>
          <w:sz w:val="18"/>
          <w:szCs w:val="18"/>
          <w:color w:val="auto"/>
        </w:rPr>
        <w:t>. Earned Performance Share Units will be converted into shares of Restricted Stock on the Conversion Date, and such shares of Restricted Stock will be subject to the Vesting Conditions and the Transfer Restrictions. The conversion will be accomplished by the issuance of shares of Restricted Stock through, in the discretion of the Company, book entry registration or the delivery of share certificates bearing such legends as the Company determines to be appropriate.</w:t>
      </w:r>
    </w:p>
    <w:p>
      <w:pPr>
        <w:spacing w:after="0" w:line="179"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Forfeitures of Performance Share Units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768" w:firstLine="768"/>
        <w:spacing w:after="0" w:line="256"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Measurement Period, upon a Termination of Employment for any reason that does not result in a continuation of vesting pursuant to Section 2, Employee will immediately and automatically forfeit all unconverted Performance Share Units, without the payment of any consideration. Upon forfeiture, neither Employee nor any successors, heirs, assigns or legal representatives of Employee will thereafter have any further rights or interest in the Performance Share Units.</w:t>
      </w:r>
    </w:p>
    <w:p>
      <w:pPr>
        <w:spacing w:after="0" w:line="179" w:lineRule="exact"/>
        <w:rPr>
          <w:rFonts w:ascii="Times New Roman" w:cs="Times New Roman" w:eastAsia="Times New Roman" w:hAnsi="Times New Roman"/>
          <w:sz w:val="18"/>
          <w:szCs w:val="18"/>
          <w:color w:val="auto"/>
        </w:rPr>
      </w:pPr>
    </w:p>
    <w:p>
      <w:pPr>
        <w:jc w:val="both"/>
        <w:ind w:left="-768" w:firstLine="768"/>
        <w:spacing w:after="0" w:line="256" w:lineRule="auto"/>
        <w:tabs>
          <w:tab w:leader="none" w:pos="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if at any time during the Measurement Period, Employee engages in Detrimental Activity (as defined in Section 14(f)),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80" w:lineRule="exact"/>
        <w:rPr>
          <w:sz w:val="20"/>
          <w:szCs w:val="20"/>
          <w:color w:val="auto"/>
        </w:rPr>
      </w:pPr>
    </w:p>
    <w:p>
      <w:pPr>
        <w:ind w:left="172" w:hanging="172"/>
        <w:spacing w:after="0"/>
        <w:tabs>
          <w:tab w:leader="none" w:pos="1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Performance Share Units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768" w:firstLine="768"/>
        <w:spacing w:after="0" w:line="253" w:lineRule="auto"/>
        <w:tabs>
          <w:tab w:leader="none" w:pos="2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granted hereunder to Employee may not be transferred, sold, pledged, exchanged, hypothecated, transferred, encumbered or otherwise disposed of, in any case whether voluntarily or involuntarily, by operation of law or otherwise (any of the foregoing, a “Transfer”), other than (i) to the Company as a result of the forfeiture of Performance Share Units, or (ii) by will or the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4" w:lineRule="exact"/>
        <w:rPr>
          <w:rFonts w:ascii="Times New Roman" w:cs="Times New Roman" w:eastAsia="Times New Roman" w:hAnsi="Times New Roman"/>
          <w:sz w:val="18"/>
          <w:szCs w:val="18"/>
          <w:color w:val="auto"/>
        </w:rPr>
      </w:pPr>
    </w:p>
    <w:p>
      <w:pPr>
        <w:jc w:val="both"/>
        <w:ind w:left="-768" w:firstLine="768"/>
        <w:spacing w:after="0" w:line="253"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5" w:lineRule="exact"/>
        <w:rPr>
          <w:sz w:val="20"/>
          <w:szCs w:val="20"/>
          <w:color w:val="auto"/>
        </w:rPr>
      </w:pPr>
    </w:p>
    <w:p>
      <w:pPr>
        <w:ind w:left="-768" w:firstLine="768"/>
        <w:spacing w:after="0" w:line="275" w:lineRule="auto"/>
        <w:tabs>
          <w:tab w:leader="none" w:pos="1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shares of Restricted Stock that are received on the conversion of the Performance Share Units will be subject to the following vesting conditions (the “Vesting Conditions”):</w:t>
      </w:r>
    </w:p>
    <w:p>
      <w:pPr>
        <w:spacing w:after="0" w:line="164" w:lineRule="exact"/>
        <w:rPr>
          <w:sz w:val="20"/>
          <w:szCs w:val="20"/>
          <w:color w:val="auto"/>
        </w:rPr>
      </w:pPr>
    </w:p>
    <w:p>
      <w:pPr>
        <w:jc w:val="both"/>
        <w:ind w:left="-768" w:firstLine="768"/>
        <w:spacing w:after="0" w:line="256" w:lineRule="auto"/>
        <w:tabs>
          <w:tab w:leader="none" w:pos="2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6(b) and 6(c) below, if there is any Termination of Employment during the period from and between the Conversion Date until and including the one-year anniversary of the Conversion Date (the “Vesting Date”), Employee will immediately and automatically forfeit all shares of Restricted Stock. Upon forfeiture, neither Employee nor any successors, heirs, assigns or legal representatives of Employee will thereafter have any further rights or interest in the shares of Restricted Stock.</w:t>
      </w:r>
    </w:p>
    <w:p>
      <w:pPr>
        <w:spacing w:after="0" w:line="179" w:lineRule="exact"/>
        <w:rPr>
          <w:rFonts w:ascii="Times New Roman" w:cs="Times New Roman" w:eastAsia="Times New Roman" w:hAnsi="Times New Roman"/>
          <w:sz w:val="18"/>
          <w:szCs w:val="18"/>
          <w:color w:val="auto"/>
        </w:rPr>
      </w:pPr>
    </w:p>
    <w:p>
      <w:pPr>
        <w:ind w:left="-768" w:firstLine="768"/>
        <w:spacing w:after="0" w:line="275" w:lineRule="auto"/>
        <w:tabs>
          <w:tab w:leader="none" w:pos="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Retirement or Special Retirement, the shares of Restricted Stock will not be forfeited, but will remain subject to the Transfer Restrictions through the Vesting Date.</w:t>
      </w:r>
    </w:p>
    <w:p>
      <w:pPr>
        <w:spacing w:after="0" w:line="163" w:lineRule="exact"/>
        <w:rPr>
          <w:rFonts w:ascii="Times New Roman" w:cs="Times New Roman" w:eastAsia="Times New Roman" w:hAnsi="Times New Roman"/>
          <w:sz w:val="18"/>
          <w:szCs w:val="18"/>
          <w:color w:val="auto"/>
        </w:rPr>
      </w:pPr>
    </w:p>
    <w:p>
      <w:pPr>
        <w:ind w:left="-768" w:firstLine="768"/>
        <w:spacing w:after="0" w:line="275" w:lineRule="auto"/>
        <w:tabs>
          <w:tab w:leader="none" w:pos="2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Disability or death, then immediately upon the occurrence of such Termination of Employment, the shares of Restricted Stock will vest and will not be subject to the Transfer Restrictions.</w:t>
      </w:r>
    </w:p>
    <w:p>
      <w:pPr>
        <w:spacing w:after="0" w:line="163" w:lineRule="exact"/>
        <w:rPr>
          <w:rFonts w:ascii="Times New Roman" w:cs="Times New Roman" w:eastAsia="Times New Roman" w:hAnsi="Times New Roman"/>
          <w:sz w:val="18"/>
          <w:szCs w:val="18"/>
          <w:color w:val="auto"/>
        </w:rPr>
      </w:pPr>
    </w:p>
    <w:p>
      <w:pPr>
        <w:jc w:val="both"/>
        <w:ind w:left="-768" w:firstLine="768"/>
        <w:spacing w:after="0" w:line="256"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if at any time during following the Conversion Date and prior to the Vesting Date, Employee engages in Detrimental Activity, Employee will immediately and automatically forfeit all shares of Restricted Stock without the payment of any consideration. Upon forfeiture, neither Employee nor any successors, heirs, assigns or legal representatives of Employee will thereafter have any further rights or interest in the shares of Restricted Stock.</w:t>
      </w:r>
    </w:p>
    <w:p>
      <w:pPr>
        <w:spacing w:after="0" w:line="180" w:lineRule="exact"/>
        <w:rPr>
          <w:sz w:val="20"/>
          <w:szCs w:val="20"/>
          <w:color w:val="auto"/>
        </w:rPr>
      </w:pPr>
    </w:p>
    <w:p>
      <w:pPr>
        <w:jc w:val="both"/>
        <w:ind w:left="-768" w:firstLine="768"/>
        <w:spacing w:after="0" w:line="253"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Restricted Stock</w:t>
      </w:r>
      <w:r>
        <w:rPr>
          <w:rFonts w:ascii="Times New Roman" w:cs="Times New Roman" w:eastAsia="Times New Roman" w:hAnsi="Times New Roman"/>
          <w:sz w:val="18"/>
          <w:szCs w:val="18"/>
          <w:color w:val="auto"/>
        </w:rPr>
        <w:t>. The shares of Restricted Stock that are received on the conversion of the Performance Share Units may not be Transferred other than (i) any shares sold or retained by the Company pursuant to Section 9(a) below to fund the payment of any tax withholding obligation payable in connection with the conversion of the Performance Share Units into Restricted Stock; (ii) to the Company as a result of the forfeiture of the shares of Restricted Stock or (iii) by will or the laws of descent and distribution, until the Vesting Date, and these restrictions on transferability are referred to herein as the “Transfer</w:t>
      </w:r>
    </w:p>
    <w:p>
      <w:pPr>
        <w:spacing w:after="0" w:line="183" w:lineRule="exact"/>
        <w:rPr>
          <w:sz w:val="20"/>
          <w:szCs w:val="20"/>
          <w:color w:val="auto"/>
        </w:rPr>
      </w:pPr>
    </w:p>
    <w:p>
      <w:pPr>
        <w:ind w:left="9772"/>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78740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52"/>
          </w:cols>
          <w:pgMar w:left="1008" w:top="546" w:right="239" w:bottom="1440" w:gutter="0" w:footer="0" w:header="0"/>
        </w:sectPr>
      </w:pPr>
    </w:p>
    <w:bookmarkStart w:id="26" w:name="page27"/>
    <w:bookmarkEnd w:id="26"/>
    <w:p>
      <w:pPr>
        <w:jc w:val="both"/>
        <w:spacing w:after="0" w:line="251" w:lineRule="auto"/>
        <w:rPr>
          <w:sz w:val="20"/>
          <w:szCs w:val="20"/>
          <w:color w:val="auto"/>
        </w:rPr>
      </w:pPr>
      <w:r>
        <w:rPr>
          <w:rFonts w:ascii="Times New Roman" w:cs="Times New Roman" w:eastAsia="Times New Roman" w:hAnsi="Times New Roman"/>
          <w:sz w:val="18"/>
          <w:szCs w:val="18"/>
          <w:color w:val="auto"/>
        </w:rPr>
        <w:t>Restrictions.” Any such attempted Transfer in violation of this Agreement will be void and the Company will not be bound thereby. Transfer of the shares of Restricted Stock in the event of Employee’s death will be made to Employee’s estate or, in the sole and absolute discretion of the Committee, to the person or persons entitled to receive such transfer under applicable laws of descent and distribution. Following the end of the Transfer Restrictions, the shares of Common Stock may not be sold or otherwise disposed of in any manner that would constitute a violation of any applicable federal or state securities laws. The Employee agrees (A) that the Company may refuse to cause the transfer of the shares of Common Stock to be registered on the applicable stock transfer records if such proposed Transfer would, in the opinion of counsel satisfactory to the Company, constitute a violation of any applicable securities law, and (B) that the Company may give related instructions to the transfer agent, if any, to stop registration of the transfer of the shares of Common Stock.</w:t>
      </w:r>
    </w:p>
    <w:p>
      <w:pPr>
        <w:spacing w:after="0" w:line="186" w:lineRule="exact"/>
        <w:rPr>
          <w:sz w:val="20"/>
          <w:szCs w:val="20"/>
          <w:color w:val="auto"/>
        </w:rPr>
      </w:pPr>
    </w:p>
    <w:p>
      <w:pPr>
        <w:jc w:val="both"/>
        <w:ind w:firstLine="768"/>
        <w:spacing w:after="0" w:line="250" w:lineRule="auto"/>
        <w:tabs>
          <w:tab w:leader="none" w:pos="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Employee will have no rights as a stockholder of the Company with regard to the Performance Share Units. Rights as a stockholder of the Company will arise only when the Performance Share Units are settled in shares of Restricted Stock pursuant to Section 3 above. The Employee will be entitled to vote the shares of Restricted Stock. If any dividends are paid to holders of unrestricted shares of Common Stock prior to the satisfaction of the Vesting Conditions, Employee will receive a cash amount equal to the dividends that would have been paid on an equivalent number of shares of unrestricted Common Stock while Employee held the shares of Restricted Stock and prior to satisfaction of the Vesting Conditions, with such payment to be made within fifteen (15) days following the satisfaction of the Vesting Conditions (or, with respect to shares of Restricted Stock no longer subject to the Vesting Conditions (because Employee would be eligible for vesting due to Retirement or Special Retirement pursuant to Sections 6(b)), within fifteen (15) days following the payment of dividends to holders of unrestricted shares of Common Stock).</w:t>
      </w:r>
    </w:p>
    <w:p>
      <w:pPr>
        <w:spacing w:after="0" w:line="188"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0" w:lineRule="auto"/>
        <w:tabs>
          <w:tab w:leader="none" w:pos="10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receipt of Performance Share Units or Restricted Stock hereunder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a number of Performance Share Units or Restricted Stock (as applicable) or cash or other form of remuneration then or thereafter payable to Employee equal to any tax required to be withheld due to reason of such resulting compensation income. The Performance Share Units are intended to be “short-term deferrals” exempt from Section 409A of the Internal Revenue Code and will be construed and interpreted accordingly.</w:t>
      </w:r>
    </w:p>
    <w:p>
      <w:pPr>
        <w:spacing w:after="0" w:line="188" w:lineRule="exact"/>
        <w:rPr>
          <w:rFonts w:ascii="Times New Roman" w:cs="Times New Roman" w:eastAsia="Times New Roman" w:hAnsi="Times New Roman"/>
          <w:sz w:val="18"/>
          <w:szCs w:val="18"/>
          <w:color w:val="auto"/>
        </w:rPr>
      </w:pPr>
    </w:p>
    <w:p>
      <w:pPr>
        <w:jc w:val="both"/>
        <w:ind w:firstLine="768"/>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be permitted to make an election under Section 83(b) of the Internal Revenue Code to include an amount in income in respect of the shares of Restricted Stock in accordance with the requirements of Section 83(b) of the Internal Revenue Code. Any such election must be made within 30 days following the Conversion Date, will require filing of such election with the Internal Revenue Service and the Company and will require arrangements for withholding to be made pursuant to Section 9(a) as of such date. The Company does not provide tax advice with respect to the advisability of making a Section 83(b) election, and Employee is strongly encouraged to consult with their his or her own tax advisor regarding the consequences of making a Section 83(b) election.</w:t>
      </w:r>
    </w:p>
    <w:p>
      <w:pPr>
        <w:spacing w:after="0" w:line="184" w:lineRule="exact"/>
        <w:rPr>
          <w:sz w:val="20"/>
          <w:szCs w:val="20"/>
          <w:color w:val="auto"/>
        </w:rPr>
      </w:pPr>
    </w:p>
    <w:p>
      <w:pPr>
        <w:jc w:val="both"/>
        <w:ind w:firstLine="768"/>
        <w:spacing w:after="0" w:line="260" w:lineRule="auto"/>
        <w:tabs>
          <w:tab w:leader="none" w:pos="10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As more fully described in the Plan, if the outstanding shares of Common Stock at any time are changed or exchanged by declaration of a stock dividend, stock split, combination of shares, or recapitalization, the number and kind of Performance Share Units or share of Restricted Stock (as applicable) will be appropriately and equitably adjusted so as to maintain their equivalence to the proportionate number of shares.</w:t>
      </w:r>
    </w:p>
    <w:p>
      <w:pPr>
        <w:spacing w:after="0" w:line="175" w:lineRule="exact"/>
        <w:rPr>
          <w:rFonts w:ascii="Times New Roman" w:cs="Times New Roman" w:eastAsia="Times New Roman" w:hAnsi="Times New Roman"/>
          <w:sz w:val="18"/>
          <w:szCs w:val="18"/>
          <w:color w:val="auto"/>
        </w:rPr>
      </w:pPr>
    </w:p>
    <w:p>
      <w:pPr>
        <w:jc w:val="both"/>
        <w:ind w:firstLine="768"/>
        <w:spacing w:after="0" w:line="25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 has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confidential information of the Company and its Subsidiaries, including material relating to the business, products and services of the Company,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w:t>
      </w:r>
    </w:p>
    <w:p>
      <w:pPr>
        <w:spacing w:after="0" w:line="182"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218" w:lineRule="exact"/>
        <w:rPr>
          <w:sz w:val="20"/>
          <w:szCs w:val="20"/>
          <w:color w:val="auto"/>
        </w:rPr>
      </w:pPr>
    </w:p>
    <w:p>
      <w:pPr>
        <w:ind w:firstLine="768"/>
        <w:spacing w:after="0" w:line="275" w:lineRule="auto"/>
        <w:tabs>
          <w:tab w:leader="none" w:pos="10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right to be awarded any further Performance Share Units (or other form of stock incentive awards) other than in the sole discretion of the Committee;</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interest in any fund or in any specified asset or assets of the Company (other than the Performance Share Units or Restricted Stock); or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or any other person or entity the right to continue in the employment or service of the Company or any Subsidiary.</w:t>
      </w:r>
    </w:p>
    <w:p>
      <w:pPr>
        <w:spacing w:after="0" w:line="218" w:lineRule="exact"/>
        <w:rPr>
          <w:sz w:val="20"/>
          <w:szCs w:val="20"/>
          <w:color w:val="auto"/>
        </w:rPr>
      </w:pPr>
    </w:p>
    <w:p>
      <w:pPr>
        <w:ind w:left="1040" w:hanging="272"/>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00" w:hanging="23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is defined in Section 15(i).</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is defined in Section 2(a).</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is defined in Section 1.</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48" w:lineRule="auto"/>
        <w:tabs>
          <w:tab w:leader="none" w:pos="9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activity that is determined by the Committee in its sole and absolute discretion to be detrimental to the interests of the Company or any of its Subsidiaries, including but not limited to a breach of Attachment II or any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Measurement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96" w:lineRule="exact"/>
        <w:rPr>
          <w:rFonts w:ascii="Times New Roman" w:cs="Times New Roman" w:eastAsia="Times New Roman" w:hAnsi="Times New Roman"/>
          <w:sz w:val="18"/>
          <w:szCs w:val="18"/>
          <w:color w:val="auto"/>
        </w:rPr>
      </w:pPr>
    </w:p>
    <w:p>
      <w:pPr>
        <w:jc w:val="both"/>
        <w:ind w:firstLine="768"/>
        <w:spacing w:after="0" w:line="256" w:lineRule="auto"/>
        <w:tabs>
          <w:tab w:leader="none" w:pos="10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7"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Position” is defined in Section 2(d).</w:t>
      </w:r>
    </w:p>
    <w:p>
      <w:pPr>
        <w:spacing w:after="0" w:line="218"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56" w:lineRule="auto"/>
        <w:tabs>
          <w:tab w:leader="none" w:pos="10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8" w:name="page29"/>
    <w:bookmarkEnd w:id="28"/>
    <w:p>
      <w:pPr>
        <w:ind w:left="980" w:hanging="212"/>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is defined in the introduction.</w:t>
      </w:r>
    </w:p>
    <w:p>
      <w:pPr>
        <w:spacing w:after="0" w:line="218"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Period” means the period of time between January 1, 2017 and the Conversion Date.</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is defined in Section 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52" w:lineRule="auto"/>
        <w:tabs>
          <w:tab w:leader="none" w:pos="10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is defined in Section 3.</w:t>
      </w:r>
    </w:p>
    <w:p>
      <w:pPr>
        <w:spacing w:after="0" w:line="218" w:lineRule="exact"/>
        <w:rPr>
          <w:rFonts w:ascii="Times New Roman" w:cs="Times New Roman" w:eastAsia="Times New Roman" w:hAnsi="Times New Roman"/>
          <w:sz w:val="18"/>
          <w:szCs w:val="18"/>
          <w:color w:val="auto"/>
        </w:rPr>
      </w:pPr>
    </w:p>
    <w:p>
      <w:pPr>
        <w:ind w:firstLine="768"/>
        <w:spacing w:after="0" w:line="275"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10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7"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 defined in Section 5(a).</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is defined in Section 7.</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Conditions” is defined in Section 6.</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Date” is defined in Section 6.</w:t>
      </w:r>
    </w:p>
    <w:p>
      <w:pPr>
        <w:spacing w:after="0" w:line="218" w:lineRule="exact"/>
        <w:rPr>
          <w:sz w:val="20"/>
          <w:szCs w:val="20"/>
          <w:color w:val="auto"/>
        </w:rPr>
      </w:pPr>
    </w:p>
    <w:p>
      <w:pPr>
        <w:ind w:left="1040" w:hanging="272"/>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768"/>
        <w:spacing w:after="0" w:line="275" w:lineRule="auto"/>
        <w:tabs>
          <w:tab w:leader="none" w:pos="10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7"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provision of this Agreement will not affect the validity or enforceability of any other provision of this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99" w:lineRule="exact"/>
        <w:rPr>
          <w:rFonts w:ascii="Times New Roman" w:cs="Times New Roman" w:eastAsia="Times New Roman" w:hAnsi="Times New Roman"/>
          <w:sz w:val="18"/>
          <w:szCs w:val="18"/>
          <w:color w:val="auto"/>
        </w:rPr>
      </w:pPr>
    </w:p>
    <w:p>
      <w:pPr>
        <w:ind w:firstLine="768"/>
        <w:spacing w:after="0" w:line="275" w:lineRule="auto"/>
        <w:tabs>
          <w:tab w:leader="none" w:pos="10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9" w:name="page30"/>
    <w:bookmarkEnd w:id="29"/>
    <w:p>
      <w:pPr>
        <w:ind w:left="-768" w:firstLine="768"/>
        <w:spacing w:after="0" w:line="275"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3" w:lineRule="exact"/>
        <w:rPr>
          <w:rFonts w:ascii="Times New Roman" w:cs="Times New Roman" w:eastAsia="Times New Roman" w:hAnsi="Times New Roman"/>
          <w:sz w:val="18"/>
          <w:szCs w:val="18"/>
          <w:color w:val="auto"/>
        </w:rPr>
      </w:pPr>
    </w:p>
    <w:p>
      <w:pPr>
        <w:ind w:left="-768" w:firstLine="768"/>
        <w:spacing w:after="0" w:line="275"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agree to execute such further instruments and to take such further action as may reasonably be necessary to carry out the intent of this Agreement.</w:t>
      </w:r>
    </w:p>
    <w:p>
      <w:pPr>
        <w:spacing w:after="0" w:line="163" w:lineRule="exact"/>
        <w:rPr>
          <w:rFonts w:ascii="Times New Roman" w:cs="Times New Roman" w:eastAsia="Times New Roman" w:hAnsi="Times New Roman"/>
          <w:sz w:val="18"/>
          <w:szCs w:val="18"/>
          <w:color w:val="auto"/>
        </w:rPr>
      </w:pPr>
    </w:p>
    <w:p>
      <w:pPr>
        <w:jc w:val="both"/>
        <w:ind w:left="-768" w:firstLine="768"/>
        <w:spacing w:after="0" w:line="252" w:lineRule="auto"/>
        <w:tabs>
          <w:tab w:leader="none" w:pos="2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all Attachments hereto, and the Plan (i) constitute the entire agreement among the Employee and the Company with respect to the Performance Share Units and this Agreement supersedes all prior agreements and understandings, both written and oral, with respect to the subject matter hereof; and (ii) are not intended to confer upon any other Person any rights or remedies hereunder. Employee and the Company agree that (A) no one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w:t>
      </w:r>
    </w:p>
    <w:p>
      <w:pPr>
        <w:spacing w:after="0" w:line="184" w:lineRule="exact"/>
        <w:rPr>
          <w:rFonts w:ascii="Times New Roman" w:cs="Times New Roman" w:eastAsia="Times New Roman" w:hAnsi="Times New Roman"/>
          <w:sz w:val="18"/>
          <w:szCs w:val="18"/>
          <w:color w:val="auto"/>
        </w:rPr>
      </w:pPr>
    </w:p>
    <w:p>
      <w:pPr>
        <w:jc w:val="both"/>
        <w:ind w:left="-768" w:firstLine="768"/>
        <w:spacing w:after="0" w:line="248" w:lineRule="auto"/>
        <w:tabs>
          <w:tab w:leader="none" w:pos="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Employee may work in various locations and to eliminate potential uncertainty over the governing law, this Agreement (including, for the sake of clarity, all Attachments) shall be interpreted and construed exclusively in accordance with the laws of the State of Texas. Employee agrees that Texas, as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shall lie and be deemed as convenient, in Fort Bend County, Texas, state or federal court without regard to the conflict of law provisions thereof, or, at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shall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COMPANY HEREBY WAIVE, TO THE FULLEST EXTENT PERMITTED BY LAW, ANY RIGHT TO TRIAL BY JURY OF ANY CLAIM, DEMAND, ACTION, OR CAUSE OF ACTION ARISING OUT OF THIS AGREEMENT OR ANY ATTACHMENT.</w:t>
      </w:r>
    </w:p>
    <w:p>
      <w:pPr>
        <w:spacing w:after="0" w:line="192" w:lineRule="exact"/>
        <w:rPr>
          <w:rFonts w:ascii="Times New Roman" w:cs="Times New Roman" w:eastAsia="Times New Roman" w:hAnsi="Times New Roman"/>
          <w:sz w:val="18"/>
          <w:szCs w:val="18"/>
          <w:color w:val="auto"/>
        </w:rPr>
      </w:pPr>
    </w:p>
    <w:p>
      <w:pPr>
        <w:jc w:val="both"/>
        <w:ind w:left="-768" w:firstLine="768"/>
        <w:spacing w:after="0" w:line="253" w:lineRule="auto"/>
        <w:tabs>
          <w:tab w:leader="none" w:pos="2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85" w:lineRule="exact"/>
        <w:rPr>
          <w:sz w:val="20"/>
          <w:szCs w:val="20"/>
          <w:color w:val="auto"/>
        </w:rPr>
      </w:pPr>
    </w:p>
    <w:p>
      <w:pPr>
        <w:jc w:val="both"/>
        <w:ind w:left="-768" w:firstLine="768"/>
        <w:spacing w:after="0" w:line="252"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Award</w:t>
      </w:r>
      <w:r>
        <w:rPr>
          <w:rFonts w:ascii="Times New Roman" w:cs="Times New Roman" w:eastAsia="Times New Roman" w:hAnsi="Times New Roman"/>
          <w:sz w:val="18"/>
          <w:szCs w:val="18"/>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82" w:lineRule="exact"/>
        <w:rPr>
          <w:sz w:val="20"/>
          <w:szCs w:val="20"/>
          <w:color w:val="auto"/>
        </w:rPr>
      </w:pPr>
    </w:p>
    <w:p>
      <w:pPr>
        <w:ind w:left="9772"/>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78740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52"/>
          </w:cols>
          <w:pgMar w:left="1008" w:top="546"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Conditions</w:t>
      </w:r>
    </w:p>
    <w:p>
      <w:pPr>
        <w:sectPr>
          <w:pgSz w:w="11900" w:h="16838" w:orient="portrait"/>
          <w:cols w:equalWidth="0" w:num="1">
            <w:col w:w="11420"/>
          </w:cols>
          <w:pgMar w:left="240" w:top="33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hanging="669"/>
        <w:spacing w:after="0" w:line="257" w:lineRule="auto"/>
        <w:rPr>
          <w:sz w:val="20"/>
          <w:szCs w:val="20"/>
          <w:color w:val="auto"/>
        </w:rPr>
      </w:pPr>
      <w:r>
        <w:rPr>
          <w:rFonts w:ascii="Times New Roman" w:cs="Times New Roman" w:eastAsia="Times New Roman" w:hAnsi="Times New Roman"/>
          <w:sz w:val="18"/>
          <w:szCs w:val="18"/>
          <w:color w:val="auto"/>
        </w:rPr>
        <w:t>Subject to the provisions of this Agreement, conversion of the Performance Share Units into shares of Restricted Stock is conditioned upon ].</w:t>
      </w:r>
    </w:p>
    <w:p>
      <w:pPr>
        <w:spacing w:after="0" w:line="397" w:lineRule="exact"/>
        <w:rPr>
          <w:sz w:val="20"/>
          <w:szCs w:val="20"/>
          <w:color w:val="auto"/>
        </w:rPr>
      </w:pPr>
    </w:p>
    <w:p>
      <w:pPr>
        <w:sectPr>
          <w:pgSz w:w="11900" w:h="16838" w:orient="portrait"/>
          <w:cols w:equalWidth="0" w:num="2">
            <w:col w:w="720" w:space="720"/>
            <w:col w:w="9980"/>
          </w:cols>
          <w:pgMar w:left="240" w:top="332" w:right="239" w:bottom="1440" w:gutter="0" w:footer="0" w:header="0"/>
          <w:type w:val="continuous"/>
        </w:sectPr>
      </w:pPr>
    </w:p>
    <w:p>
      <w:pPr>
        <w:spacing w:after="0" w:line="1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The number of Performance Share Units that will vest on the vesting date will be equal to the product of (i) the target Performance Share Units and (ii) the Payout Factor (with any fractional shares rounded up to the next whole share).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and Non-Solicitation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Definitions.</w:t>
      </w:r>
    </w:p>
    <w:p>
      <w:pPr>
        <w:spacing w:after="0" w:line="218"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17"/>
          <w:szCs w:val="17"/>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7"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 w:name="page33"/>
    <w:bookmarkEnd w:id="32"/>
    <w:p>
      <w:pPr>
        <w:jc w:val="both"/>
        <w:ind w:firstLine="768"/>
        <w:spacing w:after="0" w:line="256" w:lineRule="auto"/>
        <w:tabs>
          <w:tab w:leader="none" w:pos="9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79"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9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86"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86" w:lineRule="exact"/>
        <w:rPr>
          <w:sz w:val="20"/>
          <w:szCs w:val="20"/>
          <w:color w:val="auto"/>
        </w:rPr>
      </w:pPr>
    </w:p>
    <w:p>
      <w:pPr>
        <w:jc w:val="both"/>
        <w:ind w:firstLine="768"/>
        <w:spacing w:after="0" w:line="266" w:lineRule="auto"/>
        <w:tabs>
          <w:tab w:leader="none" w:pos="106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7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3" w:name="page34"/>
    <w:bookmarkEnd w:id="33"/>
    <w:p>
      <w:pPr>
        <w:jc w:val="both"/>
        <w:ind w:firstLine="768"/>
        <w:spacing w:after="0" w:line="266" w:lineRule="auto"/>
        <w:tabs>
          <w:tab w:leader="none" w:pos="104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107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II by Employee, Company and its Affiliates will be entitled to: </w:t>
      </w:r>
      <w:r>
        <w:rPr>
          <w:rFonts w:ascii="Times New Roman" w:cs="Times New Roman" w:eastAsia="Times New Roman" w:hAnsi="Times New Roman"/>
          <w:sz w:val="18"/>
          <w:szCs w:val="18"/>
          <w:b w:val="1"/>
          <w:bCs w:val="1"/>
          <w:color w:val="auto"/>
        </w:rPr>
        <w:t>(i) recover from the Employee the value of any portion of the Award that has been paid or delivered;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in this Attachment II will be construed as an agreement independent of any other provision in this Attachment II, and the existence of any claim or cause of action of the Employee against the Company, whether predicated on this Attachment II or otherwise, will not constitute a defense to the enforcement by the Company of such covenants or provisions.</w:t>
      </w:r>
    </w:p>
    <w:p>
      <w:pPr>
        <w:spacing w:after="0" w:line="178" w:lineRule="exact"/>
        <w:rPr>
          <w:sz w:val="20"/>
          <w:szCs w:val="20"/>
          <w:color w:val="auto"/>
        </w:rPr>
      </w:pPr>
    </w:p>
    <w:p>
      <w:pPr>
        <w:ind w:right="20"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II for violation of this Attachment II are not the exclusive remedies that Company may pursue.</w:t>
      </w:r>
    </w:p>
    <w:p>
      <w:pPr>
        <w:spacing w:after="0" w:line="164" w:lineRule="exact"/>
        <w:rPr>
          <w:sz w:val="20"/>
          <w:szCs w:val="20"/>
          <w:color w:val="auto"/>
        </w:rPr>
      </w:pPr>
    </w:p>
    <w:p>
      <w:pPr>
        <w:ind w:firstLine="768"/>
        <w:spacing w:after="0" w:line="275"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4" w:name="page35"/>
    <w:bookmarkEnd w:id="34"/>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Employee is hereby notified that certain statutes in some U.S. states relate to ownership and assignment of inventions. At relevant locations and in accordance with those statutes, Company agrees that this Attachment II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85"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ind w:firstLine="768"/>
        <w:spacing w:after="0" w:line="275" w:lineRule="auto"/>
        <w:tabs>
          <w:tab w:leader="none" w:pos="1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any term of this Attachment II by Company will not operate as a waiver of any other term of this Attachment II. A failure to enforce any provision of this Attachment II will not operate as a waiver of Company’s right to enforce any other provision of this Attachment II.</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II or that otherwise may restrict Employee’s employment by Company or the performance of Employee’s duties for Company. Employee agrees not to enter into any agreement, whether oral or written, in conflict with this Attachment II.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Attachment II may be enforced by, will inure to the benefit of, and be binding upon Company, its successors, and assigns. This Attachment II is binding upon Employee’s heirs and legal representatives.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Company, Employee agrees to the automatic application of all of the terms of this Attachment II to said Affiliate contemporaneously with the acceptance of such transfer, subject to subsequent agreements, if any, executed by Employee and Affiliate of Company or Company, and to the fullest extent allowed by law.</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Company regarding this Attachment II.</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10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Confidential Information, Intellectual Property, Non-Compete, and Non-Solicitation Agreement supersedes any previous agreement, oral or written, between Employee and Company relating to the subject matter thereof.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incorporates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contains assignment of all Company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82"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12</w:t>
      </w:r>
    </w:p>
    <w:p>
      <w:pPr>
        <w:sectPr>
          <w:pgSz w:w="11900" w:h="16838" w:orient="portrait"/>
          <w:cols w:equalWidth="0" w:num="1">
            <w:col w:w="11420"/>
          </w:cols>
          <w:pgMar w:left="240" w:top="332"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151765</wp:posOffset>
            </wp:positionV>
            <wp:extent cx="1088390" cy="236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8390"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2013 OMNIBUS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PERFORMANCE SHARE UNIT AWARD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u w:val="single" w:color="auto"/>
          <w:color w:val="auto"/>
        </w:rPr>
        <w:t>Includes Confidentiality, Intellectual Property, Non-Competition, and Non-Solicitation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Provisions in Section 9 and Attachment II</w:t>
      </w:r>
      <w:r>
        <w:rPr>
          <w:rFonts w:ascii="Times New Roman" w:cs="Times New Roman" w:eastAsia="Times New Roman" w:hAnsi="Times New Roman"/>
          <w:sz w:val="18"/>
          <w:szCs w:val="18"/>
          <w:b w:val="1"/>
          <w:bCs w:val="1"/>
          <w:color w:val="auto"/>
        </w:rPr>
        <w:t>)</w:t>
      </w:r>
    </w:p>
    <w:p>
      <w:pPr>
        <w:sectPr>
          <w:pgSz w:w="11900" w:h="16838" w:orient="portrait"/>
          <w:cols w:equalWidth="0" w:num="1">
            <w:col w:w="11420"/>
          </w:cols>
          <w:pgMar w:left="240" w:top="332" w:right="239" w:bottom="1440" w:gutter="0" w:footer="0" w:header="0"/>
        </w:sectPr>
      </w:pPr>
    </w:p>
    <w:p>
      <w:pPr>
        <w:spacing w:after="0" w:line="1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Performance Period: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and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4">
            <w:col w:w="5600" w:space="400"/>
            <w:col w:w="220" w:space="440"/>
            <w:col w:w="480" w:space="360"/>
            <w:col w:w="3920"/>
          </w:cols>
          <w:pgMar w:left="240" w:top="332" w:right="239" w:bottom="1440" w:gutter="0" w:footer="0" w:header="0"/>
          <w:type w:val="continuous"/>
        </w:sectPr>
      </w:pPr>
    </w:p>
    <w:p>
      <w:pPr>
        <w:spacing w:after="0" w:line="20" w:lineRule="exact"/>
        <w:rPr>
          <w:sz w:val="20"/>
          <w:szCs w:val="20"/>
          <w:color w:val="auto"/>
        </w:rPr>
      </w:pPr>
    </w:p>
    <w:p>
      <w:pPr>
        <w:ind w:left="760"/>
        <w:spacing w:after="0"/>
        <w:tabs>
          <w:tab w:leader="none" w:pos="9720" w:val="left"/>
        </w:tabs>
        <w:rPr>
          <w:sz w:val="20"/>
          <w:szCs w:val="20"/>
          <w:color w:val="auto"/>
        </w:rPr>
      </w:pPr>
      <w:r>
        <w:rPr>
          <w:rFonts w:ascii="Times New Roman" w:cs="Times New Roman" w:eastAsia="Times New Roman" w:hAnsi="Times New Roman"/>
          <w:sz w:val="18"/>
          <w:szCs w:val="18"/>
          <w:color w:val="auto"/>
        </w:rPr>
        <w:t>This Performance Share Unit Award Agreement (as may be amended, the “Agreement”) is granted effective as of [</w:t>
      </w:r>
      <w:r>
        <w:rPr>
          <w:sz w:val="20"/>
          <w:szCs w:val="20"/>
          <w:color w:val="auto"/>
        </w:rPr>
        <w:tab/>
      </w:r>
      <w:r>
        <w:rPr>
          <w:rFonts w:ascii="Times New Roman" w:cs="Times New Roman" w:eastAsia="Times New Roman" w:hAnsi="Times New Roman"/>
          <w:sz w:val="18"/>
          <w:szCs w:val="18"/>
          <w:color w:val="auto"/>
        </w:rPr>
        <w:t>] (the “Grant Date”) by</w:t>
      </w:r>
    </w:p>
    <w:p>
      <w:pPr>
        <w:sectPr>
          <w:pgSz w:w="11900" w:h="16838" w:orient="portrait"/>
          <w:cols w:equalWidth="0" w:num="1">
            <w:col w:w="11420"/>
          </w:cols>
          <w:pgMar w:left="240" w:top="332"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 (the “Company”), for the benefit of ___________ (“Employee”), pursuant to the Schlumberger 2013 Omnibus Stock Incentive Plan,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amended (the “Plan”).</w:t>
      </w:r>
    </w:p>
    <w:p>
      <w:pPr>
        <w:spacing w:after="0" w:line="199" w:lineRule="exact"/>
        <w:rPr>
          <w:sz w:val="20"/>
          <w:szCs w:val="20"/>
          <w:color w:val="auto"/>
        </w:rPr>
      </w:pPr>
    </w:p>
    <w:p>
      <w:pPr>
        <w:jc w:val="both"/>
        <w:ind w:firstLine="768"/>
        <w:spacing w:after="0" w:line="251" w:lineRule="auto"/>
        <w:tabs>
          <w:tab w:leader="none" w:pos="9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2. Vesting of Performance Share Units. The period of time between January 1, [</w:t>
            </w:r>
          </w:p>
        </w:tc>
        <w:tc>
          <w:tcPr>
            <w:tcW w:w="1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and December 31, [</w:t>
            </w:r>
          </w:p>
        </w:tc>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 is the “Performance Period.” The</w:t>
            </w:r>
          </w:p>
        </w:tc>
      </w:tr>
      <w:tr>
        <w:trPr>
          <w:trHeight w:val="20"/>
        </w:trPr>
        <w:tc>
          <w:tcPr>
            <w:tcW w:w="9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3"/>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Share Units will vest as follows:</w:t>
            </w:r>
          </w:p>
        </w:tc>
        <w:tc>
          <w:tcPr>
            <w:tcW w:w="198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193" w:lineRule="exact"/>
        <w:rPr>
          <w:sz w:val="20"/>
          <w:szCs w:val="20"/>
          <w:color w:val="auto"/>
        </w:rPr>
      </w:pPr>
    </w:p>
    <w:p>
      <w:pPr>
        <w:ind w:left="1040" w:hanging="272"/>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Friday following the meeting of the Compensation Committee of the Board of Directors of the Company (the “Committee”) in</w:t>
      </w:r>
    </w:p>
    <w:p>
      <w:pPr>
        <w:spacing w:after="0" w:line="24"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 ]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12(v) below) as of such date. Except as provided in Sections 2(b) and 2(c) below, if there is any Termination of Employment during the period from and between the Grant Date until and including the Vesting Date, Employee will immediately and automatically forfeit all Performance Share Units. Any questions as to whether and when there has been a Termination of Employment, and the cause of such termination, will be resolved by the Committee, and its determination will be final.</w:t>
      </w:r>
    </w:p>
    <w:p>
      <w:pPr>
        <w:spacing w:after="0" w:line="191"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Retirement (as defined in Section 12(q) below) or Special Retirement (as defined in Section 12(t) below), the Performance Share Units will vest in accordance with Section 2(a) above as if Employee had remained continuously employed by the Company or any of its Subsidiaries from the Grant Date through the Vesting Date.</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Termination of Employment occurs due to Disability (as defined in Section 12(h) below) or death, then immediately on the occurrence of such Termination of Employment, the target number of Performance Share Units will vest.</w:t>
      </w:r>
    </w:p>
    <w:p>
      <w:pPr>
        <w:spacing w:after="0" w:line="163"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ceases to be employed in a position eligible to receive Performance Share Units pursuant to this Agreement (as determined by the Committee in its sole and absolute discretion) (an “Eligible Position”) the Performance Share Units will vest in accordance with Section 2(a) above, provided that Employee (x) remains continuously employed by the Company or any of its Subsidiaries from the Grant Date through the Vesting Date or (y) experiences a Qualifying Termination after Employee ceases to be employed in an Eligible Position. For the avoidance of doubt, if Employee experiences a Termination of Employment due to Disability or death after Employee ceases to be employed in an Eligible Position, the provisions of Section 2(c), will control.</w:t>
      </w:r>
    </w:p>
    <w:p>
      <w:pPr>
        <w:spacing w:after="0" w:line="185" w:lineRule="exact"/>
        <w:rPr>
          <w:sz w:val="20"/>
          <w:szCs w:val="20"/>
          <w:color w:val="auto"/>
        </w:rPr>
      </w:pPr>
    </w:p>
    <w:p>
      <w:pPr>
        <w:jc w:val="both"/>
        <w:ind w:firstLine="768"/>
        <w:spacing w:after="0" w:line="256" w:lineRule="auto"/>
        <w:tabs>
          <w:tab w:leader="none" w:pos="9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Performance Share Units</w:t>
      </w:r>
      <w:r>
        <w:rPr>
          <w:rFonts w:ascii="Times New Roman" w:cs="Times New Roman" w:eastAsia="Times New Roman" w:hAnsi="Times New Roman"/>
          <w:sz w:val="18"/>
          <w:szCs w:val="18"/>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37" w:name="page38"/>
    <w:bookmarkEnd w:id="37"/>
    <w:p>
      <w:pPr>
        <w:ind w:left="940" w:hanging="172"/>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Performance Share Units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6" w:lineRule="auto"/>
        <w:tabs>
          <w:tab w:leader="none" w:pos="10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Performance Period and up to and including the Vesting Date, upon a Termination of Employment for any reason that does not result in a continuation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9" w:lineRule="exact"/>
        <w:rPr>
          <w:rFonts w:ascii="Times New Roman" w:cs="Times New Roman" w:eastAsia="Times New Roman" w:hAnsi="Times New Roman"/>
          <w:sz w:val="18"/>
          <w:szCs w:val="18"/>
          <w:color w:val="auto"/>
        </w:rPr>
      </w:pPr>
    </w:p>
    <w:p>
      <w:pPr>
        <w:jc w:val="both"/>
        <w:ind w:firstLine="768"/>
        <w:spacing w:after="0" w:line="256" w:lineRule="auto"/>
        <w:tabs>
          <w:tab w:leader="none" w:pos="10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if at any time during the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80" w:lineRule="exact"/>
        <w:rPr>
          <w:sz w:val="20"/>
          <w:szCs w:val="20"/>
          <w:color w:val="auto"/>
        </w:rPr>
      </w:pPr>
    </w:p>
    <w:p>
      <w:pPr>
        <w:ind w:left="940" w:hanging="172"/>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Performance Share Units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3" w:lineRule="auto"/>
        <w:tabs>
          <w:tab w:leader="none" w:pos="10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4" w:lineRule="exact"/>
        <w:rPr>
          <w:rFonts w:ascii="Times New Roman" w:cs="Times New Roman" w:eastAsia="Times New Roman" w:hAnsi="Times New Roman"/>
          <w:sz w:val="18"/>
          <w:szCs w:val="18"/>
          <w:color w:val="auto"/>
        </w:rPr>
      </w:pPr>
    </w:p>
    <w:p>
      <w:pPr>
        <w:jc w:val="both"/>
        <w:ind w:firstLine="768"/>
        <w:spacing w:after="0" w:line="253" w:lineRule="auto"/>
        <w:tabs>
          <w:tab w:leader="none" w:pos="10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5" w:lineRule="exact"/>
        <w:rPr>
          <w:sz w:val="20"/>
          <w:szCs w:val="20"/>
          <w:color w:val="auto"/>
        </w:rPr>
      </w:pPr>
    </w:p>
    <w:p>
      <w:pPr>
        <w:ind w:firstLine="768"/>
        <w:spacing w:after="0" w:line="275" w:lineRule="auto"/>
        <w:tabs>
          <w:tab w:leader="none" w:pos="9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63" w:lineRule="exact"/>
        <w:rPr>
          <w:rFonts w:ascii="Times New Roman" w:cs="Times New Roman" w:eastAsia="Times New Roman" w:hAnsi="Times New Roman"/>
          <w:sz w:val="18"/>
          <w:szCs w:val="18"/>
          <w:color w:val="auto"/>
        </w:rPr>
      </w:pPr>
    </w:p>
    <w:p>
      <w:pPr>
        <w:jc w:val="both"/>
        <w:ind w:firstLine="768"/>
        <w:spacing w:after="0" w:line="268" w:lineRule="auto"/>
        <w:tabs>
          <w:tab w:leader="none" w:pos="95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To the extent that the receipt of Performance Share Units hereunder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Performance Share Units or cash or other form of remuneration then or thereafter payable to Employee equal to any tax required to be withheld due to reason of such resulting compensation income. The Performance Share Units are intended to be “short-term deferrals” exempt from Section 409A of the U.S. Internal Revenue Code, as amended, and will be construed and interpreted accordingly.</w:t>
      </w:r>
    </w:p>
    <w:p>
      <w:pPr>
        <w:spacing w:after="0" w:line="172" w:lineRule="exact"/>
        <w:rPr>
          <w:rFonts w:ascii="Times New Roman" w:cs="Times New Roman" w:eastAsia="Times New Roman" w:hAnsi="Times New Roman"/>
          <w:sz w:val="17"/>
          <w:szCs w:val="17"/>
          <w:color w:val="auto"/>
        </w:rPr>
      </w:pPr>
    </w:p>
    <w:p>
      <w:pPr>
        <w:jc w:val="both"/>
        <w:ind w:firstLine="768"/>
        <w:spacing w:after="0" w:line="260" w:lineRule="auto"/>
        <w:tabs>
          <w:tab w:leader="none" w:pos="9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5" w:lineRule="exact"/>
        <w:rPr>
          <w:rFonts w:ascii="Times New Roman" w:cs="Times New Roman" w:eastAsia="Times New Roman" w:hAnsi="Times New Roman"/>
          <w:sz w:val="18"/>
          <w:szCs w:val="18"/>
          <w:color w:val="auto"/>
        </w:rPr>
      </w:pPr>
    </w:p>
    <w:p>
      <w:pPr>
        <w:jc w:val="both"/>
        <w:ind w:firstLine="768"/>
        <w:spacing w:after="0" w:line="254" w:lineRule="auto"/>
        <w:tabs>
          <w:tab w:leader="none" w:pos="9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 has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w:t>
      </w:r>
    </w:p>
    <w:p>
      <w:pPr>
        <w:spacing w:after="0" w:line="182" w:lineRule="exact"/>
        <w:rPr>
          <w:rFonts w:ascii="Times New Roman" w:cs="Times New Roman" w:eastAsia="Times New Roman" w:hAnsi="Times New Roman"/>
          <w:sz w:val="18"/>
          <w:szCs w:val="18"/>
          <w:color w:val="auto"/>
        </w:rPr>
      </w:pPr>
    </w:p>
    <w:p>
      <w:pPr>
        <w:jc w:val="both"/>
        <w:ind w:firstLine="768"/>
        <w:spacing w:after="0" w:line="256" w:lineRule="auto"/>
        <w:tabs>
          <w:tab w:leader="none" w:pos="10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8" w:name="page39"/>
    <w:bookmarkEnd w:id="38"/>
    <w:p>
      <w:pPr>
        <w:spacing w:after="0" w:line="275" w:lineRule="auto"/>
        <w:rPr>
          <w:sz w:val="20"/>
          <w:szCs w:val="20"/>
          <w:color w:val="auto"/>
        </w:rPr>
      </w:pPr>
      <w:r>
        <w:rPr>
          <w:rFonts w:ascii="Times New Roman" w:cs="Times New Roman" w:eastAsia="Times New Roman" w:hAnsi="Times New Roman"/>
          <w:sz w:val="18"/>
          <w:szCs w:val="18"/>
          <w:color w:val="auto"/>
        </w:rPr>
        <w:t>upon Employee’s death or Disability) enter into such written representations, warranties and agreements as the Company may reasonably request in order to comply with applicable securities laws or with this Agreement.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218" w:lineRule="exact"/>
        <w:rPr>
          <w:sz w:val="20"/>
          <w:szCs w:val="20"/>
          <w:color w:val="auto"/>
        </w:rPr>
      </w:pPr>
    </w:p>
    <w:p>
      <w:pPr>
        <w:ind w:firstLine="768"/>
        <w:spacing w:after="0" w:line="275" w:lineRule="auto"/>
        <w:tabs>
          <w:tab w:leader="none" w:pos="10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right to be awarded any further Performance Share Units (or other form of stock incentive awards) other than in the sole discretion of the Committee;</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interest in any fund or in any specified asset or assets of the Company (other than the Performance Share Units); or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or any other person or entity the right to continue in the employment or service of the Company or any Subsidiary.</w:t>
      </w:r>
    </w:p>
    <w:p>
      <w:pPr>
        <w:spacing w:after="0" w:line="218" w:lineRule="exact"/>
        <w:rPr>
          <w:sz w:val="20"/>
          <w:szCs w:val="20"/>
          <w:color w:val="auto"/>
        </w:rPr>
      </w:pPr>
    </w:p>
    <w:p>
      <w:pPr>
        <w:ind w:left="1040" w:hanging="272"/>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00" w:hanging="232"/>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is defined in Section 13(i).</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is defined in Section 2(a).</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is defined in Section 1.</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48" w:lineRule="auto"/>
        <w:tabs>
          <w:tab w:leader="none" w:pos="9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Performance Period and up to and including the Vesting Date;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96" w:lineRule="exact"/>
        <w:rPr>
          <w:rFonts w:ascii="Times New Roman" w:cs="Times New Roman" w:eastAsia="Times New Roman" w:hAnsi="Times New Roman"/>
          <w:sz w:val="18"/>
          <w:szCs w:val="18"/>
          <w:color w:val="auto"/>
        </w:rPr>
      </w:pPr>
    </w:p>
    <w:p>
      <w:pPr>
        <w:jc w:val="both"/>
        <w:ind w:firstLine="768"/>
        <w:spacing w:after="0" w:line="256" w:lineRule="auto"/>
        <w:tabs>
          <w:tab w:leader="none" w:pos="10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7"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Position” is defined in Section 2(d).</w:t>
      </w:r>
    </w:p>
    <w:p>
      <w:pPr>
        <w:spacing w:after="0" w:line="218"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defined in the introduction.</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9" w:name="page40"/>
    <w:bookmarkEnd w:id="39"/>
    <w:p>
      <w:pPr>
        <w:jc w:val="both"/>
        <w:ind w:firstLine="768"/>
        <w:spacing w:after="0" w:line="256" w:lineRule="auto"/>
        <w:tabs>
          <w:tab w:leader="none" w:pos="10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is defined in the introduction.</w:t>
      </w:r>
    </w:p>
    <w:p>
      <w:pPr>
        <w:spacing w:after="0" w:line="218"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is defined in Section 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a Termination of Employment due to Employee’s death, Disability, Retirement or Special Retirement.</w:t>
      </w:r>
    </w:p>
    <w:p>
      <w:pPr>
        <w:spacing w:after="0" w:line="218" w:lineRule="exact"/>
        <w:rPr>
          <w:rFonts w:ascii="Times New Roman" w:cs="Times New Roman" w:eastAsia="Times New Roman" w:hAnsi="Times New Roman"/>
          <w:sz w:val="18"/>
          <w:szCs w:val="18"/>
          <w:color w:val="auto"/>
        </w:rPr>
      </w:pPr>
    </w:p>
    <w:p>
      <w:pPr>
        <w:jc w:val="both"/>
        <w:ind w:firstLine="768"/>
        <w:spacing w:after="0" w:line="252" w:lineRule="auto"/>
        <w:tabs>
          <w:tab w:leader="none" w:pos="10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is defined in Section 3.</w:t>
      </w:r>
    </w:p>
    <w:p>
      <w:pPr>
        <w:spacing w:after="0" w:line="218" w:lineRule="exact"/>
        <w:rPr>
          <w:rFonts w:ascii="Times New Roman" w:cs="Times New Roman" w:eastAsia="Times New Roman" w:hAnsi="Times New Roman"/>
          <w:sz w:val="18"/>
          <w:szCs w:val="18"/>
          <w:color w:val="auto"/>
        </w:rPr>
      </w:pPr>
    </w:p>
    <w:p>
      <w:pPr>
        <w:ind w:firstLine="768"/>
        <w:spacing w:after="0" w:line="275"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10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will not constitute aTermination of Employment.</w:t>
      </w:r>
    </w:p>
    <w:p>
      <w:pPr>
        <w:spacing w:after="0" w:line="177"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 defined in Section 5(a).</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Date” is defined in Section 2(a).</w:t>
      </w:r>
    </w:p>
    <w:p>
      <w:pPr>
        <w:spacing w:after="0" w:line="218" w:lineRule="exact"/>
        <w:rPr>
          <w:sz w:val="20"/>
          <w:szCs w:val="20"/>
          <w:color w:val="auto"/>
        </w:rPr>
      </w:pPr>
    </w:p>
    <w:p>
      <w:pPr>
        <w:ind w:left="1040" w:hanging="272"/>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768"/>
        <w:spacing w:after="0" w:line="275" w:lineRule="auto"/>
        <w:tabs>
          <w:tab w:leader="none" w:pos="10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7"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provision of this Agreement will not affect the validity or enforceability of any other provision of this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0" w:name="page41"/>
    <w:bookmarkEnd w:id="40"/>
    <w:p>
      <w:pPr>
        <w:ind w:firstLine="768"/>
        <w:spacing w:after="0" w:line="275" w:lineRule="auto"/>
        <w:tabs>
          <w:tab w:leader="none" w:pos="103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9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agree to execute such further instruments and to take such further action as may reasonably be necessary to carry out the intent of this Agreement.</w:t>
      </w:r>
    </w:p>
    <w:p>
      <w:pPr>
        <w:spacing w:after="0" w:line="163" w:lineRule="exact"/>
        <w:rPr>
          <w:rFonts w:ascii="Times New Roman" w:cs="Times New Roman" w:eastAsia="Times New Roman" w:hAnsi="Times New Roman"/>
          <w:sz w:val="18"/>
          <w:szCs w:val="18"/>
          <w:color w:val="auto"/>
        </w:rPr>
      </w:pPr>
    </w:p>
    <w:p>
      <w:pPr>
        <w:jc w:val="both"/>
        <w:ind w:firstLine="768"/>
        <w:spacing w:after="0" w:line="251" w:lineRule="auto"/>
        <w:tabs>
          <w:tab w:leader="none" w:pos="102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all Attachments hereto, and the Plan (i) constitute the entire agreement among the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85" w:lineRule="exact"/>
        <w:rPr>
          <w:rFonts w:ascii="Times New Roman" w:cs="Times New Roman" w:eastAsia="Times New Roman" w:hAnsi="Times New Roman"/>
          <w:sz w:val="18"/>
          <w:szCs w:val="18"/>
          <w:color w:val="auto"/>
        </w:rPr>
      </w:pPr>
    </w:p>
    <w:p>
      <w:pPr>
        <w:jc w:val="both"/>
        <w:ind w:firstLine="768"/>
        <w:spacing w:after="0" w:line="248" w:lineRule="auto"/>
        <w:tabs>
          <w:tab w:leader="none" w:pos="10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COMPANY HEREBY WAIVE, TO THE FULLEST EXTENT PERMITTED BY LAW, ANY RIGHT TO TRIAL BY JURY OF ANY CLAIM, DEMAND, ACTION, OR CAUSE OF ACTION ARISING OUT OF THIS AGREEMENT OR ANY ATTACHMENT THERETO.</w:t>
      </w:r>
    </w:p>
    <w:p>
      <w:pPr>
        <w:spacing w:after="0" w:line="192" w:lineRule="exact"/>
        <w:rPr>
          <w:rFonts w:ascii="Times New Roman" w:cs="Times New Roman" w:eastAsia="Times New Roman" w:hAnsi="Times New Roman"/>
          <w:sz w:val="18"/>
          <w:szCs w:val="18"/>
          <w:color w:val="auto"/>
        </w:rPr>
      </w:pPr>
    </w:p>
    <w:p>
      <w:pPr>
        <w:jc w:val="both"/>
        <w:ind w:firstLine="768"/>
        <w:spacing w:after="0" w:line="253" w:lineRule="auto"/>
        <w:tabs>
          <w:tab w:leader="none" w:pos="9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85" w:lineRule="exact"/>
        <w:rPr>
          <w:sz w:val="20"/>
          <w:szCs w:val="20"/>
          <w:color w:val="auto"/>
        </w:rPr>
      </w:pPr>
    </w:p>
    <w:p>
      <w:pPr>
        <w:jc w:val="both"/>
        <w:ind w:firstLine="768"/>
        <w:spacing w:after="0" w:line="252" w:lineRule="auto"/>
        <w:tabs>
          <w:tab w:leader="none" w:pos="10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Award</w:t>
      </w:r>
      <w:r>
        <w:rPr>
          <w:rFonts w:ascii="Times New Roman" w:cs="Times New Roman" w:eastAsia="Times New Roman" w:hAnsi="Times New Roman"/>
          <w:sz w:val="18"/>
          <w:szCs w:val="18"/>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Conditions</w:t>
      </w:r>
    </w:p>
    <w:p>
      <w:pPr>
        <w:spacing w:after="0" w:line="199" w:lineRule="exact"/>
        <w:rPr>
          <w:sz w:val="20"/>
          <w:szCs w:val="20"/>
          <w:color w:val="auto"/>
        </w:rPr>
      </w:pPr>
    </w:p>
    <w:p>
      <w:pPr>
        <w:ind w:left="760"/>
        <w:spacing w:after="0"/>
        <w:tabs>
          <w:tab w:leader="none" w:pos="9040" w:val="left"/>
        </w:tabs>
        <w:rPr>
          <w:sz w:val="20"/>
          <w:szCs w:val="20"/>
          <w:color w:val="auto"/>
        </w:rPr>
      </w:pPr>
      <w:r>
        <w:rPr>
          <w:rFonts w:ascii="Times New Roman" w:cs="Times New Roman" w:eastAsia="Times New Roman" w:hAnsi="Times New Roman"/>
          <w:sz w:val="18"/>
          <w:szCs w:val="18"/>
          <w:color w:val="auto"/>
        </w:rPr>
        <w:t>Subject to the provisions of this Agreement, vesting of the Performance Share Units is conditioned upon [</w:t>
      </w:r>
      <w:r>
        <w:rPr>
          <w:sz w:val="20"/>
          <w:szCs w:val="20"/>
          <w:color w:val="auto"/>
        </w:rPr>
        <w:tab/>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The number of Performance Share Units that will vest on the vesting date will be equal to the product of (i) the target Performance Share Units and (ii) the Payout Factor (with any fractional shares rounded up to the next whole share).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Non-Compete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Definitions.</w:t>
      </w:r>
    </w:p>
    <w:p>
      <w:pPr>
        <w:spacing w:after="0" w:line="218"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17"/>
          <w:szCs w:val="17"/>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7"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3" w:name="page44"/>
    <w:bookmarkEnd w:id="43"/>
    <w:p>
      <w:pPr>
        <w:jc w:val="both"/>
        <w:ind w:firstLine="768"/>
        <w:spacing w:after="0" w:line="256" w:lineRule="auto"/>
        <w:tabs>
          <w:tab w:leader="none" w:pos="9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80"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94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86"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86" w:lineRule="exact"/>
        <w:rPr>
          <w:sz w:val="20"/>
          <w:szCs w:val="20"/>
          <w:color w:val="auto"/>
        </w:rPr>
      </w:pPr>
    </w:p>
    <w:p>
      <w:pPr>
        <w:jc w:val="both"/>
        <w:ind w:firstLine="768"/>
        <w:spacing w:after="0" w:line="266" w:lineRule="auto"/>
        <w:tabs>
          <w:tab w:leader="none" w:pos="106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4" w:name="page45"/>
    <w:bookmarkEnd w:id="44"/>
    <w:p>
      <w:pPr>
        <w:jc w:val="both"/>
        <w:ind w:firstLine="768"/>
        <w:spacing w:after="0" w:line="266" w:lineRule="auto"/>
        <w:tabs>
          <w:tab w:leader="none" w:pos="1043"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10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II by Employee, Company and its Affiliates will be entitled to: </w:t>
      </w:r>
      <w:r>
        <w:rPr>
          <w:rFonts w:ascii="Times New Roman" w:cs="Times New Roman" w:eastAsia="Times New Roman" w:hAnsi="Times New Roman"/>
          <w:sz w:val="18"/>
          <w:szCs w:val="18"/>
          <w:b w:val="1"/>
          <w:bCs w:val="1"/>
          <w:color w:val="auto"/>
        </w:rPr>
        <w:t>(i) recover from the Employee the value of any portion of the Award that has been paid or delivered;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in this Attachment II will be construed as an agreement independent of any other provision in this Attachment II, and the existence of any claim or cause of action of the Employee against the Company, whether predicated on this Attachment II or otherwise, will not constitute a defense to the enforcement by the Company of such covenants or provisions.</w:t>
      </w:r>
    </w:p>
    <w:p>
      <w:pPr>
        <w:spacing w:after="0" w:line="178" w:lineRule="exact"/>
        <w:rPr>
          <w:sz w:val="20"/>
          <w:szCs w:val="20"/>
          <w:color w:val="auto"/>
        </w:rPr>
      </w:pPr>
    </w:p>
    <w:p>
      <w:pPr>
        <w:ind w:right="20"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II for violation of this Attachment II are not the exclusive remedies that Company may pursue.</w:t>
      </w:r>
    </w:p>
    <w:p>
      <w:pPr>
        <w:spacing w:after="0" w:line="164" w:lineRule="exact"/>
        <w:rPr>
          <w:sz w:val="20"/>
          <w:szCs w:val="20"/>
          <w:color w:val="auto"/>
        </w:rPr>
      </w:pPr>
    </w:p>
    <w:p>
      <w:pPr>
        <w:ind w:firstLine="768"/>
        <w:spacing w:after="0" w:line="275"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5" w:name="page46"/>
    <w:bookmarkEnd w:id="45"/>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Employee is hereby notified that certain statutes in some U.S. states relate to ownership and assignment of inventions. At relevant locations and in accordance with those statutes, Company agrees that this Attachment II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85"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ind w:firstLine="768"/>
        <w:spacing w:after="0" w:line="275" w:lineRule="auto"/>
        <w:tabs>
          <w:tab w:leader="none" w:pos="10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any term of this Attachment II by Company will not operate as a waiver of any other term of this Attachment II. A failure to enforce any provision of this Attachment II will not operate as a waiver of Company’s right to enforce any other provision of this Attachment II.</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II or that otherwise may restrict Employee’s employment by Company or the performance of Employee’s duties for Company. Employee agrees not to enter into any agreement, whether oral or written, in conflict with this Attachment II.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Attachment II may be enforced by, will inure to the benefit of, and be binding upon Company, its successors, and assigns. This Attachment II is binding upon Employee’s heirs and legal representatives.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3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Company, Employee agrees to the automatic application of all of the terms of this Attachment II to said Affiliate contemporaneously with the acceptance of such transfer, subject to subsequent agreements, if any, executed by Employee and Affiliate of Company or Company, and to the fullest extent allowed by law.</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Company regarding this Attachment II.</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10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Confidential Information, Intellectual Property, Non-Compete, and Non-Solicitation Agreement supersedes any previous agreement, oral or written, between Employee and Company relating to the subject matter thereof.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Attachment II, Confidential Information, Intellectual Property, Non-Compete, and Non-Solicitation Agreement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contains assignment of all Company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11</w:t>
      </w:r>
    </w:p>
    <w:p>
      <w:pPr>
        <w:sectPr>
          <w:pgSz w:w="11900" w:h="16838" w:orient="portrait"/>
          <w:cols w:equalWidth="0" w:num="1">
            <w:col w:w="11420"/>
          </w:cols>
          <w:pgMar w:left="240" w:top="332"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 FOR FRANCE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Includes Confidentiality, Intellectual Property, Non-Competition, and Non-Solicitation Provisions on in Section 9 and Attachment I</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(“FRENCH QUALIFIED RESTRICTED STOCK UNITS”)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Revised: January 19, 2017</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Please Note: </w:t>
      </w:r>
      <w:r>
        <w:rPr>
          <w:rFonts w:ascii="Times New Roman" w:cs="Times New Roman" w:eastAsia="Times New Roman" w:hAnsi="Times New Roman"/>
          <w:sz w:val="18"/>
          <w:szCs w:val="18"/>
          <w:i w:val="1"/>
          <w:iCs w:val="1"/>
          <w:color w:val="auto"/>
        </w:rPr>
        <w:t>If you wish to accept this Restricted Stock Unit Award, you must accept the award within 30 days after receipt of this Agreement.</w:t>
      </w:r>
    </w:p>
    <w:p>
      <w:pPr>
        <w:spacing w:after="0" w:line="220"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This Restricted Stock Unit Award Agreement (together with all attachments, “Agreement”) is entered into effective by and between Schlumberger Limited (the “Company”), and the Restricted Stock Award recipient (“Employee”), pursuant to the Schlumberger 2010 Omnibus Stock Incentive Plan (the “Plan”) as amended by the sub-plan for France, which was approved by the Company’s shareholders on April 6, 2016, and which governs the French Qualified Restricted Stock Units (“Restricted Stock Units”) granted to employees who are working in France or who are or may become subject to French tax (i.e. income tax and/or social security tax) as a result of restricted stock units granted under the Plan for Employees in France (the “French sub-plan”). The Plan and the French sub-plan are collectively called the “Plans.” The Restricted Stock Units granted under this French sub-plan will be deemed French Qualified Restricted Stock Units and shall be eligible for the specific income and social security tax regime applicable to shares granted for no consideration under the Articles L.225-197-1 to L.225-197-6 of the French Commercial Code.</w:t>
      </w:r>
    </w:p>
    <w:p>
      <w:pPr>
        <w:spacing w:after="0" w:line="189"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and the Company agree to execute such further instruments and to take such further action as may reasonably be necessary to carry out the intent of this Agreement.</w:t>
      </w:r>
    </w:p>
    <w:p>
      <w:pPr>
        <w:spacing w:after="0" w:line="164" w:lineRule="exact"/>
        <w:rPr>
          <w:sz w:val="20"/>
          <w:szCs w:val="20"/>
          <w:color w:val="auto"/>
        </w:rPr>
      </w:pPr>
    </w:p>
    <w:p>
      <w:pPr>
        <w:jc w:val="both"/>
        <w:ind w:firstLine="768"/>
        <w:spacing w:after="0" w:line="253" w:lineRule="auto"/>
        <w:tabs>
          <w:tab w:leader="none" w:pos="9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In consideration of Employee’s continued employment as hereinafter set forth, the Company hereby grants to Employee an award of Restricted Stock Units. The number of Restricted Stock Units subject to this award and the date of the grant (“Grant Date”) are set forth in an Award Notice previously delivered to Employee. Restricted Stock Units are notational units of measurement denominated in shares of common stock of Schlumberger Limited, $.01 par value (“Common Stock”). Each Restricted Stock Unit represents a hypothetical share of Common Stock, subject to the conditions and restrictions on transferability set forth below and in the Plans.</w:t>
      </w:r>
    </w:p>
    <w:p>
      <w:pPr>
        <w:spacing w:after="0" w:line="184"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Vesting of French Qualified Restricted Stock Units</w:t>
      </w:r>
    </w:p>
    <w:p>
      <w:pPr>
        <w:spacing w:after="0" w:line="218" w:lineRule="exact"/>
        <w:rPr>
          <w:sz w:val="20"/>
          <w:szCs w:val="20"/>
          <w:color w:val="auto"/>
        </w:rPr>
      </w:pPr>
    </w:p>
    <w:p>
      <w:pPr>
        <w:jc w:val="both"/>
        <w:ind w:firstLine="768"/>
        <w:spacing w:after="0" w:line="253" w:lineRule="auto"/>
        <w:tabs>
          <w:tab w:leader="none" w:pos="10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Normal Vesting</w:t>
      </w:r>
      <w:r>
        <w:rPr>
          <w:rFonts w:ascii="Times New Roman" w:cs="Times New Roman" w:eastAsia="Times New Roman" w:hAnsi="Times New Roman"/>
          <w:sz w:val="18"/>
          <w:szCs w:val="18"/>
          <w:color w:val="auto"/>
        </w:rPr>
        <w:t>. The French Qualified Restricted Stock Units will vest in three installments. The date on which each installment will become vested and the number of shares of Common Stock comprising the award of Restricted Stock Units (“the French Vesting Dates”) are as per the table below, provided that the Employee is continuously employed by the Company and its Subsidiaries from the Grant Date to the French Vesting Dates. Except as provided in Section 2(c), if there is any Termination of Employment as hereinafter defined during the period between the Grant Date and the French Vesting Dates, the Employee shall immediately forfeit all Restricted Stock Units not already vested.</w:t>
      </w:r>
    </w:p>
    <w:p>
      <w:pPr>
        <w:spacing w:after="0" w:line="195" w:lineRule="exact"/>
        <w:rPr>
          <w:sz w:val="20"/>
          <w:szCs w:val="20"/>
          <w:color w:val="auto"/>
        </w:rPr>
      </w:pPr>
    </w:p>
    <w:tbl>
      <w:tblPr>
        <w:tblLayout w:type="fixed"/>
        <w:tblInd w:w="35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c>
          <w:tcPr>
            <w:tcW w:w="1420" w:type="dxa"/>
            <w:vAlign w:val="bottom"/>
          </w:tcPr>
          <w:p>
            <w:pPr>
              <w:spacing w:after="0"/>
              <w:rPr>
                <w:sz w:val="18"/>
                <w:szCs w:val="18"/>
                <w:color w:val="auto"/>
              </w:rPr>
            </w:pPr>
          </w:p>
        </w:tc>
        <w:tc>
          <w:tcPr>
            <w:tcW w:w="19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8"/>
              </w:rPr>
              <w:t>SHARES VESTING</w:t>
            </w: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14"/>
        </w:trPr>
        <w:tc>
          <w:tcPr>
            <w:tcW w:w="28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3rd Anniversary of the Grant Date</w:t>
            </w:r>
          </w:p>
        </w:tc>
        <w:tc>
          <w:tcPr>
            <w:tcW w:w="19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6"/>
              </w:rPr>
              <w:t>60%</w:t>
            </w:r>
          </w:p>
        </w:tc>
      </w:tr>
      <w:tr>
        <w:trPr>
          <w:trHeight w:val="213"/>
        </w:trPr>
        <w:tc>
          <w:tcPr>
            <w:tcW w:w="2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4th Anniversary of the Grant Date</w:t>
            </w:r>
          </w:p>
        </w:tc>
        <w:tc>
          <w:tcPr>
            <w:tcW w:w="19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6"/>
              </w:rPr>
              <w:t>20%</w:t>
            </w:r>
          </w:p>
        </w:tc>
      </w:tr>
      <w:tr>
        <w:trPr>
          <w:trHeight w:val="232"/>
        </w:trPr>
        <w:tc>
          <w:tcPr>
            <w:tcW w:w="28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5th Anniversary of the Grant Date</w:t>
            </w:r>
          </w:p>
        </w:tc>
        <w:tc>
          <w:tcPr>
            <w:tcW w:w="19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220" w:lineRule="exact"/>
        <w:rPr>
          <w:sz w:val="20"/>
          <w:szCs w:val="20"/>
          <w:color w:val="auto"/>
        </w:rPr>
      </w:pPr>
    </w:p>
    <w:p>
      <w:pPr>
        <w:jc w:val="both"/>
        <w:ind w:firstLine="768"/>
        <w:spacing w:after="0" w:line="256" w:lineRule="auto"/>
        <w:tabs>
          <w:tab w:leader="none" w:pos="10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Notwithstanding the vesting dates of the Restricted Stock Units, under no circumstances, except in case of Employee’s death, as provided for in Section 2(c) below, will the delivery of the shares related to a French Qualified Restricted Stock Unit occur prior to the third anniversary of the Grant Date. The sale of shares issued pursuant to the conversion of the French Qualified Restricted Stock Units may occur as soon as the shares are delivered to the Employee provided the closed periods in section 3 below are respected.</w:t>
      </w:r>
    </w:p>
    <w:p>
      <w:pPr>
        <w:spacing w:after="0" w:line="179" w:lineRule="exact"/>
        <w:rPr>
          <w:rFonts w:ascii="Times New Roman" w:cs="Times New Roman" w:eastAsia="Times New Roman" w:hAnsi="Times New Roman"/>
          <w:sz w:val="18"/>
          <w:szCs w:val="18"/>
          <w:color w:val="auto"/>
        </w:rPr>
      </w:pPr>
    </w:p>
    <w:p>
      <w:pPr>
        <w:jc w:val="both"/>
        <w:ind w:firstLine="768"/>
        <w:spacing w:after="0" w:line="256" w:lineRule="auto"/>
        <w:tabs>
          <w:tab w:leader="none" w:pos="10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on Death</w:t>
      </w:r>
      <w:r>
        <w:rPr>
          <w:rFonts w:ascii="Times New Roman" w:cs="Times New Roman" w:eastAsia="Times New Roman" w:hAnsi="Times New Roman"/>
          <w:sz w:val="18"/>
          <w:szCs w:val="18"/>
          <w:color w:val="auto"/>
        </w:rPr>
        <w:t>. Upon Termination of Employment from the Company by reason of Employee’s death, all French Qualified Restricted Stock Units that are not vested at that time immediately will become vested in full. The Company shall issue the underlying shares to the Employee’s heirs, at their written request, within six months following the death of the Employee. Notwithstanding the foregoing, the Employee’s heirs must comply with the restriction on the sale of shares set forth in Section 3, to the extent and as long as applicable under French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8" w:name="page49"/>
    <w:bookmarkEnd w:id="48"/>
    <w:p>
      <w:pPr>
        <w:jc w:val="both"/>
        <w:ind w:firstLine="768"/>
        <w:spacing w:after="0" w:line="256" w:lineRule="auto"/>
        <w:tabs>
          <w:tab w:leader="none" w:pos="10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Upon Termination of Employment by reason of Employee’s voluntary election to retire from employment with the Company and its Subsidiaries (as defined in Section 16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16 below.)</w:t>
      </w:r>
    </w:p>
    <w:p>
      <w:pPr>
        <w:spacing w:after="0" w:line="180" w:lineRule="exact"/>
        <w:rPr>
          <w:sz w:val="20"/>
          <w:szCs w:val="20"/>
          <w:color w:val="auto"/>
        </w:rPr>
      </w:pPr>
    </w:p>
    <w:p>
      <w:pPr>
        <w:ind w:left="940" w:hanging="172"/>
        <w:spacing w:after="0"/>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Closed Periods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Shares underlying French Qualified Restricted Stock Units may not be sold during the following periods (“Closed Periods”):</w:t>
      </w:r>
    </w:p>
    <w:p>
      <w:pPr>
        <w:spacing w:after="0" w:line="218" w:lineRule="exact"/>
        <w:rPr>
          <w:sz w:val="20"/>
          <w:szCs w:val="20"/>
          <w:color w:val="auto"/>
        </w:rPr>
      </w:pPr>
    </w:p>
    <w:p>
      <w:pPr>
        <w:ind w:firstLine="768"/>
        <w:spacing w:after="0" w:line="275"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trading sessions before or within 3 trading sessions after the publication of the consolidated financial statements, or failing that, the annual accounts of the Company; and</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period beginning with the date at which executives of the Company become aware of any information which, were it to be public knowledge, could have a significant impact on the price of shares in and ending 10 trading sessions after the information becomes public knowledge.</w:t>
      </w:r>
    </w:p>
    <w:p>
      <w:pPr>
        <w:spacing w:after="0" w:line="164"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These Closed Periods will apply to the grant of French Qualified Restricted Stock Units as long as and to the extent such Closed Periods are applicable under French law.</w:t>
      </w:r>
    </w:p>
    <w:p>
      <w:pPr>
        <w:spacing w:after="0" w:line="164" w:lineRule="exact"/>
        <w:rPr>
          <w:sz w:val="20"/>
          <w:szCs w:val="20"/>
          <w:color w:val="auto"/>
        </w:rPr>
      </w:pPr>
    </w:p>
    <w:p>
      <w:pPr>
        <w:jc w:val="both"/>
        <w:ind w:firstLine="768"/>
        <w:spacing w:after="0" w:line="256" w:lineRule="auto"/>
        <w:tabs>
          <w:tab w:leader="none" w:pos="93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Forfeitures of Restricted Stock Units</w:t>
      </w:r>
      <w:r>
        <w:rPr>
          <w:rFonts w:ascii="Times New Roman" w:cs="Times New Roman" w:eastAsia="Times New Roman" w:hAnsi="Times New Roman"/>
          <w:sz w:val="18"/>
          <w:szCs w:val="18"/>
          <w:color w:val="auto"/>
        </w:rPr>
        <w:t>. Upon Employee’s Termination of Employment from the Company for any reason that does not result in an acceleration of vesting pursuant to Section 2(c) or 2(d), Employee will immediately forfeit all unvested Restricted Stock Units, without the payment of any consideration or further consideration by the Company. Upon forfeiture, neither Employee nor any successors, heirs, assigns, or legal representatives of Employee will thereafter have any further rights or interest in the unvested Restricted Stock Units.</w:t>
      </w:r>
    </w:p>
    <w:p>
      <w:pPr>
        <w:spacing w:after="0" w:line="179"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60" w:lineRule="auto"/>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177" w:lineRule="exact"/>
        <w:rPr>
          <w:rFonts w:ascii="Times New Roman" w:cs="Times New Roman" w:eastAsia="Times New Roman" w:hAnsi="Times New Roman"/>
          <w:sz w:val="18"/>
          <w:szCs w:val="18"/>
          <w:color w:val="auto"/>
        </w:rPr>
      </w:pPr>
    </w:p>
    <w:p>
      <w:pPr>
        <w:jc w:val="both"/>
        <w:ind w:firstLine="768"/>
        <w:spacing w:after="0" w:line="251"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foregoing, except as contemplated by Section 11,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will be void. No right or benefit hereunder shall in any manner be liable for or subject to any debts, contracts, liabilities or torts of the person entitled to such benefits. If Employee or his or her beneficiary hereunder will attempt to transfer, anticipate, alienate, assign, sell, pledge, encumber or charge any right or benefit hereunder, other than as contemplated by Section 11, or if any creditor attempts to subject the same to a writ of garnishment, attachment, execution, sequestration, or any other form of process or involuntary lien or seizure, then such attempt will have no effect and will be void.</w:t>
      </w:r>
    </w:p>
    <w:p>
      <w:pPr>
        <w:spacing w:after="0" w:line="186" w:lineRule="exact"/>
        <w:rPr>
          <w:sz w:val="20"/>
          <w:szCs w:val="20"/>
          <w:color w:val="auto"/>
        </w:rPr>
      </w:pPr>
    </w:p>
    <w:p>
      <w:pPr>
        <w:ind w:firstLine="768"/>
        <w:spacing w:after="0" w:line="275" w:lineRule="auto"/>
        <w:tabs>
          <w:tab w:leader="none" w:pos="9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Employee will have no rights as a stockholder of the Company with regard to the Restricted Stock Units. Rights as a stockholder will arise only upon the settlement of Restricted Stock Units as set out in Section 2(b).</w:t>
      </w:r>
    </w:p>
    <w:p>
      <w:pPr>
        <w:spacing w:after="0" w:line="163" w:lineRule="exact"/>
        <w:rPr>
          <w:rFonts w:ascii="Times New Roman" w:cs="Times New Roman" w:eastAsia="Times New Roman" w:hAnsi="Times New Roman"/>
          <w:sz w:val="18"/>
          <w:szCs w:val="18"/>
          <w:color w:val="auto"/>
        </w:rPr>
      </w:pPr>
    </w:p>
    <w:p>
      <w:pPr>
        <w:jc w:val="both"/>
        <w:ind w:firstLine="768"/>
        <w:spacing w:after="0" w:line="268" w:lineRule="auto"/>
        <w:tabs>
          <w:tab w:leader="none" w:pos="93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To the extent that the receipt of the Restricted Stock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Restricted Stock Units or from any cash or other form of remuneration then or thereafter payable to Employee an amount equal to any tax required to be withheld by reason of such resulting compensation income. The Restricted Stock Units are intended to be “short-term deferrals” exempt from Section 409A of the U. S. Internal Revenue Code, as amended, and will be construed and interpreted accordingly.</w:t>
      </w:r>
    </w:p>
    <w:p>
      <w:pPr>
        <w:spacing w:after="0" w:line="172" w:lineRule="exact"/>
        <w:rPr>
          <w:rFonts w:ascii="Times New Roman" w:cs="Times New Roman" w:eastAsia="Times New Roman" w:hAnsi="Times New Roman"/>
          <w:sz w:val="17"/>
          <w:szCs w:val="17"/>
          <w:color w:val="auto"/>
        </w:rPr>
      </w:pPr>
    </w:p>
    <w:p>
      <w:pPr>
        <w:jc w:val="both"/>
        <w:ind w:firstLine="768"/>
        <w:spacing w:after="0" w:line="260" w:lineRule="auto"/>
        <w:tabs>
          <w:tab w:leader="none" w:pos="9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If the outstanding shares of Common Stock shall at any time be changed or exchanged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9" w:name="page50"/>
    <w:bookmarkEnd w:id="49"/>
    <w:p>
      <w:pPr>
        <w:jc w:val="both"/>
        <w:ind w:firstLine="768"/>
        <w:spacing w:after="0" w:line="254" w:lineRule="auto"/>
        <w:tabs>
          <w:tab w:leader="none" w:pos="9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 has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w:t>
      </w:r>
    </w:p>
    <w:p>
      <w:pPr>
        <w:spacing w:after="0" w:line="182"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not be required to deliver any shares of Common Stock pursuant to this Agreement if, in the opinion of counsel for the Company, such issuance would violate the U. S.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4" w:lineRule="exact"/>
        <w:rPr>
          <w:rFonts w:ascii="Times New Roman" w:cs="Times New Roman" w:eastAsia="Times New Roman" w:hAnsi="Times New Roman"/>
          <w:sz w:val="18"/>
          <w:szCs w:val="18"/>
          <w:color w:val="auto"/>
        </w:rPr>
      </w:pPr>
    </w:p>
    <w:p>
      <w:pPr>
        <w:jc w:val="both"/>
        <w:ind w:firstLine="768"/>
        <w:spacing w:after="0" w:line="256" w:lineRule="auto"/>
        <w:tabs>
          <w:tab w:leader="none" w:pos="10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Restricted Stock Units are not transferable (either voluntarily or involuntarily) by the recipient except by will or the laws of descent and distribution. No purported assignment or transfer, whether voluntary or involuntary, by operation of law or otherwise, will vest in the purported assignee or transferee any interest or right therein whatsoever but immediately upon any such purported assignment or transfer, or any attempt to make the same, the Restricted Stock Units will terminate and become of no further effect.</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will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77"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Plans may be construed to:</w:t>
      </w:r>
    </w:p>
    <w:p>
      <w:pPr>
        <w:spacing w:after="0" w:line="218" w:lineRule="exact"/>
        <w:rPr>
          <w:sz w:val="20"/>
          <w:szCs w:val="20"/>
          <w:color w:val="auto"/>
        </w:rPr>
      </w:pPr>
    </w:p>
    <w:p>
      <w:pPr>
        <w:ind w:firstLine="768"/>
        <w:spacing w:after="0" w:line="275" w:lineRule="auto"/>
        <w:tabs>
          <w:tab w:leader="none" w:pos="10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any right to be awarded any further Restricted Stock Units (or other form of stock incentive awards) other than in the sole discretion of the Compensation Committee of the Board of Directors of the Company (“Committee”);</w:t>
      </w:r>
    </w:p>
    <w:p>
      <w:pPr>
        <w:spacing w:after="0" w:line="163"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any interest in any fund or in any specified asset or assets of the Company (other than the Restricted Stock</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or</w:t>
      </w:r>
    </w:p>
    <w:p>
      <w:pPr>
        <w:spacing w:after="0" w:line="199"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the right to continue in the employment or service of the Company or any Subsidiary.</w:t>
      </w:r>
    </w:p>
    <w:p>
      <w:pPr>
        <w:spacing w:after="0" w:line="218" w:lineRule="exact"/>
        <w:rPr>
          <w:sz w:val="20"/>
          <w:szCs w:val="20"/>
          <w:color w:val="auto"/>
        </w:rPr>
      </w:pPr>
    </w:p>
    <w:p>
      <w:pPr>
        <w:jc w:val="both"/>
        <w:ind w:firstLine="768"/>
        <w:spacing w:after="0" w:line="252" w:lineRule="auto"/>
        <w:tabs>
          <w:tab w:leader="none" w:pos="10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portion of this Agreement (including Attachment I) be held invalid, unenforceable, or void, such holding will not have the effect of invalidating or voiding the other portions of this Agreement. The parties hereby agree that any portion held to be invalid, unenforceable, or void shall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shall give rise to a finding of knowing, willful, or bad faith unreasonableness against Company regarding this Agreement.</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Employee or the Company to insist upon strict compliance with any provision of this Agreement (including, for the avoidance of doubt, Attachment I) or the failure to assert any right Employee or the Company may have under this Agreement will not be deemed to be a waiver of such provision or right or any other provision or right of this Agreement.</w:t>
      </w:r>
    </w:p>
    <w:p>
      <w:pPr>
        <w:spacing w:after="0" w:line="177"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6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will not be considered a Termination of Employment. Other capitalized terms used in this Agreement and not defined herein have the meanings set forth in the Plans.</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as applicable under local laws, or (ii) Employee’s voluntary election to retire from employment with the Company and its Subsidiaries at any time after Employee has reached both the age of 55 and 20 years of service, as applicable under local laws,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clauses (A) or (B) may be granted or withheld in the sole discretion of the Committee or the Retirement Committee, as applicable, or (iii) Employee’s voluntary election to retire from employment with the Company and its Subsidiaries at any time, in accordance with local laws, provided that the Employee’s retirement is approved by (A) the Committee, if Employee is an executive officer of the Company at the time of Employee’s election to retire, or (B) the Retirement Committee, if Employee is not an executive officer of the Company at the time of Employee’s election to retire.</w:t>
      </w:r>
    </w:p>
    <w:p>
      <w:pPr>
        <w:spacing w:after="0" w:line="180" w:lineRule="exact"/>
        <w:rPr>
          <w:sz w:val="20"/>
          <w:szCs w:val="20"/>
          <w:color w:val="auto"/>
        </w:rPr>
      </w:pPr>
    </w:p>
    <w:p>
      <w:pPr>
        <w:ind w:firstLine="768"/>
        <w:spacing w:after="0" w:line="275" w:lineRule="auto"/>
        <w:tabs>
          <w:tab w:leader="none" w:pos="10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jc w:val="both"/>
        <w:ind w:firstLine="768"/>
        <w:spacing w:after="0" w:line="248"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activity means activity that is determined by the Committee in its sole and absolute discretion to be detrimental to the interests of the Company or any of its Subsidiaries, including but not limited to situations where Employee, as applicable under local laws: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96" w:lineRule="exact"/>
        <w:rPr>
          <w:sz w:val="20"/>
          <w:szCs w:val="20"/>
          <w:color w:val="auto"/>
        </w:rPr>
      </w:pPr>
    </w:p>
    <w:p>
      <w:pPr>
        <w:ind w:left="1040" w:hanging="272"/>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2" w:lineRule="auto"/>
        <w:tabs>
          <w:tab w:leader="none" w:pos="10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all Attachments hereto, and the Plans (i) constitute the entire agreement between Employee and the Company with respect to the subject matter hereof. This Agreement supersedes all prior agreements and understandings, both written and oral, with respect to the subject matter hereof; and (ii) are not intended to confer upon any other Person any rights or remedies hereunder. Employee and the Company agree that (A) no other (including its agents and representatives) has made any representation, warranty, covenant or agreement to or with such party relating to the Restricted Stock Units other than those expressly set forth herein or in the Plan, and (B) such party has not relied upon any representation, warranty, covenant or agreement relating to the Restricted Stock Units, other than those referred to in clause (A) above.</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he or she has received, reviewed and accepted the terms and conditions applicable to this Agreement. Employee hereby accepts such terms and conditions, subject to the provisions of the Plans and administrative interpretations thereof. Employee further agrees that such terms and conditions will control this Agreement, notwithstanding any provisions in any employment agreement or in any prior awards.</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1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except by a written agreement executed by Employee and Company or their respective successors and legal representatives. The captions of this Agreement are not part of the provisions hereof and will have no force or effect.</w:t>
      </w:r>
    </w:p>
    <w:p>
      <w:pPr>
        <w:spacing w:after="0" w:line="164" w:lineRule="exact"/>
        <w:rPr>
          <w:sz w:val="20"/>
          <w:szCs w:val="20"/>
          <w:color w:val="auto"/>
        </w:rPr>
      </w:pPr>
    </w:p>
    <w:p>
      <w:pPr>
        <w:ind w:left="5660" w:right="1800" w:hanging="4892"/>
        <w:spacing w:after="0" w:line="521" w:lineRule="auto"/>
        <w:tabs>
          <w:tab w:leader="none" w:pos="10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which together will constitute one and the same original.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72910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Non-Compete Agreement</w:t>
      </w:r>
    </w:p>
    <w:p>
      <w:pPr>
        <w:spacing w:after="0" w:line="199" w:lineRule="exact"/>
        <w:rPr>
          <w:sz w:val="20"/>
          <w:szCs w:val="20"/>
          <w:color w:val="auto"/>
        </w:rPr>
      </w:pPr>
    </w:p>
    <w:p>
      <w:pPr>
        <w:ind w:left="940" w:hanging="172"/>
        <w:spacing w:after="0"/>
        <w:tabs>
          <w:tab w:leader="none" w:pos="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1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18"/>
          <w:szCs w:val="18"/>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shall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shall be deemed to modify, reduce, or waive Employee’s obligations in this Attachment I. In the event of any conflict or ambiguity, this Attachment 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2" w:name="page53"/>
    <w:bookmarkEnd w:id="52"/>
    <w:p>
      <w:pPr>
        <w:jc w:val="both"/>
        <w:ind w:firstLine="768"/>
        <w:spacing w:after="0" w:line="256" w:lineRule="auto"/>
        <w:tabs>
          <w:tab w:leader="none" w:pos="9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79"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80" w:lineRule="exact"/>
        <w:rPr>
          <w:rFonts w:ascii="Times New Roman" w:cs="Times New Roman" w:eastAsia="Times New Roman" w:hAnsi="Times New Roman"/>
          <w:sz w:val="18"/>
          <w:szCs w:val="18"/>
          <w:color w:val="auto"/>
        </w:rPr>
      </w:pPr>
    </w:p>
    <w:p>
      <w:pPr>
        <w:jc w:val="both"/>
        <w:ind w:firstLine="768"/>
        <w:spacing w:after="0" w:line="266" w:lineRule="auto"/>
        <w:tabs>
          <w:tab w:leader="none" w:pos="94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recognizes and acknowledges that Company Confidential Information constitutes protectable information belonging to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subject to Section 13 of this Attachment 1,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76" w:lineRule="exact"/>
        <w:rPr>
          <w:sz w:val="20"/>
          <w:szCs w:val="20"/>
          <w:color w:val="auto"/>
        </w:rPr>
      </w:pPr>
    </w:p>
    <w:p>
      <w:pPr>
        <w:jc w:val="both"/>
        <w:ind w:firstLine="761"/>
        <w:spacing w:after="0" w:line="266" w:lineRule="auto"/>
        <w:rPr>
          <w:sz w:val="20"/>
          <w:szCs w:val="20"/>
          <w:color w:val="auto"/>
        </w:rPr>
      </w:pPr>
      <w:r>
        <w:rPr>
          <w:rFonts w:ascii="Times New Roman" w:cs="Times New Roman" w:eastAsia="Times New Roman" w:hAnsi="Times New Roman"/>
          <w:sz w:val="17"/>
          <w:szCs w:val="17"/>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subject to Section 13 of this Attachment 1,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shall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76" w:lineRule="exact"/>
        <w:rPr>
          <w:sz w:val="20"/>
          <w:szCs w:val="20"/>
          <w:color w:val="auto"/>
        </w:rPr>
      </w:pPr>
    </w:p>
    <w:p>
      <w:pPr>
        <w:jc w:val="both"/>
        <w:ind w:firstLine="768"/>
        <w:spacing w:after="0" w:line="266" w:lineRule="auto"/>
        <w:tabs>
          <w:tab w:leader="none" w:pos="106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Subject to Section 13,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shall be in the Company’s discretion. If Company decides to grant a waiver, the waiver may be subject to such restrictions or conditions as Company may impose and will not constitute a waiver of any other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jc w:val="both"/>
        <w:ind w:firstLine="768"/>
        <w:spacing w:after="0" w:line="266" w:lineRule="auto"/>
        <w:tabs>
          <w:tab w:leader="none" w:pos="1033"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 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a French Affiliate, or after such employment ends and Employee is not transferred to another non-French Affiliate, Sections 9, 10 and 12 shall not apply and the employment contract of Employee or any employment termination agreements shall govern the non-compete obligations of Employee.</w:t>
      </w:r>
    </w:p>
    <w:p>
      <w:pPr>
        <w:spacing w:after="0" w:line="177" w:lineRule="exact"/>
        <w:rPr>
          <w:rFonts w:ascii="Times New Roman" w:cs="Times New Roman" w:eastAsia="Times New Roman" w:hAnsi="Times New Roman"/>
          <w:sz w:val="18"/>
          <w:szCs w:val="18"/>
          <w:color w:val="auto"/>
        </w:rPr>
      </w:pPr>
    </w:p>
    <w:p>
      <w:pPr>
        <w:jc w:val="both"/>
        <w:ind w:firstLine="768"/>
        <w:spacing w:after="0" w:line="250" w:lineRule="auto"/>
        <w:tabs>
          <w:tab w:leader="none" w:pos="105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Employee acknowledges that the Company has agreed to provide Employee with Company Confidential Information during Employee's employment with the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Times New Roman" w:cs="Times New Roman" w:eastAsia="Times New Roman" w:hAnsi="Times New Roman"/>
          <w:sz w:val="18"/>
          <w:szCs w:val="18"/>
          <w:b w:val="1"/>
          <w:bCs w:val="1"/>
          <w:color w:val="auto"/>
        </w:rPr>
        <w:t>(i) recover from the Employee the value of any portion of the Award that has been paid or delivered;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shall not be the Company's exclusive remedy for a breach but instead shall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in this Attachment I will be construed as an agreement independent of any other provision in this Attachment I, and the existence of any claim or cause of action of the Employee against the Company, whether predicated on this Attachment I or otherwise, shall not constitute a defense to the enforcement by the Company of such covenants or provisions.</w:t>
      </w:r>
    </w:p>
    <w:p>
      <w:pPr>
        <w:spacing w:after="0" w:line="17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 for violation of this Attachment I are not the exclusive remedies that the Company may pursue.</w:t>
      </w:r>
    </w:p>
    <w:p>
      <w:pPr>
        <w:spacing w:after="0" w:line="164" w:lineRule="exact"/>
        <w:rPr>
          <w:sz w:val="20"/>
          <w:szCs w:val="20"/>
          <w:color w:val="auto"/>
        </w:rPr>
      </w:pPr>
    </w:p>
    <w:p>
      <w:pPr>
        <w:ind w:firstLine="768"/>
        <w:spacing w:after="0" w:line="275" w:lineRule="auto"/>
        <w:tabs>
          <w:tab w:leader="none" w:pos="10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the Company all Company Intellectual Property conceived, developed, improved or reduced to practice by Employee during Employee’s employment with the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60"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jc w:val="both"/>
        <w:spacing w:after="0" w:line="275" w:lineRule="auto"/>
        <w:rPr>
          <w:sz w:val="20"/>
          <w:szCs w:val="20"/>
          <w:color w:val="auto"/>
        </w:rPr>
      </w:pPr>
      <w:r>
        <w:rPr>
          <w:rFonts w:ascii="Times New Roman" w:cs="Times New Roman" w:eastAsia="Times New Roman" w:hAnsi="Times New Roman"/>
          <w:sz w:val="18"/>
          <w:szCs w:val="18"/>
          <w:color w:val="auto"/>
        </w:rPr>
        <w:t>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64" w:lineRule="exact"/>
        <w:rPr>
          <w:sz w:val="20"/>
          <w:szCs w:val="20"/>
          <w:color w:val="auto"/>
        </w:rPr>
      </w:pPr>
    </w:p>
    <w:p>
      <w:pPr>
        <w:jc w:val="both"/>
        <w:ind w:firstLine="761"/>
        <w:spacing w:after="0" w:line="251" w:lineRule="auto"/>
        <w:rPr>
          <w:sz w:val="20"/>
          <w:szCs w:val="20"/>
          <w:color w:val="auto"/>
        </w:rPr>
      </w:pPr>
      <w:r>
        <w:rPr>
          <w:rFonts w:ascii="Times New Roman" w:cs="Times New Roman" w:eastAsia="Times New Roman" w:hAnsi="Times New Roman"/>
          <w:sz w:val="18"/>
          <w:szCs w:val="18"/>
          <w:color w:val="auto"/>
        </w:rPr>
        <w:t>Unless already required under French law or employment contract with Company or an Affiliate, 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6"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jc w:val="both"/>
        <w:ind w:firstLine="768"/>
        <w:spacing w:after="0" w:line="260" w:lineRule="auto"/>
        <w:tabs>
          <w:tab w:leader="none" w:pos="10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 or that otherwise may restrict Employee’s employment by Company or the performance of Employee’s duties for Company. Employee agrees not to enter into any agreement, whether oral or written, in conflict with this Attachment 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 prohibits Employee from reporting possible violation of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accepts a transfer to an Affiliate of Company, Employee agrees to the automatic application of all of the terms of this Attachment I to said Affiliate contemporaneously with the acceptance of such transfer, subject to subsequent agreements, if any, executed by Employee and Affiliate of the Company or the Company, and to the fullest extent allowed by law.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Attachment I, Confidential Information, Intellectual Property, and Non-Compete Agreement incorporates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Unless already required under French law or employment contract with Company or an Affiliate, the Attachment I, Confidential Information, Intellectual Property, and Non-Compete Agreement contains assignment of all Company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To the extent and as long as applicable under French law,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and applicable under French law,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9"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 ] OMNIBUS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Confidentiality, Intellectual Property, Non-Competition,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Non-Solicitation Provisions in Section 8 and Attachment 1)</w:t>
      </w:r>
    </w:p>
    <w:p>
      <w:pPr>
        <w:spacing w:after="0" w:line="197"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Effective Date: [</w:t>
      </w:r>
      <w:r>
        <w:rPr>
          <w:sz w:val="20"/>
          <w:szCs w:val="20"/>
          <w:color w:val="auto"/>
        </w:rPr>
        <w:tab/>
      </w:r>
      <w:r>
        <w:rPr>
          <w:rFonts w:ascii="Times New Roman" w:cs="Times New Roman" w:eastAsia="Times New Roman" w:hAnsi="Times New Roman"/>
          <w:sz w:val="12"/>
          <w:szCs w:val="12"/>
          <w:b w:val="1"/>
          <w:bCs w:val="1"/>
          <w:color w:val="auto"/>
        </w:rPr>
        <w:t>]</w:t>
      </w:r>
    </w:p>
    <w:p>
      <w:pPr>
        <w:spacing w:after="0" w:line="216"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Please note: </w:t>
      </w:r>
      <w:r>
        <w:rPr>
          <w:rFonts w:ascii="Times New Roman" w:cs="Times New Roman" w:eastAsia="Times New Roman" w:hAnsi="Times New Roman"/>
          <w:sz w:val="18"/>
          <w:szCs w:val="18"/>
          <w:i w:val="1"/>
          <w:iCs w:val="1"/>
          <w:color w:val="auto"/>
        </w:rPr>
        <w:t>If you do not wish to accept this Restricted Stock Unit Award Agreement, you must notify the Stock Department no later than 30 days after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Agreement is made available to you.</w:t>
      </w:r>
    </w:p>
    <w:p>
      <w:pPr>
        <w:spacing w:after="0" w:line="161"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SCHLUMBERGER LIMITED, a Curaçao corporation (the “Company”), hereby grants to the employee named in the Notice of Grant of Award (“Employee”) restricted stock units (“RSUs”) pursuant to this award agreement (as may be amended, the “Agreement”) (the “Award Notice”). Your RSUs are granted pursuant to the Schlumberger [ ]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85" w:lineRule="exact"/>
        <w:rPr>
          <w:sz w:val="20"/>
          <w:szCs w:val="20"/>
          <w:color w:val="auto"/>
        </w:rPr>
      </w:pPr>
    </w:p>
    <w:p>
      <w:pPr>
        <w:ind w:right="20" w:firstLine="768"/>
        <w:spacing w:after="0" w:line="275" w:lineRule="auto"/>
        <w:tabs>
          <w:tab w:leader="none" w:pos="9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period of time between the grant date specified in the Award Notice (the “Grant Date”) and the vesting of Restricted Stock Units (and the termination of restrictions thereon) is the “Restricted Period.”</w:t>
      </w:r>
    </w:p>
    <w:p>
      <w:pPr>
        <w:spacing w:after="0" w:line="164" w:lineRule="exact"/>
        <w:rPr>
          <w:sz w:val="20"/>
          <w:szCs w:val="20"/>
          <w:color w:val="auto"/>
        </w:rPr>
      </w:pPr>
    </w:p>
    <w:p>
      <w:pPr>
        <w:jc w:val="both"/>
        <w:ind w:firstLine="768"/>
        <w:spacing w:after="0" w:line="252" w:lineRule="auto"/>
        <w:tabs>
          <w:tab w:leader="none" w:pos="10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Normal Vesting</w:t>
      </w:r>
      <w:r>
        <w:rPr>
          <w:rFonts w:ascii="Times New Roman" w:cs="Times New Roman" w:eastAsia="Times New Roman" w:hAnsi="Times New Roman"/>
          <w:sz w:val="18"/>
          <w:szCs w:val="18"/>
          <w:color w:val="auto"/>
        </w:rPr>
        <w:t>. The Restricted Stock Units will vest in a single vesting on the third anniversary of the Grant Date (“Vesting Date”), provided that the Employee has been continuously employed by the Company or any of its Subsidiaries from the Grant Date to the Vesting Date. Except as provided in Section 2(b) below, if there is any Termination of Employment (as defined in Section 11 below) during the period from and between the Grant Date until and including the Vesting Date, Employee will immediately and automatically forfeit all Restricted Stock Units. Any questions as to whether and when there has been a Termination of Employment, and the cause of such termination, will be resolved by the Committee (as defined in Section 11 below), and its determination will be final.</w:t>
      </w:r>
    </w:p>
    <w:p>
      <w:pPr>
        <w:spacing w:after="0" w:line="184" w:lineRule="exact"/>
        <w:rPr>
          <w:rFonts w:ascii="Times New Roman" w:cs="Times New Roman" w:eastAsia="Times New Roman" w:hAnsi="Times New Roman"/>
          <w:sz w:val="18"/>
          <w:szCs w:val="18"/>
          <w:color w:val="auto"/>
        </w:rPr>
      </w:pPr>
    </w:p>
    <w:p>
      <w:pPr>
        <w:jc w:val="both"/>
        <w:ind w:firstLine="768"/>
        <w:spacing w:after="0" w:line="283" w:lineRule="auto"/>
        <w:tabs>
          <w:tab w:leader="none" w:pos="102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on Death or Disability</w:t>
      </w:r>
      <w:r>
        <w:rPr>
          <w:rFonts w:ascii="Times New Roman" w:cs="Times New Roman" w:eastAsia="Times New Roman" w:hAnsi="Times New Roman"/>
          <w:sz w:val="17"/>
          <w:szCs w:val="17"/>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58" w:lineRule="exact"/>
        <w:rPr>
          <w:rFonts w:ascii="Times New Roman" w:cs="Times New Roman" w:eastAsia="Times New Roman" w:hAnsi="Times New Roman"/>
          <w:sz w:val="17"/>
          <w:szCs w:val="17"/>
          <w:color w:val="auto"/>
        </w:rPr>
      </w:pPr>
    </w:p>
    <w:p>
      <w:pPr>
        <w:jc w:val="both"/>
        <w:ind w:firstLine="768"/>
        <w:spacing w:after="0" w:line="256" w:lineRule="auto"/>
        <w:tabs>
          <w:tab w:leader="none" w:pos="10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11 below).</w:t>
      </w:r>
    </w:p>
    <w:p>
      <w:pPr>
        <w:spacing w:after="0" w:line="180" w:lineRule="exact"/>
        <w:rPr>
          <w:sz w:val="20"/>
          <w:szCs w:val="20"/>
          <w:color w:val="auto"/>
        </w:rPr>
      </w:pPr>
    </w:p>
    <w:p>
      <w:pPr>
        <w:jc w:val="both"/>
        <w:ind w:firstLine="768"/>
        <w:spacing w:after="0" w:line="253" w:lineRule="auto"/>
        <w:tabs>
          <w:tab w:leader="none" w:pos="93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If Employee’s Restricted Stock Units vest in accordance with the normal vesting schedule described in the first sentence of Section 2(a) above or pursuant to Section 2(b) above, payment of vested Restricted Stock Units will be made as soon as administratively practicable,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184"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Forfeitures of Restricted Stock Units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6" w:lineRule="auto"/>
        <w:tabs>
          <w:tab w:leader="none" w:pos="10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Restricted Period, upon a Termination of Employment for any reason that does not result in an acceleration or continuation of vesting pursuant to Section 2,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79" w:lineRule="exact"/>
        <w:rPr>
          <w:rFonts w:ascii="Times New Roman" w:cs="Times New Roman" w:eastAsia="Times New Roman" w:hAnsi="Times New Roman"/>
          <w:sz w:val="18"/>
          <w:szCs w:val="18"/>
          <w:color w:val="auto"/>
        </w:rPr>
      </w:pPr>
    </w:p>
    <w:p>
      <w:pPr>
        <w:ind w:firstLine="768"/>
        <w:spacing w:after="0" w:line="275" w:lineRule="auto"/>
        <w:tabs>
          <w:tab w:leader="none" w:pos="102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if at any time during the Restricted Period, Employee engages in Detrimental Activity, Employee will immediately and automatically forfeit all Restricted Stock Units without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305435</wp:posOffset>
            </wp:positionV>
            <wp:extent cx="72910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7" w:name="page58"/>
    <w:bookmarkEnd w:id="57"/>
    <w:p>
      <w:pPr>
        <w:spacing w:after="0" w:line="275" w:lineRule="auto"/>
        <w:rPr>
          <w:sz w:val="20"/>
          <w:szCs w:val="20"/>
          <w:color w:val="auto"/>
        </w:rPr>
      </w:pPr>
      <w:r>
        <w:rPr>
          <w:rFonts w:ascii="Times New Roman" w:cs="Times New Roman" w:eastAsia="Times New Roman" w:hAnsi="Times New Roman"/>
          <w:sz w:val="18"/>
          <w:szCs w:val="18"/>
          <w:color w:val="auto"/>
        </w:rPr>
        <w:t>of any consideration. Upon forfeiture, neither Employee nor any successors, heirs, assigns or legal representatives of Employee will thereafter have any further rights or interest in the unvested Restricted Stock Units.</w:t>
      </w:r>
    </w:p>
    <w:p>
      <w:pPr>
        <w:spacing w:after="0" w:line="164" w:lineRule="exact"/>
        <w:rPr>
          <w:sz w:val="20"/>
          <w:szCs w:val="20"/>
          <w:color w:val="auto"/>
        </w:rPr>
      </w:pPr>
    </w:p>
    <w:p>
      <w:pPr>
        <w:ind w:left="940" w:hanging="172"/>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3" w:lineRule="auto"/>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granted hereunder to Employee may not be sold, assigned, transferred, pledged or otherwise encumbered, whether voluntarily or involuntarily, by operation of law or otherwise (any of the foregoing, a “Transfer”), other than (i) 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84" w:lineRule="exact"/>
        <w:rPr>
          <w:rFonts w:ascii="Times New Roman" w:cs="Times New Roman" w:eastAsia="Times New Roman" w:hAnsi="Times New Roman"/>
          <w:sz w:val="18"/>
          <w:szCs w:val="18"/>
          <w:color w:val="auto"/>
        </w:rPr>
      </w:pPr>
    </w:p>
    <w:p>
      <w:pPr>
        <w:jc w:val="both"/>
        <w:ind w:firstLine="768"/>
        <w:spacing w:after="0" w:line="253" w:lineRule="auto"/>
        <w:tabs>
          <w:tab w:leader="none" w:pos="10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85" w:lineRule="exact"/>
        <w:rPr>
          <w:sz w:val="20"/>
          <w:szCs w:val="20"/>
          <w:color w:val="auto"/>
        </w:rPr>
      </w:pPr>
    </w:p>
    <w:p>
      <w:pPr>
        <w:ind w:firstLine="768"/>
        <w:spacing w:after="0" w:line="275" w:lineRule="auto"/>
        <w:tabs>
          <w:tab w:leader="none" w:pos="9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Employee will have no rights as a stockholder of the Company with regard to the Restricted Stock Units. Rights as a stockholder of the Company will arise only if the Restricted Stock Units are settled in shares of Common Stock pursuant to Section 3 above.</w:t>
      </w:r>
    </w:p>
    <w:p>
      <w:pPr>
        <w:spacing w:after="0" w:line="163"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To the extent that the receipt of Restricted Stock Units hereunder or the payment upon lapse of any restrictions results in income to Employee for federal or state income tax purposes or in any other case where the Company holds the view that it is obligated to withhold taxes, Employee will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vested Restricted Stock Units or cash or other form of remuneration then or thereafter payable to Employee equal to any tax required to be withheld due to such resulting compensation income.</w:t>
      </w:r>
    </w:p>
    <w:p>
      <w:pPr>
        <w:spacing w:after="0" w:line="182" w:lineRule="exact"/>
        <w:rPr>
          <w:rFonts w:ascii="Times New Roman" w:cs="Times New Roman" w:eastAsia="Times New Roman" w:hAnsi="Times New Roman"/>
          <w:sz w:val="18"/>
          <w:szCs w:val="18"/>
          <w:color w:val="auto"/>
        </w:rPr>
      </w:pPr>
    </w:p>
    <w:p>
      <w:pPr>
        <w:jc w:val="both"/>
        <w:ind w:firstLine="768"/>
        <w:spacing w:after="0" w:line="254" w:lineRule="auto"/>
        <w:tabs>
          <w:tab w:leader="none" w:pos="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 has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w:t>
      </w:r>
    </w:p>
    <w:p>
      <w:pPr>
        <w:spacing w:after="0" w:line="182" w:lineRule="exact"/>
        <w:rPr>
          <w:rFonts w:ascii="Times New Roman" w:cs="Times New Roman" w:eastAsia="Times New Roman" w:hAnsi="Times New Roman"/>
          <w:sz w:val="18"/>
          <w:szCs w:val="18"/>
          <w:color w:val="auto"/>
        </w:rPr>
      </w:pPr>
    </w:p>
    <w:p>
      <w:pPr>
        <w:jc w:val="both"/>
        <w:ind w:firstLine="768"/>
        <w:spacing w:after="0" w:line="260" w:lineRule="auto"/>
        <w:tabs>
          <w:tab w:leader="none" w:pos="9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color w:val="auto"/>
        </w:rPr>
        <w:t>. As more fully described in the Plan, if the outstanding shares of Common Stock at any time are changed or ex¬changed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4"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218" w:lineRule="exact"/>
        <w:rPr>
          <w:sz w:val="20"/>
          <w:szCs w:val="20"/>
          <w:color w:val="auto"/>
        </w:rPr>
      </w:pPr>
    </w:p>
    <w:p>
      <w:pPr>
        <w:ind w:firstLine="768"/>
        <w:spacing w:after="0" w:line="275" w:lineRule="auto"/>
        <w:tabs>
          <w:tab w:leader="none" w:pos="10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right to be awarded any further Restricted Stock Units (or other form of stock incentive awards) other than in the sole discretion of the Committee;</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1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Employee or any other person or entity any interest in any fund or in any specified asset or assets of the Company (other than the Restricted Stock Units); or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or any other person or entity the right to continue in the employment or service of the Company or any Subsidiary.</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8" w:name="page59"/>
    <w:bookmarkEnd w:id="58"/>
    <w:p>
      <w:pPr>
        <w:ind w:left="1020" w:hanging="252"/>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00" w:hanging="232"/>
        <w:spacing w:after="0"/>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Notice” is defined in Section 1.</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is defined in Section 15.</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is defined in Section 2(b).</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 of Directors of the Company.</w:t>
      </w:r>
    </w:p>
    <w:p>
      <w:pPr>
        <w:spacing w:after="0" w:line="218"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Schlumberger Limited.</w:t>
      </w:r>
    </w:p>
    <w:p>
      <w:pPr>
        <w:spacing w:after="0" w:line="218" w:lineRule="exact"/>
        <w:rPr>
          <w:rFonts w:ascii="Times New Roman" w:cs="Times New Roman" w:eastAsia="Times New Roman" w:hAnsi="Times New Roman"/>
          <w:sz w:val="18"/>
          <w:szCs w:val="18"/>
          <w:color w:val="auto"/>
        </w:rPr>
      </w:pPr>
    </w:p>
    <w:p>
      <w:pPr>
        <w:jc w:val="both"/>
        <w:ind w:firstLine="768"/>
        <w:spacing w:after="0" w:line="268" w:lineRule="auto"/>
        <w:tabs>
          <w:tab w:leader="none" w:pos="1019"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w:t>
      </w:r>
    </w:p>
    <w:p>
      <w:pPr>
        <w:spacing w:after="0" w:line="2" w:lineRule="exact"/>
        <w:rPr>
          <w:rFonts w:ascii="Times New Roman" w:cs="Times New Roman" w:eastAsia="Times New Roman" w:hAnsi="Times New Roman"/>
          <w:sz w:val="17"/>
          <w:szCs w:val="17"/>
          <w:color w:val="auto"/>
        </w:rPr>
      </w:pPr>
    </w:p>
    <w:p>
      <w:pPr>
        <w:jc w:val="both"/>
        <w:ind w:firstLine="6"/>
        <w:spacing w:after="0" w:line="263" w:lineRule="auto"/>
        <w:tabs>
          <w:tab w:leader="none" w:pos="29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79" w:lineRule="exact"/>
        <w:rPr>
          <w:rFonts w:ascii="Times New Roman" w:cs="Times New Roman" w:eastAsia="Times New Roman" w:hAnsi="Times New Roman"/>
          <w:sz w:val="17"/>
          <w:szCs w:val="17"/>
          <w:color w:val="auto"/>
        </w:rPr>
      </w:pPr>
    </w:p>
    <w:p>
      <w:pPr>
        <w:jc w:val="both"/>
        <w:ind w:firstLine="768"/>
        <w:spacing w:after="0" w:line="256" w:lineRule="auto"/>
        <w:tabs>
          <w:tab w:leader="none" w:pos="10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9" w:lineRule="exact"/>
        <w:rPr>
          <w:rFonts w:ascii="Times New Roman" w:cs="Times New Roman" w:eastAsia="Times New Roman" w:hAnsi="Times New Roman"/>
          <w:sz w:val="18"/>
          <w:szCs w:val="18"/>
          <w:color w:val="auto"/>
        </w:rPr>
      </w:pPr>
    </w:p>
    <w:p>
      <w:pPr>
        <w:jc w:val="both"/>
        <w:ind w:firstLine="768"/>
        <w:spacing w:after="0" w:line="260" w:lineRule="auto"/>
        <w:tabs>
          <w:tab w:leader="none" w:pos="98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77"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56" w:lineRule="auto"/>
        <w:tabs>
          <w:tab w:leader="none" w:pos="98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is defined in Section 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Period” is defined in Section 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is defined in Section 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9" w:name="page60"/>
    <w:bookmarkEnd w:id="59"/>
    <w:p>
      <w:pPr>
        <w:jc w:val="both"/>
        <w:ind w:firstLine="768"/>
        <w:spacing w:after="0" w:line="252" w:lineRule="auto"/>
        <w:tabs>
          <w:tab w:leader="none" w:pos="101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is defined in Section 3.</w:t>
      </w:r>
    </w:p>
    <w:p>
      <w:pPr>
        <w:spacing w:after="0" w:line="218" w:lineRule="exact"/>
        <w:rPr>
          <w:rFonts w:ascii="Times New Roman" w:cs="Times New Roman" w:eastAsia="Times New Roman" w:hAnsi="Times New Roman"/>
          <w:sz w:val="18"/>
          <w:szCs w:val="18"/>
          <w:color w:val="auto"/>
        </w:rPr>
      </w:pPr>
    </w:p>
    <w:p>
      <w:pPr>
        <w:jc w:val="both"/>
        <w:ind w:firstLine="768"/>
        <w:spacing w:after="0" w:line="260" w:lineRule="auto"/>
        <w:tabs>
          <w:tab w:leader="none" w:pos="97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7"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7"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 defined in Section 5(a).</w:t>
      </w:r>
    </w:p>
    <w:p>
      <w:pPr>
        <w:spacing w:after="0" w:line="218"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Date” is defined in Section 2(a).</w:t>
      </w:r>
    </w:p>
    <w:p>
      <w:pPr>
        <w:spacing w:after="0" w:line="218" w:lineRule="exact"/>
        <w:rPr>
          <w:sz w:val="20"/>
          <w:szCs w:val="20"/>
          <w:color w:val="auto"/>
        </w:rPr>
      </w:pPr>
    </w:p>
    <w:p>
      <w:pPr>
        <w:jc w:val="both"/>
        <w:ind w:firstLine="768"/>
        <w:spacing w:after="0" w:line="260"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Determination</w:t>
      </w:r>
      <w:r>
        <w:rPr>
          <w:rFonts w:ascii="Times New Roman" w:cs="Times New Roman" w:eastAsia="Times New Roman" w:hAnsi="Times New Roman"/>
          <w:sz w:val="18"/>
          <w:szCs w:val="18"/>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77"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83" w:lineRule="auto"/>
        <w:tabs>
          <w:tab w:leader="none" w:pos="1033"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58" w:lineRule="exact"/>
        <w:rPr>
          <w:rFonts w:ascii="Times New Roman" w:cs="Times New Roman" w:eastAsia="Times New Roman" w:hAnsi="Times New Roman"/>
          <w:sz w:val="17"/>
          <w:szCs w:val="17"/>
          <w:color w:val="auto"/>
        </w:rPr>
      </w:pPr>
    </w:p>
    <w:p>
      <w:pPr>
        <w:ind w:firstLine="768"/>
        <w:spacing w:after="0" w:line="275"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7"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provision of this Agreement will not affect the validity or enforceability of any other provision of this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99" w:lineRule="exact"/>
        <w:rPr>
          <w:rFonts w:ascii="Times New Roman" w:cs="Times New Roman" w:eastAsia="Times New Roman" w:hAnsi="Times New Roman"/>
          <w:sz w:val="18"/>
          <w:szCs w:val="18"/>
          <w:color w:val="auto"/>
        </w:rPr>
      </w:pPr>
    </w:p>
    <w:p>
      <w:pPr>
        <w:ind w:right="20" w:firstLine="768"/>
        <w:spacing w:after="0" w:line="275" w:lineRule="auto"/>
        <w:tabs>
          <w:tab w:leader="none" w:pos="102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99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the Company agree to execute such further instruments and to take such further action as may reasonably be necessary to carry out the intent of this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0" w:name="page61"/>
    <w:bookmarkEnd w:id="60"/>
    <w:p>
      <w:pPr>
        <w:jc w:val="both"/>
        <w:ind w:firstLine="768"/>
        <w:spacing w:after="0" w:line="252" w:lineRule="auto"/>
        <w:tabs>
          <w:tab w:leader="none" w:pos="101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Plan (a) constitute the entire agreement among the Employee and the 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9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178" w:lineRule="exact"/>
        <w:rPr>
          <w:sz w:val="20"/>
          <w:szCs w:val="20"/>
          <w:color w:val="auto"/>
        </w:rPr>
      </w:pPr>
    </w:p>
    <w:p>
      <w:pPr>
        <w:jc w:val="both"/>
        <w:ind w:firstLine="768"/>
        <w:spacing w:after="0" w:line="256" w:lineRule="auto"/>
        <w:tabs>
          <w:tab w:leader="none" w:pos="10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179"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Company’s policy on recoupment of performance-based bonuses, as amended from time to time (its “Clawback Policy”), will apply to the Restricted Stock Units, any shares of Common Stock delivered hereunder, and any profits realized on the sale of such shares to the extent that Employee is covered by the Clawback Policy. Employee acknowledges that if Employee is covered by such policy, the policy may result in the recoupment of Restricted Stock Units awarded, any shares of Common Stock delivered hereunder and profits realized on the sale of such shares either before, on or after the date on which Employee becomes subject to such policy.</w:t>
      </w:r>
    </w:p>
    <w:p>
      <w:pPr>
        <w:spacing w:after="0" w:line="184" w:lineRule="exact"/>
        <w:rPr>
          <w:rFonts w:ascii="Times New Roman" w:cs="Times New Roman" w:eastAsia="Times New Roman" w:hAnsi="Times New Roman"/>
          <w:sz w:val="18"/>
          <w:szCs w:val="18"/>
          <w:color w:val="auto"/>
        </w:rPr>
      </w:pPr>
    </w:p>
    <w:p>
      <w:pPr>
        <w:jc w:val="both"/>
        <w:ind w:firstLine="768"/>
        <w:spacing w:after="0" w:line="256" w:lineRule="auto"/>
        <w:tabs>
          <w:tab w:leader="none" w:pos="102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Award</w:t>
      </w:r>
      <w:r>
        <w:rPr>
          <w:rFonts w:ascii="Times New Roman" w:cs="Times New Roman" w:eastAsia="Times New Roman" w:hAnsi="Times New Roman"/>
          <w:sz w:val="18"/>
          <w:szCs w:val="18"/>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Restricted Stock Units (in which case such awards will be forfeited and Employee will have no further right or interest therein as of such date).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and Non-Solicitation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Definitions.</w:t>
      </w:r>
    </w:p>
    <w:p>
      <w:pPr>
        <w:spacing w:after="0" w:line="21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18"/>
          <w:szCs w:val="18"/>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2" w:name="page63"/>
    <w:bookmarkEnd w:id="62"/>
    <w:p>
      <w:pPr>
        <w:jc w:val="both"/>
        <w:ind w:firstLine="768"/>
        <w:spacing w:after="0" w:line="256" w:lineRule="auto"/>
        <w:tabs>
          <w:tab w:leader="none" w:pos="95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80"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94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86"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86" w:lineRule="exact"/>
        <w:rPr>
          <w:sz w:val="20"/>
          <w:szCs w:val="20"/>
          <w:color w:val="auto"/>
        </w:rPr>
      </w:pPr>
    </w:p>
    <w:p>
      <w:pPr>
        <w:jc w:val="both"/>
        <w:ind w:firstLine="768"/>
        <w:spacing w:after="0" w:line="266" w:lineRule="auto"/>
        <w:tabs>
          <w:tab w:leader="none" w:pos="106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7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3" w:name="page64"/>
    <w:bookmarkEnd w:id="63"/>
    <w:p>
      <w:pPr>
        <w:jc w:val="both"/>
        <w:ind w:firstLine="768"/>
        <w:spacing w:after="0" w:line="266" w:lineRule="auto"/>
        <w:tabs>
          <w:tab w:leader="none" w:pos="1043"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4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107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 by Employee, Company and its Affiliates will be entitled to: (i) recover from the Employee the value of any portion of the Award that has been paid or delivered; (ii) 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Each of the covenants in this Attachment I will be construed as an agreement independent of any other provision in this Attachment I, and the existence of any claim or cause of action of the Employee against the Company, whether predicated on this Attachment I or otherwise, will not constitute a defense to the </w:t>
      </w:r>
      <w:r>
        <w:rPr>
          <w:rFonts w:ascii="Times New Roman" w:cs="Times New Roman" w:eastAsia="Times New Roman" w:hAnsi="Times New Roman"/>
          <w:sz w:val="18"/>
          <w:szCs w:val="18"/>
          <w:i w:val="1"/>
          <w:iCs w:val="1"/>
          <w:color w:val="auto"/>
        </w:rPr>
        <w:t>enforcement by the Company of such covenants or provisions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 for violation of this Attachment I are not the exclusive remedies that Company may pursue.</w:t>
      </w:r>
    </w:p>
    <w:p>
      <w:pPr>
        <w:spacing w:after="0" w:line="164" w:lineRule="exact"/>
        <w:rPr>
          <w:sz w:val="20"/>
          <w:szCs w:val="20"/>
          <w:color w:val="auto"/>
        </w:rPr>
      </w:pPr>
    </w:p>
    <w:p>
      <w:pPr>
        <w:ind w:firstLine="768"/>
        <w:spacing w:after="0" w:line="275" w:lineRule="auto"/>
        <w:tabs>
          <w:tab w:leader="none" w:pos="1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4" w:name="page65"/>
    <w:bookmarkEnd w:id="64"/>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Employee is hereby notified that certain statutes in some U.S. states relate to ownership and assignment of inventions. At relevant locations and in accordance with those statutes, Company agrees that this Attachment 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85"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ind w:firstLine="768"/>
        <w:spacing w:after="0" w:line="275" w:lineRule="auto"/>
        <w:tabs>
          <w:tab w:leader="none" w:pos="10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any term of this Attachment I by Company will not operate as a waiver of any other term of this Attachment I. A failure to enforce any provision of this Attachment I will not operate as a waiver of Company’s right to enforce any other provision of this Attachment I.</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 or that otherwise may restrict Employee’s employment by Company or the performance of Employee’s duties for Company. Employee agrees not to enter into any agreement, whether oral or written, in conflict with this Attachment 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Attachment I may be enforced by, will inure to the benefit of, and be binding upon Company, its successors, and assigns. This Attachment I is binding upon Employee’s heirs and legal representatives.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Company, Employee agrees to the automatic application of all of the terms of this Attachment I to said Affiliate contemporaneously with the acceptance of such transfer, subject to subsequent agreements, if any, executed by Employee and Affiliate of Company or Company, and to the fullest extent allowed by law.</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Company regarding this Attachment I.</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10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Confidential Information, Intellectual Property and Non-Compete Agreement supersedes any previous agreement, oral or written, between Employee and Company relating to the subject matter thereof.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incorporates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contains assignment of all Company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82"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ectPr>
          <w:pgSz w:w="11900" w:h="16838" w:orient="portrait"/>
          <w:cols w:equalWidth="0" w:num="1">
            <w:col w:w="11420"/>
          </w:cols>
          <w:pgMar w:left="240" w:top="332"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18"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SCHLUMBERGER [</w:t>
      </w:r>
      <w:r>
        <w:rPr>
          <w:sz w:val="20"/>
          <w:szCs w:val="20"/>
          <w:color w:val="auto"/>
        </w:rPr>
        <w:tab/>
      </w:r>
      <w:r>
        <w:rPr>
          <w:rFonts w:ascii="Times New Roman" w:cs="Times New Roman" w:eastAsia="Times New Roman" w:hAnsi="Times New Roman"/>
          <w:sz w:val="17"/>
          <w:szCs w:val="17"/>
          <w:b w:val="1"/>
          <w:bCs w:val="1"/>
          <w:color w:val="auto"/>
        </w:rPr>
        <w:t>] OMNIBUS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Confidentiality, Intellectual Property, Non-Competition,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Non-Solicitation Provisions in Section 8 and Attachment 1)</w:t>
      </w:r>
    </w:p>
    <w:p>
      <w:pPr>
        <w:spacing w:after="0" w:line="197" w:lineRule="exact"/>
        <w:rPr>
          <w:sz w:val="20"/>
          <w:szCs w:val="20"/>
          <w:color w:val="auto"/>
        </w:rPr>
      </w:pPr>
    </w:p>
    <w:p>
      <w:pPr>
        <w:ind w:left="484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Effective Date: [</w:t>
      </w:r>
      <w:r>
        <w:rPr>
          <w:sz w:val="20"/>
          <w:szCs w:val="20"/>
          <w:color w:val="auto"/>
        </w:rPr>
        <w:tab/>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Please note: </w:t>
      </w:r>
      <w:r>
        <w:rPr>
          <w:rFonts w:ascii="Times New Roman" w:cs="Times New Roman" w:eastAsia="Times New Roman" w:hAnsi="Times New Roman"/>
          <w:sz w:val="18"/>
          <w:szCs w:val="18"/>
          <w:i w:val="1"/>
          <w:iCs w:val="1"/>
          <w:color w:val="auto"/>
        </w:rPr>
        <w:t>If you do not wish to accept this Stock Option Agreement, you must notify the Stock Department no later than 30 days after this Agreement is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available to you.</w:t>
      </w:r>
    </w:p>
    <w:p>
      <w:pPr>
        <w:spacing w:after="0" w:line="161"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SCHLUMBERGER LIMITED, a Curaçao corporation (the “Company”), hereby grants to the employee named in the Notice of Grant of Award (“Employee”)a non-qualified stock option (the “Non-Qualified Option”) to purchase common stock of the Company, par value $0.01 per share (“Common Stock”) pursuant to this option agreement (as may be amended, the “Agreement”). Your Non-Qualified Option is subject to all the terms and conditions of the</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 ] Omnibus Stock Incentive Plan, as may be amended (the “Plan”) and this Agreement. Your Non-Qualified Option is not intended to constitute an “incentive stock option” under Section 422 of the U.S. Internal Revenue Code of 1986 and the Treasury Regulations promulgated thereunder.</w:t>
      </w:r>
    </w:p>
    <w:p>
      <w:pPr>
        <w:spacing w:after="0" w:line="182" w:lineRule="exact"/>
        <w:rPr>
          <w:sz w:val="20"/>
          <w:szCs w:val="20"/>
          <w:color w:val="auto"/>
        </w:rPr>
      </w:pPr>
    </w:p>
    <w:p>
      <w:pPr>
        <w:jc w:val="both"/>
        <w:ind w:firstLine="768"/>
        <w:spacing w:after="0" w:line="260" w:lineRule="auto"/>
        <w:tabs>
          <w:tab w:leader="none" w:pos="93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date of grant of this Non-Qualified Option (the “Grant Date”), the Non-Qualified Option exercise price and the number of shares of Common Stock subject to this Non-Qualified Option (collectively, the “Option Shares”) are set forth in the Notice of Grant of Award. Except as set forth below, this Non-Qualified Option expires on the tenth anniversary of the Grant Date.</w:t>
      </w:r>
    </w:p>
    <w:p>
      <w:pPr>
        <w:spacing w:after="0" w:line="177"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Non-Qualified Option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768"/>
        <w:spacing w:after="0" w:line="275" w:lineRule="auto"/>
        <w:tabs>
          <w:tab w:leader="none" w:pos="10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2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 SHARES EXERCISABLE</w:t>
            </w:r>
          </w:p>
        </w:tc>
      </w:tr>
      <w:tr>
        <w:trPr>
          <w:trHeight w:val="188"/>
        </w:trPr>
        <w:tc>
          <w:tcPr>
            <w:tcW w:w="20" w:type="dxa"/>
            <w:vAlign w:val="bottom"/>
          </w:tcPr>
          <w:p>
            <w:pPr>
              <w:spacing w:after="0"/>
              <w:rPr>
                <w:sz w:val="16"/>
                <w:szCs w:val="16"/>
                <w:color w:val="auto"/>
              </w:rPr>
            </w:pPr>
          </w:p>
        </w:tc>
        <w:tc>
          <w:tcPr>
            <w:tcW w:w="31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1st Anniversary of the Grant Date</w:t>
            </w:r>
          </w:p>
        </w:tc>
        <w:tc>
          <w:tcPr>
            <w:tcW w:w="8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2nd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3rd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4th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3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5th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193" w:lineRule="exact"/>
        <w:rPr>
          <w:sz w:val="20"/>
          <w:szCs w:val="20"/>
          <w:color w:val="auto"/>
        </w:rPr>
      </w:pPr>
    </w:p>
    <w:p>
      <w:pPr>
        <w:jc w:val="both"/>
        <w:ind w:firstLine="768"/>
        <w:spacing w:after="0" w:line="256" w:lineRule="auto"/>
        <w:tabs>
          <w:tab w:leader="none" w:pos="101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keeping with the Company’s general policy, the terms of this Agreement, including the vesting schedules, are put in place in certain countries to comply with local regulations. The vesting schedule above, and therefore your ability to exercise your Non-Qualified Option at certain times and certain other terms of the Non-Qualified Option, may change if you move from one country to another. Currently, the Company has in place a sub-plan for France that governs stock options issued to grantees residing in France or who are on a French payroll.</w:t>
      </w:r>
    </w:p>
    <w:p>
      <w:pPr>
        <w:spacing w:after="0" w:line="180" w:lineRule="exact"/>
        <w:rPr>
          <w:sz w:val="20"/>
          <w:szCs w:val="20"/>
          <w:color w:val="auto"/>
        </w:rPr>
      </w:pPr>
    </w:p>
    <w:p>
      <w:pPr>
        <w:ind w:left="940" w:hanging="172"/>
        <w:spacing w:after="0"/>
        <w:tabs>
          <w:tab w:leader="none" w:pos="9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Non-Qualified Option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51" w:lineRule="auto"/>
        <w:tabs>
          <w:tab w:leader="none" w:pos="10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Non-Qualified Option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Non-Qualified Option price may be paid, subject to such rules and procedures in effect at such time and as the Committee may prescribe from time to time, (i) in cash or certified check, (ii) by the delivery of shares of Common Stock with a Fair Market Value at the time of exercise equal to the total Non-Qualified Option price, (iii) by a combination of the methods described in (i) and (ii), and (iv) subject to applicable law, and the Company’s Securities Transactions – Insider Trading Standard through a broker-assisted cashless exercise, or “sell-to-cover” arrangement in accordance with the procedures approved by the Committee.</w:t>
      </w:r>
    </w:p>
    <w:p>
      <w:pPr>
        <w:spacing w:after="0" w:line="185"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Company’s Stock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Department website.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7" w:name="page68"/>
    <w:bookmarkEnd w:id="67"/>
    <w:p>
      <w:pPr>
        <w:ind w:right="20" w:firstLine="768"/>
        <w:spacing w:after="0" w:line="275" w:lineRule="auto"/>
        <w:tabs>
          <w:tab w:leader="none" w:pos="9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This Non-Qualified Option will expire earlier than the date set forth above if you terminate employment with the Company and its Subsidiaries.</w:t>
      </w:r>
    </w:p>
    <w:p>
      <w:pPr>
        <w:spacing w:after="0" w:line="164" w:lineRule="exact"/>
        <w:rPr>
          <w:sz w:val="20"/>
          <w:szCs w:val="20"/>
          <w:color w:val="auto"/>
        </w:rPr>
      </w:pPr>
    </w:p>
    <w:p>
      <w:pPr>
        <w:jc w:val="both"/>
        <w:ind w:firstLine="768"/>
        <w:spacing w:after="0" w:line="256" w:lineRule="auto"/>
        <w:tabs>
          <w:tab w:leader="none" w:pos="10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 Company Consent</w:t>
      </w:r>
      <w:r>
        <w:rPr>
          <w:rFonts w:ascii="Times New Roman" w:cs="Times New Roman" w:eastAsia="Times New Roman" w:hAnsi="Times New Roman"/>
          <w:sz w:val="18"/>
          <w:szCs w:val="18"/>
          <w:color w:val="auto"/>
        </w:rPr>
        <w:t>.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79" w:lineRule="exact"/>
        <w:rPr>
          <w:rFonts w:ascii="Times New Roman" w:cs="Times New Roman" w:eastAsia="Times New Roman" w:hAnsi="Times New Roman"/>
          <w:sz w:val="18"/>
          <w:szCs w:val="18"/>
          <w:color w:val="auto"/>
        </w:rPr>
      </w:pPr>
    </w:p>
    <w:p>
      <w:pPr>
        <w:jc w:val="both"/>
        <w:ind w:firstLine="768"/>
        <w:spacing w:after="0" w:line="256" w:lineRule="auto"/>
        <w:tabs>
          <w:tab w:leader="none" w:pos="10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If your employment with the Company and its Subsidiaries is terminated due to Retirement (as defined in Section 11 below), your Non-Qualified Option will, subject to forfeiture provisions in the event you engage in Detrimental Activity (as defined in Section 11 below): (i) continue to vest post-Retirement as if you remained employed with the Company and its Subsidiaries and (ii) have an exercise period of 10 years from the original date of grant (the “Retirement Exercise Period”).</w:t>
      </w:r>
    </w:p>
    <w:p>
      <w:pPr>
        <w:spacing w:after="0" w:line="179" w:lineRule="exact"/>
        <w:rPr>
          <w:rFonts w:ascii="Times New Roman" w:cs="Times New Roman" w:eastAsia="Times New Roman" w:hAnsi="Times New Roman"/>
          <w:sz w:val="18"/>
          <w:szCs w:val="18"/>
          <w:color w:val="auto"/>
        </w:rPr>
      </w:pPr>
    </w:p>
    <w:p>
      <w:pPr>
        <w:jc w:val="both"/>
        <w:ind w:firstLine="768"/>
        <w:spacing w:after="0" w:line="256" w:lineRule="auto"/>
        <w:tabs>
          <w:tab w:leader="none" w:pos="10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Retirement</w:t>
      </w:r>
      <w:r>
        <w:rPr>
          <w:rFonts w:ascii="Times New Roman" w:cs="Times New Roman" w:eastAsia="Times New Roman" w:hAnsi="Times New Roman"/>
          <w:sz w:val="18"/>
          <w:szCs w:val="18"/>
          <w:color w:val="auto"/>
        </w:rPr>
        <w:t>. If your employment with the Company and its Subsidiaries is terminated due to Special Retirement (as defined in Section 11 below), your Non-Qualified Option will be exercisable at any time during the period of sixty (60) months after such termination or the remainder of the term of the Non-Qualified Option, whichever is less (the “Special Retirement Exercise Period”), provided that such option may be exercised after such termination and before expiration only to the extent that it is exercisable on the date of such termination.</w:t>
      </w:r>
    </w:p>
    <w:p>
      <w:pPr>
        <w:spacing w:after="0" w:line="180" w:lineRule="exact"/>
        <w:rPr>
          <w:rFonts w:ascii="Times New Roman" w:cs="Times New Roman" w:eastAsia="Times New Roman" w:hAnsi="Times New Roman"/>
          <w:sz w:val="18"/>
          <w:szCs w:val="18"/>
          <w:color w:val="auto"/>
        </w:rPr>
      </w:pPr>
    </w:p>
    <w:p>
      <w:pPr>
        <w:jc w:val="both"/>
        <w:ind w:firstLine="768"/>
        <w:spacing w:after="0" w:line="250" w:lineRule="auto"/>
        <w:tabs>
          <w:tab w:leader="none" w:pos="101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your employment with the Company and its Subsidiaries is terminated due to death or Disability (as defined in Section 11 below), your Non-Qualified Option will automatically become fully vested and exercisable. You may exercise the outstanding Non-Qualified Option at any time during the period of 60 months after such termination or the remainder of the term of the Non-Qualified Option, whichever is less (the “Disability Exercise Period” or “Death Exercise Period”, as applicable). In the event that you die while employed with the Company or any Subsidiary or during the Special Retirement Exercise Period, the Retirement Exercise Period or the Disability Exercise Period, your Non-Qualified Option may be exercised only by the person or persons entitled thereto under your will or under the laws of descent and distribution to the extent exercisable by you on the date of your death and to the extent the term of the Non-Qualified Option has not expired within such Special Retirement Exercise Period, the Retirement Exercise Period or Disability Exercise Period, as applicable.</w:t>
      </w:r>
    </w:p>
    <w:p>
      <w:pPr>
        <w:spacing w:after="0" w:line="188" w:lineRule="exact"/>
        <w:rPr>
          <w:rFonts w:ascii="Times New Roman" w:cs="Times New Roman" w:eastAsia="Times New Roman" w:hAnsi="Times New Roman"/>
          <w:sz w:val="18"/>
          <w:szCs w:val="18"/>
          <w:color w:val="auto"/>
        </w:rPr>
      </w:pPr>
    </w:p>
    <w:p>
      <w:pPr>
        <w:jc w:val="both"/>
        <w:ind w:firstLine="768"/>
        <w:spacing w:after="0" w:line="260" w:lineRule="auto"/>
        <w:tabs>
          <w:tab w:leader="none" w:pos="10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or Misconduct; Without Consent</w:t>
      </w:r>
      <w:r>
        <w:rPr>
          <w:rFonts w:ascii="Times New Roman" w:cs="Times New Roman" w:eastAsia="Times New Roman" w:hAnsi="Times New Roman"/>
          <w:sz w:val="18"/>
          <w:szCs w:val="18"/>
          <w:color w:val="auto"/>
        </w:rPr>
        <w:t>. If termination of your employment with the Company and its Subsidiaries is because of breach of your employment contract, if any, or your misconduct, this Non-Qualified Option will immediately and automatically expire and terminate. Termination of your employment without consent of the Company or a Subsidiary, as applicable, will cause your Non-Qualified Option to expire immediately.</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10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This Non-Qualified Option may be forfeited, and any exercise you have made of this Non-Qualified Option may be rescinded, as further described below, if you engage in certain Detrimental Activity (as defined in Section 11 below). Specifically, if you engage in Detrimental Activity while employed with the Company or its Subsidiaries or within one year following termination of employment for any reason other than Retirement, Special Retirement or Disability, this Non-Qualified Option will immediately and automatically expire and terminate and the Committee may rescind any exercise that you made under this option within six months preceding or three months following your termination.</w:t>
      </w:r>
    </w:p>
    <w:p>
      <w:pPr>
        <w:spacing w:after="0" w:line="185" w:lineRule="exact"/>
        <w:rPr>
          <w:sz w:val="20"/>
          <w:szCs w:val="20"/>
          <w:color w:val="auto"/>
        </w:rPr>
      </w:pPr>
    </w:p>
    <w:p>
      <w:pPr>
        <w:jc w:val="both"/>
        <w:ind w:firstLine="761"/>
        <w:spacing w:after="0" w:line="256" w:lineRule="auto"/>
        <w:rPr>
          <w:sz w:val="20"/>
          <w:szCs w:val="20"/>
          <w:color w:val="auto"/>
        </w:rPr>
      </w:pPr>
      <w:r>
        <w:rPr>
          <w:rFonts w:ascii="Times New Roman" w:cs="Times New Roman" w:eastAsia="Times New Roman" w:hAnsi="Times New Roman"/>
          <w:sz w:val="18"/>
          <w:szCs w:val="18"/>
          <w:color w:val="auto"/>
        </w:rPr>
        <w:t>If you engage in Detrimental Activity while employed with the Company or its Subsidiaries or within five years following termination of employment by reason of Special Retirement or Disability, this Non-Qualified Option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0" w:lineRule="exact"/>
        <w:rPr>
          <w:sz w:val="20"/>
          <w:szCs w:val="20"/>
          <w:color w:val="auto"/>
        </w:rPr>
      </w:pPr>
    </w:p>
    <w:p>
      <w:pPr>
        <w:jc w:val="both"/>
        <w:ind w:firstLine="761"/>
        <w:spacing w:after="0" w:line="251" w:lineRule="auto"/>
        <w:rPr>
          <w:sz w:val="20"/>
          <w:szCs w:val="20"/>
          <w:color w:val="auto"/>
        </w:rPr>
      </w:pPr>
      <w:r>
        <w:rPr>
          <w:rFonts w:ascii="Times New Roman" w:cs="Times New Roman" w:eastAsia="Times New Roman" w:hAnsi="Times New Roman"/>
          <w:sz w:val="18"/>
          <w:szCs w:val="18"/>
          <w:color w:val="auto"/>
        </w:rPr>
        <w:t>If you engage in Detrimental Activity while employed with the Company or its Subsidiaries or within your Retirement Exercise Period, this Non-Qualified Option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86" w:lineRule="exact"/>
        <w:rPr>
          <w:sz w:val="20"/>
          <w:szCs w:val="20"/>
          <w:color w:val="auto"/>
        </w:rPr>
      </w:pPr>
    </w:p>
    <w:p>
      <w:pPr>
        <w:ind w:right="20" w:firstLine="768"/>
        <w:spacing w:after="0" w:line="275" w:lineRule="auto"/>
        <w:tabs>
          <w:tab w:leader="none" w:pos="9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Imposed by Law</w:t>
      </w:r>
      <w:r>
        <w:rPr>
          <w:rFonts w:ascii="Times New Roman" w:cs="Times New Roman" w:eastAsia="Times New Roman" w:hAnsi="Times New Roman"/>
          <w:sz w:val="18"/>
          <w:szCs w:val="18"/>
          <w:color w:val="auto"/>
        </w:rPr>
        <w:t>. As contemplated by the Plan, you may not exercise your Non-Qualified Option or any portion thereof, and no obligation exists to issue or release shares of Common Stock or accept an exercise of this Non-Qualified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8" w:name="page69"/>
    <w:bookmarkEnd w:id="68"/>
    <w:p>
      <w:pPr>
        <w:spacing w:after="0" w:line="275" w:lineRule="auto"/>
        <w:rPr>
          <w:sz w:val="20"/>
          <w:szCs w:val="20"/>
          <w:color w:val="auto"/>
        </w:rPr>
      </w:pPr>
      <w:r>
        <w:rPr>
          <w:rFonts w:ascii="Times New Roman" w:cs="Times New Roman" w:eastAsia="Times New Roman" w:hAnsi="Times New Roman"/>
          <w:sz w:val="18"/>
          <w:szCs w:val="18"/>
          <w:color w:val="auto"/>
        </w:rPr>
        <w:t>Option, if the issuance or release of shares or the acceptance of the Non-Qualified Option exercise by the Company or a Subsidiary constitutes a violation of any governmental law or regulation.</w:t>
      </w:r>
    </w:p>
    <w:p>
      <w:pPr>
        <w:spacing w:after="0" w:line="164" w:lineRule="exact"/>
        <w:rPr>
          <w:sz w:val="20"/>
          <w:szCs w:val="20"/>
          <w:color w:val="auto"/>
        </w:rPr>
      </w:pPr>
    </w:p>
    <w:p>
      <w:pPr>
        <w:ind w:firstLine="768"/>
        <w:spacing w:after="0" w:line="275" w:lineRule="auto"/>
        <w:tabs>
          <w:tab w:leader="none" w:pos="9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Non-Qualified Option is not transferable or assignable except by will or laws of descent and distribution and then only to the extent exercisable at death.</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175" w:lineRule="exact"/>
        <w:rPr>
          <w:rFonts w:ascii="Times New Roman" w:cs="Times New Roman" w:eastAsia="Times New Roman" w:hAnsi="Times New Roman"/>
          <w:sz w:val="18"/>
          <w:szCs w:val="18"/>
          <w:color w:val="auto"/>
        </w:rPr>
      </w:pPr>
    </w:p>
    <w:p>
      <w:pPr>
        <w:jc w:val="both"/>
        <w:ind w:firstLine="768"/>
        <w:spacing w:after="0" w:line="254" w:lineRule="auto"/>
        <w:tabs>
          <w:tab w:leader="none" w:pos="9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Confidential Information, Intellectual Property and Noncompetition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Employee acknowledges that Employee is in possession of and has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9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Future Awards</w:t>
      </w:r>
      <w:r>
        <w:rPr>
          <w:rFonts w:ascii="Times New Roman" w:cs="Times New Roman" w:eastAsia="Times New Roman" w:hAnsi="Times New Roman"/>
          <w:sz w:val="18"/>
          <w:szCs w:val="18"/>
          <w:color w:val="auto"/>
        </w:rPr>
        <w:t>. The grant of this Non-Qualified Option is subject to the terms of the Plan, which is discretionary in nature, and the terms of this Agreement. The grant of this Non-Qualified Option is a one-time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long-service awards, pension or retirement benefits or similar payments. The vesting of this Non-Qualified Option ceases upon termination of employment for any reason except as otherwise explicitly provided in this Agreement.</w:t>
      </w:r>
    </w:p>
    <w:p>
      <w:pPr>
        <w:spacing w:after="0" w:line="185"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4"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00" w:hanging="232"/>
        <w:spacing w:after="0"/>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is defined in Section 3(a).</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is defined in Section 12.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is defined in Section 3(a).</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is defined in the introduction.</w:t>
      </w:r>
    </w:p>
    <w:p>
      <w:pPr>
        <w:spacing w:after="0" w:line="218"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Schlumberger Limited.</w:t>
      </w:r>
    </w:p>
    <w:p>
      <w:pPr>
        <w:spacing w:after="0" w:line="218" w:lineRule="exact"/>
        <w:rPr>
          <w:rFonts w:ascii="Times New Roman" w:cs="Times New Roman" w:eastAsia="Times New Roman" w:hAnsi="Times New Roman"/>
          <w:sz w:val="18"/>
          <w:szCs w:val="18"/>
          <w:color w:val="auto"/>
        </w:rPr>
      </w:pPr>
    </w:p>
    <w:p>
      <w:pPr>
        <w:jc w:val="both"/>
        <w:ind w:firstLine="768"/>
        <w:spacing w:after="0" w:line="268" w:lineRule="auto"/>
        <w:tabs>
          <w:tab w:leader="none" w:pos="101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w:t>
      </w:r>
    </w:p>
    <w:p>
      <w:pPr>
        <w:spacing w:after="0" w:line="2" w:lineRule="exact"/>
        <w:rPr>
          <w:rFonts w:ascii="Times New Roman" w:cs="Times New Roman" w:eastAsia="Times New Roman" w:hAnsi="Times New Roman"/>
          <w:sz w:val="17"/>
          <w:szCs w:val="17"/>
          <w:color w:val="auto"/>
        </w:rPr>
      </w:pPr>
    </w:p>
    <w:p>
      <w:pPr>
        <w:jc w:val="both"/>
        <w:ind w:firstLine="6"/>
        <w:spacing w:after="0" w:line="247" w:lineRule="auto"/>
        <w:tabs>
          <w:tab w:leader="none" w:pos="3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 or entice away or cause to be canvassed, solicited, approached or enticed away from the Company or its Subsidiaries any person who</w:t>
      </w:r>
    </w:p>
    <w:p>
      <w:pPr>
        <w:spacing w:after="0" w:line="18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80" w:lineRule="exact"/>
        <w:rPr>
          <w:sz w:val="20"/>
          <w:szCs w:val="20"/>
          <w:color w:val="auto"/>
        </w:rPr>
      </w:pPr>
    </w:p>
    <w:p>
      <w:pPr>
        <w:jc w:val="both"/>
        <w:ind w:firstLine="768"/>
        <w:spacing w:after="0" w:line="256" w:lineRule="auto"/>
        <w:tabs>
          <w:tab w:leader="none" w:pos="10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9"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Exercise Period” is defined in Section 4(d).</w:t>
      </w:r>
    </w:p>
    <w:p>
      <w:pPr>
        <w:spacing w:after="0" w:line="218" w:lineRule="exact"/>
        <w:rPr>
          <w:rFonts w:ascii="Times New Roman" w:cs="Times New Roman" w:eastAsia="Times New Roman" w:hAnsi="Times New Roman"/>
          <w:sz w:val="18"/>
          <w:szCs w:val="18"/>
          <w:color w:val="auto"/>
        </w:rPr>
      </w:pPr>
    </w:p>
    <w:p>
      <w:pPr>
        <w:ind w:firstLine="768"/>
        <w:spacing w:after="0" w:line="305" w:lineRule="auto"/>
        <w:tabs>
          <w:tab w:leader="none" w:pos="99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41" w:lineRule="exact"/>
        <w:rPr>
          <w:rFonts w:ascii="Times New Roman" w:cs="Times New Roman" w:eastAsia="Times New Roman" w:hAnsi="Times New Roman"/>
          <w:sz w:val="17"/>
          <w:szCs w:val="17"/>
          <w:color w:val="auto"/>
        </w:rPr>
      </w:pPr>
    </w:p>
    <w:p>
      <w:pPr>
        <w:ind w:left="1020" w:hanging="252"/>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Exercise Period” is defined in Section 4(d).</w:t>
      </w:r>
    </w:p>
    <w:p>
      <w:pPr>
        <w:spacing w:after="0" w:line="218" w:lineRule="exact"/>
        <w:rPr>
          <w:rFonts w:ascii="Times New Roman" w:cs="Times New Roman" w:eastAsia="Times New Roman" w:hAnsi="Times New Roman"/>
          <w:sz w:val="18"/>
          <w:szCs w:val="18"/>
          <w:color w:val="auto"/>
        </w:rPr>
      </w:pPr>
    </w:p>
    <w:p>
      <w:pPr>
        <w:jc w:val="both"/>
        <w:ind w:firstLine="768"/>
        <w:spacing w:after="0" w:line="256" w:lineRule="auto"/>
        <w:tabs>
          <w:tab w:leader="none" w:pos="9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Shares”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52" w:lineRule="auto"/>
        <w:tabs>
          <w:tab w:leader="none" w:pos="10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Exercise Period” is defined in Section 4(b).</w:t>
      </w:r>
    </w:p>
    <w:p>
      <w:pPr>
        <w:spacing w:after="0" w:line="218" w:lineRule="exact"/>
        <w:rPr>
          <w:rFonts w:ascii="Times New Roman" w:cs="Times New Roman" w:eastAsia="Times New Roman" w:hAnsi="Times New Roman"/>
          <w:sz w:val="18"/>
          <w:szCs w:val="18"/>
          <w:color w:val="auto"/>
        </w:rPr>
      </w:pPr>
    </w:p>
    <w:p>
      <w:pPr>
        <w:ind w:firstLine="768"/>
        <w:spacing w:after="0" w:line="275" w:lineRule="auto"/>
        <w:tabs>
          <w:tab w:leader="none" w:pos="9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means termination of your employment with the Company and all Subsidiaries at or after (i) age 55 or (ii) age 50 and completion of at least 10 years of service with the Company and all Subsidiaries.</w:t>
      </w:r>
    </w:p>
    <w:p>
      <w:pPr>
        <w:spacing w:after="0" w:line="163"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Exercise Period” is defined in Section 4(c).</w:t>
      </w:r>
    </w:p>
    <w:p>
      <w:pPr>
        <w:spacing w:after="0" w:line="218"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8" w:lineRule="exact"/>
        <w:rPr>
          <w:sz w:val="20"/>
          <w:szCs w:val="20"/>
          <w:color w:val="auto"/>
        </w:rPr>
      </w:pPr>
    </w:p>
    <w:p>
      <w:pPr>
        <w:ind w:firstLine="768"/>
        <w:spacing w:after="0" w:line="275" w:lineRule="auto"/>
        <w:tabs>
          <w:tab w:leader="none" w:pos="10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Company’s policy on recoupment of performance-based bonuses, as amended from time to time (its “Clawback Policy”), will apply to the Non-Qualified Option, any shares of Common Stock delivered hereunder, and any profits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0" w:name="page71"/>
    <w:bookmarkEnd w:id="70"/>
    <w:p>
      <w:pPr>
        <w:jc w:val="both"/>
        <w:spacing w:after="0" w:line="260" w:lineRule="auto"/>
        <w:rPr>
          <w:sz w:val="20"/>
          <w:szCs w:val="20"/>
          <w:color w:val="auto"/>
        </w:rPr>
      </w:pPr>
      <w:r>
        <w:rPr>
          <w:rFonts w:ascii="Times New Roman" w:cs="Times New Roman" w:eastAsia="Times New Roman" w:hAnsi="Times New Roman"/>
          <w:sz w:val="18"/>
          <w:szCs w:val="18"/>
          <w:color w:val="auto"/>
        </w:rPr>
        <w:t>realized on the sale of such shares to the extent that you are covered by the Clawback Policy. You acknowledge that if you are covered by such policy, the policy may result in the recoupment of the Non-Qualified Option, any shares of Common Stock delivered hereunder and profits realized on the sale of such shares either before, on or after the date on which you become subject to such policy.</w:t>
      </w:r>
    </w:p>
    <w:p>
      <w:pPr>
        <w:spacing w:after="0" w:line="178" w:lineRule="exact"/>
        <w:rPr>
          <w:sz w:val="20"/>
          <w:szCs w:val="20"/>
          <w:color w:val="auto"/>
        </w:rPr>
      </w:pPr>
    </w:p>
    <w:p>
      <w:pPr>
        <w:ind w:firstLine="768"/>
        <w:spacing w:after="0" w:line="275" w:lineRule="auto"/>
        <w:tabs>
          <w:tab w:leader="none" w:pos="10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More Information</w:t>
      </w:r>
      <w:r>
        <w:rPr>
          <w:rFonts w:ascii="Times New Roman" w:cs="Times New Roman" w:eastAsia="Times New Roman" w:hAnsi="Times New Roman"/>
          <w:sz w:val="18"/>
          <w:szCs w:val="18"/>
          <w:color w:val="auto"/>
        </w:rPr>
        <w:t>. The Plan and prospectus are both available on-line at www.myshares.slb.com. A paper copy of the Plan and prospectus may be obtained by contacting the Stock Options Department, Schlumberger Limited, 5599 San Felipe, 17th Floor, Houston, Texas 77056.</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and Non-Solicitation Agreement</w:t>
      </w:r>
    </w:p>
    <w:p>
      <w:pPr>
        <w:spacing w:after="0" w:line="199" w:lineRule="exact"/>
        <w:rPr>
          <w:sz w:val="20"/>
          <w:szCs w:val="20"/>
          <w:color w:val="auto"/>
        </w:rPr>
      </w:pPr>
    </w:p>
    <w:p>
      <w:pPr>
        <w:ind w:left="940" w:hanging="172"/>
        <w:spacing w:after="0"/>
        <w:tabs>
          <w:tab w:leader="none" w:pos="9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18"/>
          <w:szCs w:val="18"/>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2" w:name="page73"/>
    <w:bookmarkEnd w:id="72"/>
    <w:p>
      <w:pPr>
        <w:jc w:val="both"/>
        <w:ind w:firstLine="768"/>
        <w:spacing w:after="0" w:line="256" w:lineRule="auto"/>
        <w:tabs>
          <w:tab w:leader="none" w:pos="95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80"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9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86"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86" w:lineRule="exact"/>
        <w:rPr>
          <w:sz w:val="20"/>
          <w:szCs w:val="20"/>
          <w:color w:val="auto"/>
        </w:rPr>
      </w:pPr>
    </w:p>
    <w:p>
      <w:pPr>
        <w:jc w:val="both"/>
        <w:ind w:firstLine="768"/>
        <w:spacing w:after="0" w:line="266" w:lineRule="auto"/>
        <w:tabs>
          <w:tab w:leader="none" w:pos="106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7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3" w:name="page74"/>
    <w:bookmarkEnd w:id="73"/>
    <w:p>
      <w:pPr>
        <w:jc w:val="both"/>
        <w:ind w:firstLine="768"/>
        <w:spacing w:after="0" w:line="266" w:lineRule="auto"/>
        <w:tabs>
          <w:tab w:leader="none" w:pos="1043"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4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107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 by Employee, Company and its Affiliates will be entitled to: </w:t>
      </w:r>
      <w:r>
        <w:rPr>
          <w:rFonts w:ascii="Times New Roman" w:cs="Times New Roman" w:eastAsia="Times New Roman" w:hAnsi="Times New Roman"/>
          <w:sz w:val="18"/>
          <w:szCs w:val="18"/>
          <w:b w:val="1"/>
          <w:bCs w:val="1"/>
          <w:color w:val="auto"/>
        </w:rPr>
        <w:t>(i) recover from the Employee the value of any portion of the Award that has been paid or delivered;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1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Each of the covenants in this Attachment I will be construed as an agreement independent of any other provision in this Attachment I, and the existence of any claim or cause of action of the Employee against the Company, whether predicated on this Attachment I or otherwise, will not constitute a defense to the </w:t>
      </w:r>
      <w:r>
        <w:rPr>
          <w:rFonts w:ascii="Times New Roman" w:cs="Times New Roman" w:eastAsia="Times New Roman" w:hAnsi="Times New Roman"/>
          <w:sz w:val="18"/>
          <w:szCs w:val="18"/>
          <w:i w:val="1"/>
          <w:iCs w:val="1"/>
          <w:color w:val="auto"/>
        </w:rPr>
        <w:t>enforcement by the Company of such covenants or provisions.</w:t>
      </w:r>
    </w:p>
    <w:p>
      <w:pPr>
        <w:spacing w:after="0" w:line="17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 for violation of this Attachment I are not the exclusive remedies that Company may pursue.</w:t>
      </w:r>
    </w:p>
    <w:p>
      <w:pPr>
        <w:spacing w:after="0" w:line="164" w:lineRule="exact"/>
        <w:rPr>
          <w:sz w:val="20"/>
          <w:szCs w:val="20"/>
          <w:color w:val="auto"/>
        </w:rPr>
      </w:pPr>
    </w:p>
    <w:p>
      <w:pPr>
        <w:ind w:firstLine="768"/>
        <w:spacing w:after="0" w:line="275" w:lineRule="auto"/>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4" w:name="page75"/>
    <w:bookmarkEnd w:id="74"/>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Employee is hereby notified that certain statutes in some U.S. states relate to ownership and assignment of inventions. At relevant locations and in accordance with those statutes, Company agrees that this Attachment 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85"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ind w:firstLine="768"/>
        <w:spacing w:after="0" w:line="275" w:lineRule="auto"/>
        <w:tabs>
          <w:tab w:leader="none" w:pos="10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any term of this Attachment I by Company will not operate as a waiver of any other term of this Attachment I. A failure to enforce any provision of this Attachment I will not operate as a waiver of Company’s right to enforce any other provision of this Attachment I.</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 or that otherwise may restrict Employee’s employment by Company or the performance of Employee’s duties for Company. Employee agrees not to enter into any agreement, whether oral or written, in conflict with this Attachment 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3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Attachment I may be enforced by, will inure to the benefit of, and be binding upon Company, its successors, and assigns. This Attachment I is binding upon Employee’s heirs and legal representatives.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Company, Employee agrees to the automatic application of all of the terms of this Attachment I to said Affiliate contemporaneously with the acceptance of such transfer, subject to subsequent agreements, if any, executed by Employee and Affiliate of Company or Company, and to the fullest extent allowed by law.</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Company regarding this Attachment I.</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103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Confidential Information, Intellectual Property and Non-Compete Agreement supersedes any previous agreement, oral or written, between Employee and Company relating to the subject matter thereof.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incorporates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contains assignment of all Company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82"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ectPr>
          <w:pgSz w:w="11900" w:h="16838" w:orient="portrait"/>
          <w:cols w:equalWidth="0" w:num="1">
            <w:col w:w="11420"/>
          </w:cols>
          <w:pgMar w:left="240" w:top="332"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18" w:lineRule="exact"/>
        <w:rPr>
          <w:sz w:val="20"/>
          <w:szCs w:val="20"/>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SCHLUMBERGER [</w:t>
      </w:r>
      <w:r>
        <w:rPr>
          <w:sz w:val="20"/>
          <w:szCs w:val="20"/>
          <w:color w:val="auto"/>
        </w:rPr>
        <w:tab/>
      </w:r>
      <w:r>
        <w:rPr>
          <w:rFonts w:ascii="Times New Roman" w:cs="Times New Roman" w:eastAsia="Times New Roman" w:hAnsi="Times New Roman"/>
          <w:sz w:val="17"/>
          <w:szCs w:val="17"/>
          <w:b w:val="1"/>
          <w:bCs w:val="1"/>
          <w:color w:val="auto"/>
        </w:rPr>
        <w:t>] OMNIBUS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Confidentiality, Intellectual Property, Non-Competition,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Non-Solicitation Provisions in Section 8 and Attachment 1)</w:t>
      </w:r>
    </w:p>
    <w:p>
      <w:pPr>
        <w:spacing w:after="0" w:line="197" w:lineRule="exact"/>
        <w:rPr>
          <w:sz w:val="20"/>
          <w:szCs w:val="20"/>
          <w:color w:val="auto"/>
        </w:rPr>
      </w:pPr>
    </w:p>
    <w:p>
      <w:pPr>
        <w:ind w:left="482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Effective Date: [</w:t>
      </w:r>
      <w:r>
        <w:rPr>
          <w:sz w:val="20"/>
          <w:szCs w:val="20"/>
          <w:color w:val="auto"/>
        </w:rPr>
        <w:tab/>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Please note: </w:t>
      </w:r>
      <w:r>
        <w:rPr>
          <w:rFonts w:ascii="Times New Roman" w:cs="Times New Roman" w:eastAsia="Times New Roman" w:hAnsi="Times New Roman"/>
          <w:sz w:val="18"/>
          <w:szCs w:val="18"/>
          <w:i w:val="1"/>
          <w:iCs w:val="1"/>
          <w:color w:val="auto"/>
        </w:rPr>
        <w:t>If you do not wish to accept this Stock Option Agreement, you must notify the Stock Department no later than 30 days after this Agreement is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available to you.</w:t>
      </w:r>
    </w:p>
    <w:p>
      <w:pPr>
        <w:spacing w:after="0" w:line="161" w:lineRule="exact"/>
        <w:rPr>
          <w:sz w:val="20"/>
          <w:szCs w:val="20"/>
          <w:color w:val="auto"/>
        </w:rPr>
      </w:pPr>
    </w:p>
    <w:p>
      <w:pPr>
        <w:jc w:val="both"/>
        <w:ind w:firstLine="761"/>
        <w:spacing w:after="0" w:line="272" w:lineRule="auto"/>
        <w:rPr>
          <w:sz w:val="20"/>
          <w:szCs w:val="20"/>
          <w:color w:val="auto"/>
        </w:rPr>
      </w:pPr>
      <w:r>
        <w:rPr>
          <w:rFonts w:ascii="Times New Roman" w:cs="Times New Roman" w:eastAsia="Times New Roman" w:hAnsi="Times New Roman"/>
          <w:sz w:val="17"/>
          <w:szCs w:val="17"/>
          <w:color w:val="auto"/>
        </w:rPr>
        <w:t>SCHLUMBERGER LIMITED, a Curaçao corporation (the “Company”), hereby grants to the employee named in the Notice of Grant of Award (“Employee”) an incentive stock option (the “ISO”) to purchase common stock of the Company, par value $0.01 per share (“Common Stock”) pursuant to this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option agreement (as may be amended, the “Agreement”). Your ISO is subject to all the terms and conditions of the Schlumberger [ ] Omnibus Stock Incentive Plan, as may be amended (the “Plan”) and this Agreement. Your ISO is intended to constitute an “incentive stock option” under Section 422 of the U.S. Internal Revenue Code of 1986 and the Treasury Regulations promulgated thereunder.</w:t>
      </w:r>
    </w:p>
    <w:p>
      <w:pPr>
        <w:spacing w:after="0" w:line="187" w:lineRule="exact"/>
        <w:rPr>
          <w:sz w:val="20"/>
          <w:szCs w:val="20"/>
          <w:color w:val="auto"/>
        </w:rPr>
      </w:pPr>
    </w:p>
    <w:p>
      <w:pPr>
        <w:jc w:val="both"/>
        <w:ind w:firstLine="768"/>
        <w:spacing w:after="0" w:line="260" w:lineRule="auto"/>
        <w:tabs>
          <w:tab w:leader="none" w:pos="9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date of grant of this ISO (the “Grant Date”), the ISO exercise price and the number of shares of Common Stock subject to this ISO (collectively, the “Option Shares”) are set forth in the Notice of Grant of Award. Except as set forth below, this ISO expires on the tenth anniversary of the Grant Date.</w:t>
      </w:r>
    </w:p>
    <w:p>
      <w:pPr>
        <w:spacing w:after="0" w:line="177"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ISO</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768"/>
        <w:spacing w:after="0" w:line="275" w:lineRule="auto"/>
        <w:tabs>
          <w:tab w:leader="none" w:pos="101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2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 SHARES EXERCISABLE</w:t>
            </w:r>
          </w:p>
        </w:tc>
      </w:tr>
      <w:tr>
        <w:trPr>
          <w:trHeight w:val="188"/>
        </w:trPr>
        <w:tc>
          <w:tcPr>
            <w:tcW w:w="20" w:type="dxa"/>
            <w:vAlign w:val="bottom"/>
          </w:tcPr>
          <w:p>
            <w:pPr>
              <w:spacing w:after="0"/>
              <w:rPr>
                <w:sz w:val="16"/>
                <w:szCs w:val="16"/>
                <w:color w:val="auto"/>
              </w:rPr>
            </w:pPr>
          </w:p>
        </w:tc>
        <w:tc>
          <w:tcPr>
            <w:tcW w:w="31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1st Anniversary of the Grant Date</w:t>
            </w:r>
          </w:p>
        </w:tc>
        <w:tc>
          <w:tcPr>
            <w:tcW w:w="8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2nd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3rd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4th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3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5th Anniversary of the Grant Date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193" w:lineRule="exact"/>
        <w:rPr>
          <w:sz w:val="20"/>
          <w:szCs w:val="20"/>
          <w:color w:val="auto"/>
        </w:rPr>
      </w:pPr>
    </w:p>
    <w:p>
      <w:pPr>
        <w:jc w:val="both"/>
        <w:ind w:firstLine="768"/>
        <w:spacing w:after="0" w:line="256" w:lineRule="auto"/>
        <w:tabs>
          <w:tab w:leader="none" w:pos="10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keeping with the Company’s general policy, the terms of this Agreement, including the vesting schedules, are put in place in certain countries to comply with local regulations. The vesting schedule above, and therefore your ability to exercise your ISO at certain times and certain other terms of the ISO, may change if you move from one country to another. Currently, the Company has in place a sub-plan for France that governs stock options issued to grantees residing in France or who are on a French payroll.</w:t>
      </w:r>
    </w:p>
    <w:p>
      <w:pPr>
        <w:spacing w:after="0" w:line="180" w:lineRule="exact"/>
        <w:rPr>
          <w:sz w:val="20"/>
          <w:szCs w:val="20"/>
          <w:color w:val="auto"/>
        </w:rPr>
      </w:pPr>
    </w:p>
    <w:p>
      <w:pPr>
        <w:ind w:left="940" w:hanging="172"/>
        <w:spacing w:after="0"/>
        <w:tabs>
          <w:tab w:leader="none" w:pos="9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ISO</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768"/>
        <w:spacing w:after="0" w:line="265" w:lineRule="auto"/>
        <w:tabs>
          <w:tab w:leader="none" w:pos="1042"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ISO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ISO price may be paid, subject to such rules and procedures in effect at such time and as the Committee may prescribe from time to time, (i) in cash or certified check, (ii) by the delivery of shares of Common Stock with a Fair Market Value at the time of exercise equal to the total ISO price, (iii) by a combination of the methods described in (i) and (ii), and</w:t>
      </w:r>
    </w:p>
    <w:p>
      <w:pPr>
        <w:spacing w:after="0" w:line="3" w:lineRule="exact"/>
        <w:rPr>
          <w:rFonts w:ascii="Times New Roman" w:cs="Times New Roman" w:eastAsia="Times New Roman" w:hAnsi="Times New Roman"/>
          <w:sz w:val="17"/>
          <w:szCs w:val="17"/>
          <w:color w:val="auto"/>
        </w:rPr>
      </w:pPr>
    </w:p>
    <w:p>
      <w:pPr>
        <w:ind w:firstLine="6"/>
        <w:spacing w:after="0" w:line="253" w:lineRule="auto"/>
        <w:tabs>
          <w:tab w:leader="none" w:pos="31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Company’s Securities Transactions – Insider Trading Standard through a broker-assisted cashless exercise, or “sell-to-cover” arrangement in accordance with the procedures approved by the Committee.</w:t>
      </w:r>
    </w:p>
    <w:p>
      <w:pPr>
        <w:spacing w:after="0" w:line="182"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Company’s Stock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Department website.</w:t>
      </w:r>
    </w:p>
    <w:p>
      <w:pPr>
        <w:spacing w:after="0" w:line="178" w:lineRule="exact"/>
        <w:rPr>
          <w:sz w:val="20"/>
          <w:szCs w:val="20"/>
          <w:color w:val="auto"/>
        </w:rPr>
      </w:pPr>
    </w:p>
    <w:p>
      <w:pPr>
        <w:ind w:left="960" w:hanging="192"/>
        <w:spacing w:after="0"/>
        <w:tabs>
          <w:tab w:leader="none" w:pos="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This ISO will expire earlier than the date set forth above if you terminate employment with the Company and its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7" w:name="page78"/>
    <w:bookmarkEnd w:id="77"/>
    <w:p>
      <w:pPr>
        <w:jc w:val="both"/>
        <w:ind w:firstLine="768"/>
        <w:spacing w:after="0" w:line="256" w:lineRule="auto"/>
        <w:tabs>
          <w:tab w:leader="none" w:pos="100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 Company Consent</w:t>
      </w:r>
      <w:r>
        <w:rPr>
          <w:rFonts w:ascii="Times New Roman" w:cs="Times New Roman" w:eastAsia="Times New Roman" w:hAnsi="Times New Roman"/>
          <w:sz w:val="18"/>
          <w:szCs w:val="18"/>
          <w:color w:val="auto"/>
        </w:rPr>
        <w:t>.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80" w:lineRule="exact"/>
        <w:rPr>
          <w:rFonts w:ascii="Times New Roman" w:cs="Times New Roman" w:eastAsia="Times New Roman" w:hAnsi="Times New Roman"/>
          <w:sz w:val="18"/>
          <w:szCs w:val="18"/>
          <w:color w:val="auto"/>
        </w:rPr>
      </w:pPr>
    </w:p>
    <w:p>
      <w:pPr>
        <w:jc w:val="both"/>
        <w:ind w:firstLine="768"/>
        <w:spacing w:after="0" w:line="272" w:lineRule="auto"/>
        <w:tabs>
          <w:tab w:leader="none" w:pos="102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If your employment with the Company and its Subsidiaries is terminated due to Retirement (as defined in Section 11 below), your ISO will, subject to forfeiture provisions in the event you engage in Detrimental Activity (as defined in Section 11 below): (i) continue to vest post-Retirement as if you remained employed with the Company and its Subsidiaries and (ii) have an exercise period of 10 years from the original date of grant (the “Retirement Exercise Period”). As more fully described in the Prospectus related to the Plan, if you exercise your option more than three (3) months following your Retirement or Special Retirement, your Option Shares will be treated as attributable to the exercise of a non-qualified stock option for tax purposes.</w:t>
      </w:r>
    </w:p>
    <w:p>
      <w:pPr>
        <w:spacing w:after="0" w:line="168" w:lineRule="exact"/>
        <w:rPr>
          <w:rFonts w:ascii="Times New Roman" w:cs="Times New Roman" w:eastAsia="Times New Roman" w:hAnsi="Times New Roman"/>
          <w:sz w:val="17"/>
          <w:szCs w:val="17"/>
          <w:color w:val="auto"/>
        </w:rPr>
      </w:pPr>
    </w:p>
    <w:p>
      <w:pPr>
        <w:jc w:val="both"/>
        <w:ind w:firstLine="768"/>
        <w:spacing w:after="0" w:line="256" w:lineRule="auto"/>
        <w:tabs>
          <w:tab w:leader="none" w:pos="100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Retirement</w:t>
      </w:r>
      <w:r>
        <w:rPr>
          <w:rFonts w:ascii="Times New Roman" w:cs="Times New Roman" w:eastAsia="Times New Roman" w:hAnsi="Times New Roman"/>
          <w:sz w:val="18"/>
          <w:szCs w:val="18"/>
          <w:color w:val="auto"/>
        </w:rPr>
        <w:t>. If your employment with the Company and its Subsidiaries is terminated due to Special Retirement (as defined in Section 11 below), your ISO will be exercisable at any time during the period of sixty (60) months after such termination or the remainder of the term of the ISO, whichever is less (the “Special Retirement Exercise Period”), provided that such option may be exercised after such termination and before expiration only to the extent that it is exercisable on the date of such termination.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101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your employment with the Company and its Subsidiaries is terminated due to death or Disability (as defined in Section 11 below), your ISO will automatically become fully vested and exercisable. You may exercise the outstanding ISO at any time during the period of 60 months after such termination or the remainder of the term of the ISO, whichever is less (the “Disability Exercise Period” or “Death Exercise Period”, as applicable). As more fully described in the Prospectus related to the Plan, if you exercise your option more than 12 months after you terminate employment due to Disability, your Option Shares will be treated as attributable to the exercise of a non-qualified stock option for tax purposes. In the event that you die while employed with the Company or any Subsidiary or during the Special Retirement Exercise Period, the Retirement Exercise Period or the Disability Exercise Period, your ISO may be exercised only by the person or persons entitled thereto under your will or under the laws of descent and distribution to the extent exercisable by you on the date of your death and to the extent the term of the ISO has not expired within such Special Retirement Exercise Period, the Retirement Exercise Period or Disability Exercise Period, as applicable.</w:t>
      </w:r>
    </w:p>
    <w:p>
      <w:pPr>
        <w:spacing w:after="0" w:line="185" w:lineRule="exact"/>
        <w:rPr>
          <w:rFonts w:ascii="Times New Roman" w:cs="Times New Roman" w:eastAsia="Times New Roman" w:hAnsi="Times New Roman"/>
          <w:sz w:val="18"/>
          <w:szCs w:val="18"/>
          <w:color w:val="auto"/>
        </w:rPr>
      </w:pPr>
    </w:p>
    <w:p>
      <w:pPr>
        <w:jc w:val="both"/>
        <w:ind w:firstLine="768"/>
        <w:spacing w:after="0" w:line="260" w:lineRule="auto"/>
        <w:tabs>
          <w:tab w:leader="none" w:pos="100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or Misconduct; Without Consent</w:t>
      </w:r>
      <w:r>
        <w:rPr>
          <w:rFonts w:ascii="Times New Roman" w:cs="Times New Roman" w:eastAsia="Times New Roman" w:hAnsi="Times New Roman"/>
          <w:sz w:val="18"/>
          <w:szCs w:val="18"/>
          <w:color w:val="auto"/>
        </w:rPr>
        <w:t>. If termination of your employment with the Company and its Subsidiaries is because of breach of your employment contract, if any, or your misconduct, this ISO will immediately and automatically expire and terminate. Termination of your employment without consent of the Company or a Subsidiary, as applicable, will cause your ISO to expire immediately.</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8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This ISO may be forfeited, and any exercise you have made of this ISO may be rescinded, as further described below, if you engage in certain Detrimental Activity (as defined in Section 11 below). Specifically, if you engage in Detrimental Activity while employed with the Company or its Subsidiaries or within one year following termination of employment for any reason other than Retirement, Special Retirement or Disability, this ISO will immediately and automatically expire and terminate and the Committee may rescind any exercise that you made under this option within six months preceding or three months following your termination.</w:t>
      </w:r>
    </w:p>
    <w:p>
      <w:pPr>
        <w:spacing w:after="0" w:line="185" w:lineRule="exact"/>
        <w:rPr>
          <w:sz w:val="20"/>
          <w:szCs w:val="20"/>
          <w:color w:val="auto"/>
        </w:rPr>
      </w:pPr>
    </w:p>
    <w:p>
      <w:pPr>
        <w:jc w:val="both"/>
        <w:ind w:firstLine="761"/>
        <w:spacing w:after="0" w:line="256" w:lineRule="auto"/>
        <w:rPr>
          <w:sz w:val="20"/>
          <w:szCs w:val="20"/>
          <w:color w:val="auto"/>
        </w:rPr>
      </w:pPr>
      <w:r>
        <w:rPr>
          <w:rFonts w:ascii="Times New Roman" w:cs="Times New Roman" w:eastAsia="Times New Roman" w:hAnsi="Times New Roman"/>
          <w:sz w:val="18"/>
          <w:szCs w:val="18"/>
          <w:color w:val="auto"/>
        </w:rPr>
        <w:t>If you engage in Detrimental Activity while employed with the Company or its Subsidiaries or within five years following termination of employment by reason of Special Retirement or Disability, this ISO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0" w:lineRule="exact"/>
        <w:rPr>
          <w:sz w:val="20"/>
          <w:szCs w:val="20"/>
          <w:color w:val="auto"/>
        </w:rPr>
      </w:pPr>
    </w:p>
    <w:p>
      <w:pPr>
        <w:jc w:val="both"/>
        <w:ind w:firstLine="761"/>
        <w:spacing w:after="0" w:line="251" w:lineRule="auto"/>
        <w:rPr>
          <w:sz w:val="20"/>
          <w:szCs w:val="20"/>
          <w:color w:val="auto"/>
        </w:rPr>
      </w:pPr>
      <w:r>
        <w:rPr>
          <w:rFonts w:ascii="Times New Roman" w:cs="Times New Roman" w:eastAsia="Times New Roman" w:hAnsi="Times New Roman"/>
          <w:sz w:val="18"/>
          <w:szCs w:val="18"/>
          <w:color w:val="auto"/>
        </w:rPr>
        <w:t>If you engage in Detrimental Activity while employed with the Company or its Subsidiaries or within your Retirement Exercise Period, this ISO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8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8" w:name="page79"/>
    <w:bookmarkEnd w:id="78"/>
    <w:p>
      <w:pPr>
        <w:jc w:val="both"/>
        <w:ind w:firstLine="768"/>
        <w:spacing w:after="0" w:line="260" w:lineRule="auto"/>
        <w:tabs>
          <w:tab w:leader="none" w:pos="9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Imposed by Law</w:t>
      </w:r>
      <w:r>
        <w:rPr>
          <w:rFonts w:ascii="Times New Roman" w:cs="Times New Roman" w:eastAsia="Times New Roman" w:hAnsi="Times New Roman"/>
          <w:sz w:val="18"/>
          <w:szCs w:val="18"/>
          <w:color w:val="auto"/>
        </w:rPr>
        <w:t>. As contemplated by the Plan, you may not exercise your ISO or any portion thereof, and no obligation exists to issue or release shares of Common Stock or accept an exercise of this ISO, if the issuance or release of shares or the acceptance of the ISO exercise by the Company or a Subsidiary constitutes a violation of any governmental law or regulation.</w:t>
      </w:r>
    </w:p>
    <w:p>
      <w:pPr>
        <w:spacing w:after="0" w:line="177" w:lineRule="exact"/>
        <w:rPr>
          <w:rFonts w:ascii="Times New Roman" w:cs="Times New Roman" w:eastAsia="Times New Roman" w:hAnsi="Times New Roman"/>
          <w:sz w:val="18"/>
          <w:szCs w:val="18"/>
          <w:color w:val="auto"/>
        </w:rPr>
      </w:pPr>
    </w:p>
    <w:p>
      <w:pPr>
        <w:ind w:left="940" w:hanging="172"/>
        <w:spacing w:after="0"/>
        <w:tabs>
          <w:tab w:leader="none" w:pos="9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This ISO is not transferable or assignable except by will or laws of descent and distribution and then only to the extent exercisable at</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death.</w:t>
      </w:r>
    </w:p>
    <w:p>
      <w:pPr>
        <w:spacing w:after="0" w:line="199" w:lineRule="exact"/>
        <w:rPr>
          <w:rFonts w:ascii="Times New Roman" w:cs="Times New Roman" w:eastAsia="Times New Roman" w:hAnsi="Times New Roman"/>
          <w:sz w:val="17"/>
          <w:szCs w:val="17"/>
          <w:color w:val="auto"/>
        </w:rPr>
      </w:pPr>
    </w:p>
    <w:p>
      <w:pPr>
        <w:jc w:val="both"/>
        <w:ind w:firstLine="768"/>
        <w:spacing w:after="0" w:line="256" w:lineRule="auto"/>
        <w:tabs>
          <w:tab w:leader="none" w:pos="9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177" w:lineRule="exact"/>
        <w:rPr>
          <w:rFonts w:ascii="Times New Roman" w:cs="Times New Roman" w:eastAsia="Times New Roman" w:hAnsi="Times New Roman"/>
          <w:sz w:val="18"/>
          <w:szCs w:val="18"/>
          <w:color w:val="auto"/>
        </w:rPr>
      </w:pPr>
    </w:p>
    <w:p>
      <w:pPr>
        <w:jc w:val="both"/>
        <w:ind w:firstLine="768"/>
        <w:spacing w:after="0" w:line="254" w:lineRule="auto"/>
        <w:tabs>
          <w:tab w:leader="none" w:pos="9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 has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w:t>
      </w:r>
    </w:p>
    <w:p>
      <w:pPr>
        <w:spacing w:after="0" w:line="182" w:lineRule="exact"/>
        <w:rPr>
          <w:rFonts w:ascii="Times New Roman" w:cs="Times New Roman" w:eastAsia="Times New Roman" w:hAnsi="Times New Roman"/>
          <w:sz w:val="18"/>
          <w:szCs w:val="18"/>
          <w:color w:val="auto"/>
        </w:rPr>
      </w:pPr>
    </w:p>
    <w:p>
      <w:pPr>
        <w:jc w:val="both"/>
        <w:ind w:firstLine="768"/>
        <w:spacing w:after="0" w:line="250" w:lineRule="auto"/>
        <w:tabs>
          <w:tab w:leader="none" w:pos="9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Future Awards</w:t>
      </w:r>
      <w:r>
        <w:rPr>
          <w:rFonts w:ascii="Times New Roman" w:cs="Times New Roman" w:eastAsia="Times New Roman" w:hAnsi="Times New Roman"/>
          <w:sz w:val="18"/>
          <w:szCs w:val="18"/>
          <w:color w:val="auto"/>
        </w:rPr>
        <w:t>. The grant of this ISO is subject to the terms of the Plan, which is discretionary in nature, and the terms of this Agreement. The grant of this ISO is a one-time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long-service awards, pension or retirement benefits or similar payments. The vesting of this ISO ceases upon termination of employment for any reason except as otherwise explicitly provided in this Agreement.</w:t>
      </w:r>
    </w:p>
    <w:p>
      <w:pPr>
        <w:spacing w:after="0" w:line="188" w:lineRule="exact"/>
        <w:rPr>
          <w:rFonts w:ascii="Times New Roman" w:cs="Times New Roman" w:eastAsia="Times New Roman" w:hAnsi="Times New Roman"/>
          <w:sz w:val="18"/>
          <w:szCs w:val="18"/>
          <w:color w:val="auto"/>
        </w:rPr>
      </w:pPr>
    </w:p>
    <w:p>
      <w:pPr>
        <w:jc w:val="both"/>
        <w:ind w:firstLine="768"/>
        <w:spacing w:after="0" w:line="253" w:lineRule="auto"/>
        <w:tabs>
          <w:tab w:leader="none" w:pos="102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4"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00" w:hanging="232"/>
        <w:spacing w:after="0"/>
        <w:tabs>
          <w:tab w:leader="none" w:pos="10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is defined in Section 3(a).</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is defined in Section 12.</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is defined in Section 3(a).</w:t>
      </w:r>
    </w:p>
    <w:p>
      <w:pPr>
        <w:spacing w:after="0" w:line="218"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is defined in the introduction.</w:t>
      </w:r>
    </w:p>
    <w:p>
      <w:pPr>
        <w:spacing w:after="0" w:line="218"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Schlumberger Limited.</w:t>
      </w:r>
    </w:p>
    <w:p>
      <w:pPr>
        <w:spacing w:after="0" w:line="218" w:lineRule="exact"/>
        <w:rPr>
          <w:rFonts w:ascii="Times New Roman" w:cs="Times New Roman" w:eastAsia="Times New Roman" w:hAnsi="Times New Roman"/>
          <w:sz w:val="18"/>
          <w:szCs w:val="18"/>
          <w:color w:val="auto"/>
        </w:rPr>
      </w:pPr>
    </w:p>
    <w:p>
      <w:pPr>
        <w:jc w:val="both"/>
        <w:ind w:firstLine="768"/>
        <w:spacing w:after="0" w:line="268" w:lineRule="auto"/>
        <w:tabs>
          <w:tab w:leader="none" w:pos="1019"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w:t>
      </w:r>
    </w:p>
    <w:p>
      <w:pPr>
        <w:spacing w:after="0" w:line="2" w:lineRule="exact"/>
        <w:rPr>
          <w:rFonts w:ascii="Times New Roman" w:cs="Times New Roman" w:eastAsia="Times New Roman" w:hAnsi="Times New Roman"/>
          <w:sz w:val="17"/>
          <w:szCs w:val="17"/>
          <w:color w:val="auto"/>
        </w:rPr>
      </w:pPr>
    </w:p>
    <w:p>
      <w:pPr>
        <w:jc w:val="both"/>
        <w:ind w:firstLine="6"/>
        <w:spacing w:after="0" w:line="248" w:lineRule="auto"/>
        <w:tabs>
          <w:tab w:leader="none" w:pos="30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w:t>
      </w:r>
    </w:p>
    <w:p>
      <w:pPr>
        <w:spacing w:after="0" w:line="1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18"/>
          <w:szCs w:val="18"/>
          <w:color w:val="auto"/>
        </w:rPr>
        <w:t>or entice away or cause to be canvassed, solicited, approached or enticed away from the Company or its Subsidiaries any person who 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85" w:lineRule="exact"/>
        <w:rPr>
          <w:sz w:val="20"/>
          <w:szCs w:val="20"/>
          <w:color w:val="auto"/>
        </w:rPr>
      </w:pPr>
    </w:p>
    <w:p>
      <w:pPr>
        <w:jc w:val="both"/>
        <w:ind w:firstLine="768"/>
        <w:spacing w:after="0" w:line="256" w:lineRule="auto"/>
        <w:tabs>
          <w:tab w:leader="none" w:pos="10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0" w:lineRule="exact"/>
        <w:rPr>
          <w:rFonts w:ascii="Times New Roman" w:cs="Times New Roman" w:eastAsia="Times New Roman" w:hAnsi="Times New Roman"/>
          <w:sz w:val="18"/>
          <w:szCs w:val="18"/>
          <w:color w:val="auto"/>
        </w:rPr>
      </w:pPr>
    </w:p>
    <w:p>
      <w:pPr>
        <w:ind w:left="980" w:hanging="212"/>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Exercise Period” is defined in Section 4(d).</w:t>
      </w:r>
    </w:p>
    <w:p>
      <w:pPr>
        <w:spacing w:after="0" w:line="218" w:lineRule="exact"/>
        <w:rPr>
          <w:rFonts w:ascii="Times New Roman" w:cs="Times New Roman" w:eastAsia="Times New Roman" w:hAnsi="Times New Roman"/>
          <w:sz w:val="18"/>
          <w:szCs w:val="18"/>
          <w:color w:val="auto"/>
        </w:rPr>
      </w:pPr>
    </w:p>
    <w:p>
      <w:pPr>
        <w:ind w:firstLine="768"/>
        <w:spacing w:after="0" w:line="305" w:lineRule="auto"/>
        <w:tabs>
          <w:tab w:leader="none" w:pos="99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41" w:lineRule="exact"/>
        <w:rPr>
          <w:rFonts w:ascii="Times New Roman" w:cs="Times New Roman" w:eastAsia="Times New Roman" w:hAnsi="Times New Roman"/>
          <w:sz w:val="17"/>
          <w:szCs w:val="17"/>
          <w:color w:val="auto"/>
        </w:rPr>
      </w:pPr>
    </w:p>
    <w:p>
      <w:pPr>
        <w:ind w:left="1020" w:hanging="252"/>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Exercise Period” is defined in Section 4(d).</w:t>
      </w:r>
    </w:p>
    <w:p>
      <w:pPr>
        <w:spacing w:after="0" w:line="218" w:lineRule="exact"/>
        <w:rPr>
          <w:rFonts w:ascii="Times New Roman" w:cs="Times New Roman" w:eastAsia="Times New Roman" w:hAnsi="Times New Roman"/>
          <w:sz w:val="18"/>
          <w:szCs w:val="18"/>
          <w:color w:val="auto"/>
        </w:rPr>
      </w:pPr>
    </w:p>
    <w:p>
      <w:pPr>
        <w:jc w:val="both"/>
        <w:ind w:firstLine="768"/>
        <w:spacing w:after="0" w:line="256" w:lineRule="auto"/>
        <w:tabs>
          <w:tab w:leader="none" w:pos="9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rFonts w:ascii="Times New Roman" w:cs="Times New Roman" w:eastAsia="Times New Roman" w:hAnsi="Times New Roman"/>
          <w:sz w:val="18"/>
          <w:szCs w:val="18"/>
          <w:color w:val="auto"/>
        </w:rPr>
      </w:pPr>
    </w:p>
    <w:p>
      <w:pPr>
        <w:ind w:left="1060" w:hanging="292"/>
        <w:spacing w:after="0"/>
        <w:tabs>
          <w:tab w:leader="none" w:pos="10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is defined in the introduction.</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Shares” is defined in Section 1.</w:t>
      </w:r>
    </w:p>
    <w:p>
      <w:pPr>
        <w:spacing w:after="0" w:line="218"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is defined in the introduction.</w:t>
      </w:r>
    </w:p>
    <w:p>
      <w:pPr>
        <w:spacing w:after="0" w:line="218" w:lineRule="exact"/>
        <w:rPr>
          <w:rFonts w:ascii="Times New Roman" w:cs="Times New Roman" w:eastAsia="Times New Roman" w:hAnsi="Times New Roman"/>
          <w:sz w:val="18"/>
          <w:szCs w:val="18"/>
          <w:color w:val="auto"/>
        </w:rPr>
      </w:pPr>
    </w:p>
    <w:p>
      <w:pPr>
        <w:jc w:val="both"/>
        <w:ind w:firstLine="768"/>
        <w:spacing w:after="0" w:line="252" w:lineRule="auto"/>
        <w:tabs>
          <w:tab w:leader="none" w:pos="10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Committee” means a committee consisting of the Company’s Vice President of Human Resources, the Director of HR Operations and the Compensation &amp; Benefits Manager.</w:t>
      </w:r>
    </w:p>
    <w:p>
      <w:pPr>
        <w:spacing w:after="0" w:line="163" w:lineRule="exact"/>
        <w:rPr>
          <w:rFonts w:ascii="Times New Roman" w:cs="Times New Roman" w:eastAsia="Times New Roman" w:hAnsi="Times New Roman"/>
          <w:sz w:val="18"/>
          <w:szCs w:val="18"/>
          <w:color w:val="auto"/>
        </w:rPr>
      </w:pPr>
    </w:p>
    <w:p>
      <w:pPr>
        <w:ind w:left="1000" w:hanging="232"/>
        <w:spacing w:after="0"/>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Exercise Period” is defined in Section 4(b).</w:t>
      </w:r>
    </w:p>
    <w:p>
      <w:pPr>
        <w:spacing w:after="0" w:line="218" w:lineRule="exact"/>
        <w:rPr>
          <w:rFonts w:ascii="Times New Roman" w:cs="Times New Roman" w:eastAsia="Times New Roman" w:hAnsi="Times New Roman"/>
          <w:sz w:val="18"/>
          <w:szCs w:val="18"/>
          <w:color w:val="auto"/>
        </w:rPr>
      </w:pPr>
    </w:p>
    <w:p>
      <w:pPr>
        <w:ind w:firstLine="768"/>
        <w:spacing w:after="0" w:line="275" w:lineRule="auto"/>
        <w:tabs>
          <w:tab w:leader="none" w:pos="99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means termination of your employment with the Company and all Subsidiaries at or after (i) age 55 or (ii) age 50 and completion of at least 10 years of service with the Company and all Subsidiaries.</w:t>
      </w:r>
    </w:p>
    <w:p>
      <w:pPr>
        <w:spacing w:after="0" w:line="163" w:lineRule="exact"/>
        <w:rPr>
          <w:rFonts w:ascii="Times New Roman" w:cs="Times New Roman" w:eastAsia="Times New Roman" w:hAnsi="Times New Roman"/>
          <w:sz w:val="18"/>
          <w:szCs w:val="18"/>
          <w:color w:val="auto"/>
        </w:rPr>
      </w:pPr>
    </w:p>
    <w:p>
      <w:pPr>
        <w:ind w:left="1020" w:hanging="252"/>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Retirement Exercise Period” is defined in Section 4(c).</w:t>
      </w:r>
    </w:p>
    <w:p>
      <w:pPr>
        <w:spacing w:after="0" w:line="218"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0" w:name="page81"/>
    <w:bookmarkEnd w:id="80"/>
    <w:p>
      <w:pPr>
        <w:jc w:val="both"/>
        <w:ind w:firstLine="768"/>
        <w:spacing w:after="0" w:line="256" w:lineRule="auto"/>
        <w:tabs>
          <w:tab w:leader="none" w:pos="10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Company’s policy on recoupment of performance-based bonuses, as amended from time to time (its “Clawback Policy”), will apply to the ISO, any shares of Common Stock delivered hereunder, and any profits realized on the sale of such shares to the extent that you are covered by the Clawback Policy. You acknowledge that if you are covered by such policy, the policy may result in the recoupment of the ISO, any shares of Common Stock delivered hereunder and profits realized on the sale of such shares either before, on or after the date on which you become subject to such policy.</w:t>
      </w:r>
    </w:p>
    <w:p>
      <w:pPr>
        <w:spacing w:after="0" w:line="180" w:lineRule="exact"/>
        <w:rPr>
          <w:rFonts w:ascii="Times New Roman" w:cs="Times New Roman" w:eastAsia="Times New Roman" w:hAnsi="Times New Roman"/>
          <w:sz w:val="18"/>
          <w:szCs w:val="18"/>
          <w:color w:val="auto"/>
        </w:rPr>
      </w:pPr>
    </w:p>
    <w:p>
      <w:pPr>
        <w:ind w:firstLine="768"/>
        <w:spacing w:after="0" w:line="275" w:lineRule="auto"/>
        <w:tabs>
          <w:tab w:leader="none" w:pos="10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More Information</w:t>
      </w:r>
      <w:r>
        <w:rPr>
          <w:rFonts w:ascii="Times New Roman" w:cs="Times New Roman" w:eastAsia="Times New Roman" w:hAnsi="Times New Roman"/>
          <w:sz w:val="18"/>
          <w:szCs w:val="18"/>
          <w:color w:val="auto"/>
        </w:rPr>
        <w:t>. The Plan and prospectus are both available on-line at www.myshares.slb.com. A paper copy of the Plan and prospectus may be obtained by contacting the Stock Department, Schlumberger Limited, 5599 San Felipe, 17th Floor, Houston, Texas 77056.</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Intellectual Property,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Non-Compete and Non-Solicitation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Definitions.</w:t>
      </w:r>
    </w:p>
    <w:p>
      <w:pPr>
        <w:spacing w:after="0" w:line="21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18"/>
          <w:szCs w:val="18"/>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18"/>
          <w:szCs w:val="18"/>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64"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Company, and any Pre-existing Intellectual Property in which Company has a vested or executory interest.</w:t>
      </w:r>
    </w:p>
    <w:p>
      <w:pPr>
        <w:spacing w:after="0" w:line="189" w:lineRule="exact"/>
        <w:rPr>
          <w:sz w:val="20"/>
          <w:szCs w:val="20"/>
          <w:color w:val="auto"/>
        </w:rPr>
      </w:pPr>
    </w:p>
    <w:p>
      <w:pPr>
        <w:jc w:val="both"/>
        <w:ind w:left="760"/>
        <w:spacing w:after="0" w:line="305" w:lineRule="auto"/>
        <w:rPr>
          <w:sz w:val="20"/>
          <w:szCs w:val="20"/>
          <w:color w:val="auto"/>
        </w:rPr>
      </w:pPr>
      <w:r>
        <w:rPr>
          <w:rFonts w:ascii="Times New Roman" w:cs="Times New Roman" w:eastAsia="Times New Roman" w:hAnsi="Times New Roman"/>
          <w:sz w:val="17"/>
          <w:szCs w:val="17"/>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41" w:lineRule="exact"/>
        <w:rPr>
          <w:sz w:val="20"/>
          <w:szCs w:val="20"/>
          <w:color w:val="auto"/>
        </w:rPr>
      </w:pPr>
    </w:p>
    <w:p>
      <w:pPr>
        <w:jc w:val="both"/>
        <w:ind w:firstLine="768"/>
        <w:spacing w:after="0" w:line="260" w:lineRule="auto"/>
        <w:tabs>
          <w:tab w:leader="none" w:pos="95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7" w:lineRule="exact"/>
        <w:rPr>
          <w:rFonts w:ascii="Times New Roman" w:cs="Times New Roman" w:eastAsia="Times New Roman" w:hAnsi="Times New Roman"/>
          <w:sz w:val="18"/>
          <w:szCs w:val="18"/>
          <w:color w:val="auto"/>
        </w:rPr>
      </w:pPr>
    </w:p>
    <w:p>
      <w:pPr>
        <w:jc w:val="both"/>
        <w:ind w:firstLine="768"/>
        <w:spacing w:after="0" w:line="253" w:lineRule="auto"/>
        <w:tabs>
          <w:tab w:leader="none" w:pos="9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 do not and will not breach any agreement or duty to keep in confidence information, knowledge, or data acquired by Employee outside of Employee’s employment with Company or any of its Affiliates.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4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82" w:name="page83"/>
    <w:bookmarkEnd w:id="82"/>
    <w:p>
      <w:pPr>
        <w:jc w:val="both"/>
        <w:ind w:firstLine="768"/>
        <w:spacing w:after="0" w:line="256" w:lineRule="auto"/>
        <w:tabs>
          <w:tab w:leader="none" w:pos="95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79" w:lineRule="exact"/>
        <w:rPr>
          <w:rFonts w:ascii="Times New Roman" w:cs="Times New Roman" w:eastAsia="Times New Roman" w:hAnsi="Times New Roman"/>
          <w:sz w:val="18"/>
          <w:szCs w:val="18"/>
          <w:color w:val="auto"/>
        </w:rPr>
      </w:pPr>
    </w:p>
    <w:p>
      <w:pPr>
        <w:jc w:val="both"/>
        <w:ind w:firstLine="768"/>
        <w:spacing w:after="0" w:line="252" w:lineRule="auto"/>
        <w:tabs>
          <w:tab w:leader="none" w:pos="9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9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3" w:lineRule="exact"/>
        <w:rPr>
          <w:rFonts w:ascii="Times New Roman" w:cs="Times New Roman" w:eastAsia="Times New Roman" w:hAnsi="Times New Roman"/>
          <w:sz w:val="18"/>
          <w:szCs w:val="18"/>
          <w:color w:val="auto"/>
        </w:rPr>
      </w:pPr>
    </w:p>
    <w:p>
      <w:pPr>
        <w:jc w:val="both"/>
        <w:ind w:firstLine="768"/>
        <w:spacing w:after="0" w:line="256" w:lineRule="auto"/>
        <w:tabs>
          <w:tab w:leader="none" w:pos="9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Times New Roman" w:cs="Times New Roman" w:eastAsia="Times New Roman" w:hAnsi="Times New Roman"/>
          <w:sz w:val="18"/>
          <w:szCs w:val="18"/>
          <w:color w:val="auto"/>
        </w:rPr>
      </w:pPr>
    </w:p>
    <w:p>
      <w:pPr>
        <w:jc w:val="both"/>
        <w:ind w:firstLine="768"/>
        <w:spacing w:after="0" w:line="250" w:lineRule="auto"/>
        <w:tabs>
          <w:tab w:leader="none" w:pos="94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 to any entity for whom Employee provides services in the one-year period following the date of termination of Employee's employment with Company and its Affiliates. In the event of breach by the Employee, the specified period will be extended by the period of time of the breach.</w:t>
      </w:r>
    </w:p>
    <w:p>
      <w:pPr>
        <w:spacing w:after="0" w:line="186" w:lineRule="exact"/>
        <w:rPr>
          <w:sz w:val="20"/>
          <w:szCs w:val="20"/>
          <w:color w:val="auto"/>
        </w:rPr>
      </w:pPr>
    </w:p>
    <w:p>
      <w:pPr>
        <w:jc w:val="both"/>
        <w:ind w:firstLine="761"/>
        <w:spacing w:after="0" w:line="250" w:lineRule="auto"/>
        <w:rPr>
          <w:sz w:val="20"/>
          <w:szCs w:val="20"/>
          <w:color w:val="auto"/>
        </w:rPr>
      </w:pPr>
      <w:r>
        <w:rPr>
          <w:rFonts w:ascii="Times New Roman" w:cs="Times New Roman" w:eastAsia="Times New Roman" w:hAnsi="Times New Roman"/>
          <w:sz w:val="18"/>
          <w:szCs w:val="18"/>
          <w:color w:val="auto"/>
        </w:rPr>
        <w:t>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86" w:lineRule="exact"/>
        <w:rPr>
          <w:sz w:val="20"/>
          <w:szCs w:val="20"/>
          <w:color w:val="auto"/>
        </w:rPr>
      </w:pPr>
    </w:p>
    <w:p>
      <w:pPr>
        <w:jc w:val="both"/>
        <w:ind w:firstLine="768"/>
        <w:spacing w:after="0" w:line="266" w:lineRule="auto"/>
        <w:tabs>
          <w:tab w:leader="none" w:pos="1062"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 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7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3" w:name="page84"/>
    <w:bookmarkEnd w:id="83"/>
    <w:p>
      <w:pPr>
        <w:jc w:val="both"/>
        <w:ind w:firstLine="768"/>
        <w:spacing w:after="0" w:line="266" w:lineRule="auto"/>
        <w:tabs>
          <w:tab w:leader="none" w:pos="1043"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w:t>
      </w:r>
    </w:p>
    <w:p>
      <w:pPr>
        <w:spacing w:after="0" w:line="3" w:lineRule="exact"/>
        <w:rPr>
          <w:rFonts w:ascii="Times New Roman" w:cs="Times New Roman" w:eastAsia="Times New Roman" w:hAnsi="Times New Roman"/>
          <w:sz w:val="17"/>
          <w:szCs w:val="17"/>
          <w:color w:val="auto"/>
        </w:rPr>
      </w:pPr>
    </w:p>
    <w:p>
      <w:pPr>
        <w:jc w:val="both"/>
        <w:ind w:firstLine="6"/>
        <w:spacing w:after="0" w:line="249" w:lineRule="auto"/>
        <w:tabs>
          <w:tab w:leader="none" w:pos="2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8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4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4" w:lineRule="exact"/>
        <w:rPr>
          <w:rFonts w:ascii="Times New Roman" w:cs="Times New Roman" w:eastAsia="Times New Roman" w:hAnsi="Times New Roman"/>
          <w:sz w:val="18"/>
          <w:szCs w:val="18"/>
          <w:color w:val="auto"/>
        </w:rPr>
      </w:pPr>
    </w:p>
    <w:p>
      <w:pPr>
        <w:jc w:val="both"/>
        <w:ind w:firstLine="768"/>
        <w:spacing w:after="0" w:line="250" w:lineRule="auto"/>
        <w:tabs>
          <w:tab w:leader="none" w:pos="107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 by Employee, Company and its Affiliates will be entitled to: </w:t>
      </w:r>
      <w:r>
        <w:rPr>
          <w:rFonts w:ascii="Times New Roman" w:cs="Times New Roman" w:eastAsia="Times New Roman" w:hAnsi="Times New Roman"/>
          <w:sz w:val="18"/>
          <w:szCs w:val="18"/>
          <w:b w:val="1"/>
          <w:bCs w:val="1"/>
          <w:color w:val="auto"/>
        </w:rPr>
        <w:t>(i) recover from the Employee the value of any portion of the Award that has been paid or delivered;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seek 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89" w:lineRule="exact"/>
        <w:rPr>
          <w:sz w:val="20"/>
          <w:szCs w:val="20"/>
          <w:color w:val="auto"/>
        </w:rPr>
      </w:pPr>
    </w:p>
    <w:p>
      <w:pPr>
        <w:jc w:val="both"/>
        <w:ind w:firstLine="768"/>
        <w:spacing w:after="0" w:line="253" w:lineRule="auto"/>
        <w:tabs>
          <w:tab w:leader="none" w:pos="10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84" w:lineRule="exact"/>
        <w:rPr>
          <w:rFonts w:ascii="Times New Roman" w:cs="Times New Roman" w:eastAsia="Times New Roman" w:hAnsi="Times New Roman"/>
          <w:sz w:val="18"/>
          <w:szCs w:val="18"/>
          <w:color w:val="auto"/>
        </w:rPr>
      </w:pPr>
    </w:p>
    <w:p>
      <w:pPr>
        <w:jc w:val="both"/>
        <w:ind w:firstLine="768"/>
        <w:spacing w:after="0" w:line="260" w:lineRule="auto"/>
        <w:tabs>
          <w:tab w:leader="none" w:pos="101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Each of the covenants in this Attachment I will be construed as an agreement independent of any other provision in this Attachment I, and the existence of any claim or cause of action of the Employee against the Company, whether predicated on this Attachment I or otherwise, will not constitute a defense to the enforce</w:t>
      </w:r>
      <w:r>
        <w:rPr>
          <w:rFonts w:ascii="Times New Roman" w:cs="Times New Roman" w:eastAsia="Times New Roman" w:hAnsi="Times New Roman"/>
          <w:sz w:val="18"/>
          <w:szCs w:val="18"/>
          <w:i w:val="1"/>
          <w:iCs w:val="1"/>
          <w:color w:val="auto"/>
        </w:rPr>
        <w:t>ment by the Company of such covenants or provisions.</w:t>
      </w:r>
    </w:p>
    <w:p>
      <w:pPr>
        <w:spacing w:after="0" w:line="178" w:lineRule="exact"/>
        <w:rPr>
          <w:sz w:val="20"/>
          <w:szCs w:val="20"/>
          <w:color w:val="auto"/>
        </w:rPr>
      </w:pPr>
    </w:p>
    <w:p>
      <w:pPr>
        <w:ind w:firstLine="761"/>
        <w:spacing w:after="0" w:line="275" w:lineRule="auto"/>
        <w:rPr>
          <w:sz w:val="20"/>
          <w:szCs w:val="20"/>
          <w:color w:val="auto"/>
        </w:rPr>
      </w:pPr>
      <w:r>
        <w:rPr>
          <w:rFonts w:ascii="Times New Roman" w:cs="Times New Roman" w:eastAsia="Times New Roman" w:hAnsi="Times New Roman"/>
          <w:sz w:val="18"/>
          <w:szCs w:val="18"/>
          <w:color w:val="auto"/>
        </w:rPr>
        <w:t>Employee acknowledges that the remedies contained in the Attachment I for violation of this Attachment I are not the exclusive remedies that Company may pursue.</w:t>
      </w:r>
    </w:p>
    <w:p>
      <w:pPr>
        <w:spacing w:after="0" w:line="164" w:lineRule="exact"/>
        <w:rPr>
          <w:sz w:val="20"/>
          <w:szCs w:val="20"/>
          <w:color w:val="auto"/>
        </w:rPr>
      </w:pPr>
    </w:p>
    <w:p>
      <w:pPr>
        <w:ind w:firstLine="768"/>
        <w:spacing w:after="0" w:line="275" w:lineRule="auto"/>
        <w:tabs>
          <w:tab w:leader="none" w:pos="10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64" w:lineRule="exact"/>
        <w:rPr>
          <w:sz w:val="20"/>
          <w:szCs w:val="20"/>
          <w:color w:val="auto"/>
        </w:rPr>
      </w:pPr>
    </w:p>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4" w:name="page85"/>
    <w:bookmarkEnd w:id="84"/>
    <w:p>
      <w:pPr>
        <w:jc w:val="both"/>
        <w:ind w:firstLine="761"/>
        <w:spacing w:after="0" w:line="252" w:lineRule="auto"/>
        <w:rPr>
          <w:sz w:val="20"/>
          <w:szCs w:val="20"/>
          <w:color w:val="auto"/>
        </w:rPr>
      </w:pPr>
      <w:r>
        <w:rPr>
          <w:rFonts w:ascii="Times New Roman" w:cs="Times New Roman" w:eastAsia="Times New Roman" w:hAnsi="Times New Roman"/>
          <w:sz w:val="18"/>
          <w:szCs w:val="18"/>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84" w:lineRule="exact"/>
        <w:rPr>
          <w:sz w:val="20"/>
          <w:szCs w:val="20"/>
          <w:color w:val="auto"/>
        </w:rPr>
      </w:pPr>
    </w:p>
    <w:p>
      <w:pPr>
        <w:jc w:val="both"/>
        <w:ind w:firstLine="761"/>
        <w:spacing w:after="0" w:line="253" w:lineRule="auto"/>
        <w:rPr>
          <w:sz w:val="20"/>
          <w:szCs w:val="20"/>
          <w:color w:val="auto"/>
        </w:rPr>
      </w:pPr>
      <w:r>
        <w:rPr>
          <w:rFonts w:ascii="Times New Roman" w:cs="Times New Roman" w:eastAsia="Times New Roman" w:hAnsi="Times New Roman"/>
          <w:sz w:val="18"/>
          <w:szCs w:val="18"/>
          <w:color w:val="auto"/>
        </w:rPr>
        <w:t>Employee is hereby notified that certain statutes in some U.S. states relate to ownership and assignment of inventions. At relevant locations and in accordance with those statutes, Company agrees that this Attachment 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85" w:lineRule="exact"/>
        <w:rPr>
          <w:sz w:val="20"/>
          <w:szCs w:val="20"/>
          <w:color w:val="auto"/>
        </w:rPr>
      </w:pPr>
    </w:p>
    <w:p>
      <w:pPr>
        <w:jc w:val="both"/>
        <w:ind w:firstLine="761"/>
        <w:spacing w:after="0" w:line="275" w:lineRule="auto"/>
        <w:rPr>
          <w:sz w:val="20"/>
          <w:szCs w:val="20"/>
          <w:color w:val="auto"/>
        </w:rPr>
      </w:pPr>
      <w:r>
        <w:rPr>
          <w:rFonts w:ascii="Times New Roman" w:cs="Times New Roman" w:eastAsia="Times New Roman" w:hAnsi="Times New Roman"/>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4" w:lineRule="exact"/>
        <w:rPr>
          <w:sz w:val="20"/>
          <w:szCs w:val="20"/>
          <w:color w:val="auto"/>
        </w:rPr>
      </w:pPr>
    </w:p>
    <w:p>
      <w:pPr>
        <w:ind w:firstLine="768"/>
        <w:spacing w:after="0" w:line="275" w:lineRule="auto"/>
        <w:tabs>
          <w:tab w:leader="none" w:pos="103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any term of this Attachment I by Company will not operate as a waiver of any other term of this Attachment I. A failure to enforce any provision of this Attachment I will not operate as a waiver of Company’s right to enforce any other provision of this Attachment I.</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Employee is not a party to any other agreement that will interfere with Employee’s full compliance with this Attachment I or that otherwise may restrict Employee’s employment by Company or the performance of Employee’s duties for Company. Employee agrees not to enter into any agreement, whether oral or written, in conflict with this Attachment I.</w:t>
      </w:r>
    </w:p>
    <w:p>
      <w:pPr>
        <w:spacing w:after="0" w:line="177" w:lineRule="exact"/>
        <w:rPr>
          <w:rFonts w:ascii="Times New Roman" w:cs="Times New Roman" w:eastAsia="Times New Roman" w:hAnsi="Times New Roman"/>
          <w:sz w:val="18"/>
          <w:szCs w:val="18"/>
          <w:color w:val="auto"/>
        </w:rPr>
      </w:pPr>
    </w:p>
    <w:p>
      <w:pPr>
        <w:ind w:firstLine="768"/>
        <w:spacing w:after="0" w:line="275" w:lineRule="auto"/>
        <w:tabs>
          <w:tab w:leader="none" w:pos="10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Attachment I may be enforced by, will inure to the benefit of, and be binding upon Company, its successors, and assigns. This Attachment I is binding upon Employee’s heirs and legal representatives.</w:t>
      </w:r>
    </w:p>
    <w:p>
      <w:pPr>
        <w:spacing w:after="0" w:line="163" w:lineRule="exact"/>
        <w:rPr>
          <w:rFonts w:ascii="Times New Roman" w:cs="Times New Roman" w:eastAsia="Times New Roman" w:hAnsi="Times New Roman"/>
          <w:sz w:val="18"/>
          <w:szCs w:val="18"/>
          <w:color w:val="auto"/>
        </w:rPr>
      </w:pPr>
    </w:p>
    <w:p>
      <w:pPr>
        <w:ind w:firstLine="768"/>
        <w:spacing w:after="0" w:line="275" w:lineRule="auto"/>
        <w:tabs>
          <w:tab w:leader="none" w:pos="104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63" w:lineRule="exact"/>
        <w:rPr>
          <w:rFonts w:ascii="Times New Roman" w:cs="Times New Roman" w:eastAsia="Times New Roman" w:hAnsi="Times New Roman"/>
          <w:sz w:val="18"/>
          <w:szCs w:val="18"/>
          <w:color w:val="auto"/>
        </w:rPr>
      </w:pPr>
    </w:p>
    <w:p>
      <w:pPr>
        <w:jc w:val="both"/>
        <w:ind w:firstLine="768"/>
        <w:spacing w:after="0" w:line="260" w:lineRule="auto"/>
        <w:tabs>
          <w:tab w:leader="none" w:pos="10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Company, Employee agrees to the automatic application of all of the terms of this Attachment I to said Affiliate contemporaneously with the acceptance of such transfer, subject to subsequent agreements, if any, executed by Employee and Affiliate of Company or Company, and to the fullest extent allowed by law.</w:t>
      </w:r>
    </w:p>
    <w:p>
      <w:pPr>
        <w:spacing w:after="0" w:line="177" w:lineRule="exact"/>
        <w:rPr>
          <w:rFonts w:ascii="Times New Roman" w:cs="Times New Roman" w:eastAsia="Times New Roman" w:hAnsi="Times New Roman"/>
          <w:sz w:val="18"/>
          <w:szCs w:val="18"/>
          <w:color w:val="auto"/>
        </w:rPr>
      </w:pPr>
    </w:p>
    <w:p>
      <w:pPr>
        <w:jc w:val="both"/>
        <w:ind w:firstLine="768"/>
        <w:spacing w:after="0" w:line="252" w:lineRule="auto"/>
        <w:tabs>
          <w:tab w:leader="none" w:pos="103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Company regarding this Attachment I.</w:t>
      </w:r>
    </w:p>
    <w:p>
      <w:pPr>
        <w:spacing w:after="0" w:line="184" w:lineRule="exact"/>
        <w:rPr>
          <w:rFonts w:ascii="Times New Roman" w:cs="Times New Roman" w:eastAsia="Times New Roman" w:hAnsi="Times New Roman"/>
          <w:sz w:val="18"/>
          <w:szCs w:val="18"/>
          <w:color w:val="auto"/>
        </w:rPr>
      </w:pPr>
    </w:p>
    <w:p>
      <w:pPr>
        <w:ind w:firstLine="768"/>
        <w:spacing w:after="0" w:line="275" w:lineRule="auto"/>
        <w:tabs>
          <w:tab w:leader="none" w:pos="103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Confidential Information, Intellectual Property and Non-Compete Agreement supersedes any previous agreement, oral or written, between Employee and Company relating to the subject matter thereof.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APPENDIX: INTELLECTUAL PROPERTY ASSIGNMENT,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AND WAIVER</w:t>
      </w:r>
    </w:p>
    <w:p>
      <w:pPr>
        <w:spacing w:after="0" w:line="19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incorporates this Appendix, and Employee promises to comply with the terms in this Appendix, and all rules, procedures, policies, and requirements that Company may promulgate consistent with this 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Automatic Assignment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Attachment II, Confidential Information, Intellectual Property, and Non-Compete Agreement contains assignment of all Company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Duty to Disclose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Automatic Assignment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82"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b w:val="1"/>
          <w:bCs w:val="1"/>
          <w:color w:val="auto"/>
        </w:rPr>
        <w:t>10</w:t>
      </w:r>
    </w:p>
    <w:p>
      <w:pPr>
        <w:sectPr>
          <w:pgSz w:w="11900" w:h="16838" w:orient="portrait"/>
          <w:cols w:equalWidth="0" w:num="1">
            <w:col w:w="11420"/>
          </w:cols>
          <w:pgMar w:left="240" w:top="332"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2017</w:t>
            </w:r>
          </w:p>
        </w:tc>
        <w:tc>
          <w:tcPr>
            <w:tcW w:w="726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4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9"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Date: April 26, 2017</w:t>
      </w:r>
      <w:r>
        <w:rPr>
          <w:sz w:val="20"/>
          <w:szCs w:val="20"/>
          <w:color w:val="auto"/>
        </w:rPr>
        <w:tab/>
      </w:r>
      <w:r>
        <w:rPr>
          <w:rFonts w:ascii="Times New Roman" w:cs="Times New Roman" w:eastAsia="Times New Roman" w:hAnsi="Times New Roman"/>
          <w:sz w:val="17"/>
          <w:szCs w:val="17"/>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23495</wp:posOffset>
            </wp:positionV>
            <wp:extent cx="29025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Simon Ayat</w:t>
      </w:r>
    </w:p>
    <w:p>
      <w:pPr>
        <w:spacing w:after="0" w:line="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19"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2017 as filed with the Securities and Exchange Commission on the date hereof (the “Report”), I, Paal Kibsgaard, Chief Executive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2017</w:t>
            </w:r>
          </w:p>
        </w:tc>
        <w:tc>
          <w:tcPr>
            <w:tcW w:w="49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3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2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2017</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5420" w:type="dxa"/>
            <w:vAlign w:val="bottom"/>
          </w:tcPr>
          <w:p>
            <w:pPr>
              <w:spacing w:after="0"/>
              <w:rPr>
                <w:sz w:val="16"/>
                <w:szCs w:val="16"/>
                <w:color w:val="auto"/>
              </w:rPr>
            </w:pPr>
          </w:p>
        </w:tc>
        <w:tc>
          <w:tcPr>
            <w:tcW w:w="49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00" w:lineRule="exact"/>
        <w:rPr>
          <w:sz w:val="20"/>
          <w:szCs w:val="20"/>
          <w:color w:val="auto"/>
        </w:rPr>
      </w:pPr>
    </w:p>
    <w:p>
      <w:pPr>
        <w:spacing w:after="0" w:line="366"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8"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March 31, 2017. Due to timing and other factors, the data may not agree with the mine data retrieval system maintained by the MSHA at www.MSHA.gov.</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2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Pattern of</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Violations</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Have Pattern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18"/>
              <w:spacing w:after="0" w:line="133" w:lineRule="exact"/>
              <w:rPr>
                <w:sz w:val="20"/>
                <w:szCs w:val="20"/>
                <w:color w:val="auto"/>
              </w:rPr>
            </w:pPr>
            <w:r>
              <w:rPr>
                <w:rFonts w:ascii="Times New Roman" w:cs="Times New Roman" w:eastAsia="Times New Roman" w:hAnsi="Times New Roman"/>
                <w:sz w:val="12"/>
                <w:szCs w:val="12"/>
                <w:color w:val="auto"/>
              </w:rPr>
              <w:t>Section 104(d)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Section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Pending as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Mine or Operating Name/MSHA</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 104</w:t>
            </w:r>
          </w:p>
        </w:tc>
        <w:tc>
          <w:tcPr>
            <w:tcW w:w="302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auto"/>
              </w:rPr>
              <w:t>Section 104(b) Citations and Section 110(b) Section 107(a)</w:t>
            </w: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Proposed MSHA</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Related</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Last Day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Initiated During</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Identification Number</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S&amp;S Citations</w:t>
            </w:r>
          </w:p>
        </w:tc>
        <w:tc>
          <w:tcPr>
            <w:tcW w:w="66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2"/>
                <w:szCs w:val="12"/>
                <w:color w:val="auto"/>
              </w:rPr>
              <w:t>Orders</w:t>
            </w:r>
          </w:p>
        </w:tc>
        <w:tc>
          <w:tcPr>
            <w:tcW w:w="86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2"/>
                <w:szCs w:val="12"/>
                <w:color w:val="auto"/>
              </w:rPr>
              <w:t>Orders</w:t>
            </w:r>
          </w:p>
        </w:tc>
        <w:tc>
          <w:tcPr>
            <w:tcW w:w="8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(2) Violations</w:t>
            </w: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Orders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Assessments</w:t>
            </w:r>
            <w:r>
              <w:rPr>
                <w:rFonts w:ascii="Times New Roman" w:cs="Times New Roman" w:eastAsia="Times New Roman" w:hAnsi="Times New Roman"/>
                <w:sz w:val="10"/>
                <w:szCs w:val="10"/>
                <w:color w:val="auto"/>
              </w:rPr>
              <w:t>(1)</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Fatalities</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 Plant/1600825</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Battle Mountain Grinding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Plant/2600828</w:t>
            </w: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 Barite Grinding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 Operation/4800602</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399"/>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 Operation/4800603</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Greystone Mine/2600411</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Mountain Springs Beneficiation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6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$276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Plant/2601390</w:t>
            </w: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Proppants/4703742</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940" w:right="120" w:hanging="376"/>
        <w:spacing w:after="0" w:line="302" w:lineRule="auto"/>
        <w:tabs>
          <w:tab w:leader="none" w:pos="94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included are the total dollar value of proposed assessments received from MSHA on or before March 31, 2017,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 of March 31, 2017 MSHA had not yet proposed an assessment for one citation at Amelia Barite Plant/1600825.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 of March 31, 2017, MSHA had not yet proposed assessments for six citations at Wisconsin Proppants/4703742.</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1."/>
      <w:numFmt w:val="decimal"/>
      <w:start w:val="1"/>
    </w:lvl>
  </w:abstractNum>
  <w:abstractNum w:abstractNumId="2">
    <w:nsid w:val="14E17E33"/>
    <w:multiLevelType w:val="hybridMultilevel"/>
    <w:lvl w:ilvl="0">
      <w:lvlJc w:val="left"/>
      <w:lvlText w:val="%1."/>
      <w:numFmt w:val="decimal"/>
      <w:start w:val="2"/>
    </w:lvl>
  </w:abstractNum>
  <w:abstractNum w:abstractNumId="3">
    <w:nsid w:val="3222E7CD"/>
    <w:multiLevelType w:val="hybridMultilevel"/>
    <w:lvl w:ilvl="0">
      <w:lvlJc w:val="left"/>
      <w:lvlText w:val="%1."/>
      <w:numFmt w:val="decimal"/>
      <w:start w:val="3"/>
    </w:lvl>
  </w:abstractNum>
  <w:abstractNum w:abstractNumId="4">
    <w:nsid w:val="74DE0EE3"/>
    <w:multiLevelType w:val="hybridMultilevel"/>
    <w:lvl w:ilvl="0">
      <w:lvlJc w:val="left"/>
      <w:lvlText w:val="%1."/>
      <w:numFmt w:val="decimal"/>
      <w:start w:val="4"/>
    </w:lvl>
  </w:abstractNum>
  <w:abstractNum w:abstractNumId="5">
    <w:nsid w:val="68EBC550"/>
    <w:multiLevelType w:val="hybridMultilevel"/>
    <w:lvl w:ilvl="0">
      <w:lvlJc w:val="left"/>
      <w:lvlText w:val="%1."/>
      <w:numFmt w:val="decimal"/>
      <w:start w:val="5"/>
    </w:lvl>
  </w:abstractNum>
  <w:abstractNum w:abstractNumId="6">
    <w:nsid w:val="2DF6D648"/>
    <w:multiLevelType w:val="hybridMultilevel"/>
    <w:lvl w:ilvl="0">
      <w:lvlJc w:val="left"/>
      <w:lvlText w:val="%1."/>
      <w:numFmt w:val="decimal"/>
      <w:start w:val="7"/>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1."/>
      <w:numFmt w:val="decimal"/>
      <w:start w:val="8"/>
    </w:lvl>
  </w:abstractNum>
  <w:abstractNum w:abstractNumId="10">
    <w:nsid w:val="57FC4FBB"/>
    <w:multiLevelType w:val="hybridMultilevel"/>
    <w:lvl w:ilvl="0">
      <w:lvlJc w:val="left"/>
      <w:lvlText w:val="%1."/>
      <w:numFmt w:val="decimal"/>
      <w:start w:val="9"/>
    </w:lvl>
  </w:abstractNum>
  <w:abstractNum w:abstractNumId="11">
    <w:nsid w:val="CC1016F"/>
    <w:multiLevelType w:val="hybridMultilevel"/>
    <w:lvl w:ilvl="0">
      <w:lvlJc w:val="left"/>
      <w:lvlText w:val="%1."/>
      <w:numFmt w:val="decimal"/>
      <w:start w:val="10"/>
    </w:lvl>
  </w:abstractNum>
  <w:abstractNum w:abstractNumId="12">
    <w:nsid w:val="43F18422"/>
    <w:multiLevelType w:val="hybridMultilevel"/>
    <w:lvl w:ilvl="0">
      <w:lvlJc w:val="left"/>
      <w:lvlText w:val="%1."/>
      <w:numFmt w:val="decimal"/>
      <w:start w:val="11"/>
    </w:lvl>
  </w:abstractNum>
  <w:abstractNum w:abstractNumId="13">
    <w:nsid w:val="60EF0119"/>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4">
    <w:nsid w:val="26F324BA"/>
    <w:multiLevelType w:val="hybridMultilevel"/>
    <w:lvl w:ilvl="0">
      <w:lvlJc w:val="left"/>
      <w:lvlText w:val="%1."/>
      <w:numFmt w:val="decimal"/>
      <w:start w:val="13"/>
    </w:lvl>
  </w:abstractNum>
  <w:abstractNum w:abstractNumId="15">
    <w:nsid w:val="7F01579B"/>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16">
    <w:nsid w:val="49DA307D"/>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17">
    <w:nsid w:val="7055A5F5"/>
    <w:multiLevelType w:val="hybridMultilevel"/>
    <w:lvl w:ilvl="0">
      <w:lvlJc w:val="left"/>
      <w:lvlText w:val="(%1)"/>
      <w:numFmt w:val="decimal"/>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1."/>
      <w:numFmt w:val="decimal"/>
      <w:start w:val="1"/>
    </w:lvl>
  </w:abstractNum>
  <w:abstractNum w:abstractNumId="24">
    <w:nsid w:val="6FC75AF8"/>
    <w:multiLevelType w:val="hybridMultilevel"/>
    <w:lvl w:ilvl="0">
      <w:lvlJc w:val="left"/>
      <w:lvlText w:val="(%1)"/>
      <w:numFmt w:val="lowerLetter"/>
      <w:start w:val="1"/>
    </w:lvl>
  </w:abstractNum>
  <w:abstractNum w:abstractNumId="25">
    <w:nsid w:val="6A5F7029"/>
    <w:multiLevelType w:val="hybridMultilevel"/>
    <w:lvl w:ilvl="0">
      <w:lvlJc w:val="left"/>
      <w:lvlText w:val="%1."/>
      <w:numFmt w:val="decimal"/>
      <w:start w:val="3"/>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decimal"/>
      <w:start w:val="5"/>
    </w:lvl>
  </w:abstractNum>
  <w:abstractNum w:abstractNumId="28">
    <w:nsid w:val="73A1821B"/>
    <w:multiLevelType w:val="hybridMultilevel"/>
    <w:lvl w:ilvl="0">
      <w:lvlJc w:val="left"/>
      <w:lvlText w:val="(%1)"/>
      <w:numFmt w:val="lowerLetter"/>
      <w:start w:val="1"/>
    </w:lvl>
  </w:abstractNum>
  <w:abstractNum w:abstractNumId="29">
    <w:nsid w:val="7DE67713"/>
    <w:multiLevelType w:val="hybridMultilevel"/>
    <w:lvl w:ilvl="0">
      <w:lvlJc w:val="left"/>
      <w:lvlText w:val="%1."/>
      <w:numFmt w:val="decimal"/>
      <w:start w:val="6"/>
    </w:lvl>
  </w:abstractNum>
  <w:abstractNum w:abstractNumId="30">
    <w:nsid w:val="555C55B5"/>
    <w:multiLevelType w:val="hybridMultilevel"/>
    <w:lvl w:ilvl="0">
      <w:lvlJc w:val="left"/>
      <w:lvlText w:val="(%1)"/>
      <w:numFmt w:val="lowerLetter"/>
      <w:start w:val="1"/>
    </w:lvl>
  </w:abstractNum>
  <w:abstractNum w:abstractNumId="31">
    <w:nsid w:val="3FA62ACA"/>
    <w:multiLevelType w:val="hybridMultilevel"/>
    <w:lvl w:ilvl="0">
      <w:lvlJc w:val="left"/>
      <w:lvlText w:val="%1."/>
      <w:numFmt w:val="decimal"/>
      <w:start w:val="7"/>
    </w:lvl>
  </w:abstractNum>
  <w:abstractNum w:abstractNumId="32">
    <w:nsid w:val="14FCE74E"/>
    <w:multiLevelType w:val="hybridMultilevel"/>
    <w:lvl w:ilvl="0">
      <w:lvlJc w:val="left"/>
      <w:lvlText w:val="%1."/>
      <w:numFmt w:val="decimal"/>
      <w:start w:val="8"/>
    </w:lvl>
  </w:abstractNum>
  <w:abstractNum w:abstractNumId="33">
    <w:nsid w:val="6A3DD3E8"/>
    <w:multiLevelType w:val="hybridMultilevel"/>
    <w:lvl w:ilvl="0">
      <w:lvlJc w:val="left"/>
      <w:lvlText w:val="(%1)"/>
      <w:numFmt w:val="lowerLetter"/>
      <w:start w:val="1"/>
    </w:lvl>
  </w:abstractNum>
  <w:abstractNum w:abstractNumId="34">
    <w:nsid w:val="71C91298"/>
    <w:multiLevelType w:val="hybridMultilevel"/>
    <w:lvl w:ilvl="0">
      <w:lvlJc w:val="left"/>
      <w:lvlText w:val="%1."/>
      <w:numFmt w:val="decimal"/>
      <w:start w:val="10"/>
    </w:lvl>
  </w:abstractNum>
  <w:abstractNum w:abstractNumId="35">
    <w:nsid w:val="9DAF632"/>
    <w:multiLevelType w:val="hybridMultilevel"/>
    <w:lvl w:ilvl="0">
      <w:lvlJc w:val="left"/>
      <w:lvlText w:val="(%1)"/>
      <w:numFmt w:val="lowerLetter"/>
      <w:start w:val="1"/>
    </w:lvl>
  </w:abstractNum>
  <w:abstractNum w:abstractNumId="36">
    <w:nsid w:val="53299938"/>
    <w:multiLevelType w:val="hybridMultilevel"/>
    <w:lvl w:ilvl="0">
      <w:lvlJc w:val="left"/>
      <w:lvlText w:val="%1."/>
      <w:numFmt w:val="decimal"/>
      <w:start w:val="14"/>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lowerLetter"/>
      <w:start w:val="12"/>
    </w:lvl>
  </w:abstractNum>
  <w:abstractNum w:abstractNumId="39">
    <w:nsid w:val="1D545C4D"/>
    <w:multiLevelType w:val="hybridMultilevel"/>
    <w:lvl w:ilvl="0">
      <w:lvlJc w:val="left"/>
      <w:lvlText w:val="%1."/>
      <w:numFmt w:val="decimal"/>
      <w:start w:val="15"/>
    </w:lvl>
  </w:abstractNum>
  <w:abstractNum w:abstractNumId="40">
    <w:nsid w:val="59ADEA3D"/>
    <w:multiLevelType w:val="hybridMultilevel"/>
    <w:lvl w:ilvl="0">
      <w:lvlJc w:val="left"/>
      <w:lvlText w:val="(%1)"/>
      <w:numFmt w:val="lowerLetter"/>
      <w:start w:val="1"/>
    </w:lvl>
  </w:abstractNum>
  <w:abstractNum w:abstractNumId="41">
    <w:nsid w:val="288F1A34"/>
    <w:multiLevelType w:val="hybridMultilevel"/>
    <w:lvl w:ilvl="0">
      <w:lvlJc w:val="left"/>
      <w:lvlText w:val="(%1)"/>
      <w:numFmt w:val="lowerLetter"/>
      <w:start w:val="5"/>
    </w:lvl>
  </w:abstractNum>
  <w:abstractNum w:abstractNumId="42">
    <w:nsid w:val="2A155DBC"/>
    <w:multiLevelType w:val="hybridMultilevel"/>
    <w:lvl w:ilvl="0">
      <w:lvlJc w:val="left"/>
      <w:lvlText w:val="%1."/>
      <w:numFmt w:val="decimal"/>
      <w:start w:val="16"/>
    </w:lvl>
  </w:abstractNum>
  <w:abstractNum w:abstractNumId="43">
    <w:nsid w:val="1D9F6E5F"/>
    <w:multiLevelType w:val="hybridMultilevel"/>
    <w:lvl w:ilvl="0">
      <w:lvlJc w:val="left"/>
      <w:lvlText w:val="%1."/>
      <w:numFmt w:val="decimal"/>
      <w:start w:val="2"/>
    </w:lvl>
  </w:abstractNum>
  <w:abstractNum w:abstractNumId="44">
    <w:nsid w:val="97E1B4E"/>
    <w:multiLevelType w:val="hybridMultilevel"/>
    <w:lvl w:ilvl="0">
      <w:lvlJc w:val="left"/>
      <w:lvlText w:val="%1."/>
      <w:numFmt w:val="decimal"/>
      <w:start w:val="5"/>
    </w:lvl>
  </w:abstractNum>
  <w:abstractNum w:abstractNumId="45">
    <w:nsid w:val="51088277"/>
    <w:multiLevelType w:val="hybridMultilevel"/>
    <w:lvl w:ilvl="0">
      <w:lvlJc w:val="left"/>
      <w:lvlText w:val="%1."/>
      <w:numFmt w:val="decimal"/>
      <w:start w:val="10"/>
    </w:lvl>
  </w:abstractNum>
  <w:abstractNum w:abstractNumId="46">
    <w:nsid w:val="1CA0C5FA"/>
    <w:multiLevelType w:val="hybridMultilevel"/>
    <w:lvl w:ilvl="0">
      <w:lvlJc w:val="left"/>
      <w:lvlText w:val="%1"/>
      <w:numFmt w:val="decimal"/>
      <w:start w:val="1"/>
    </w:lvl>
    <w:lvl w:ilvl="1">
      <w:lvlJc w:val="left"/>
      <w:lvlText w:val="%2."/>
      <w:numFmt w:val="decimal"/>
      <w:start w:val="11"/>
    </w:lvl>
  </w:abstractNum>
  <w:abstractNum w:abstractNumId="47">
    <w:nsid w:val="53584BCB"/>
    <w:multiLevelType w:val="hybridMultilevel"/>
    <w:lvl w:ilvl="0">
      <w:lvlJc w:val="left"/>
      <w:lvlText w:val="(%1)"/>
      <w:numFmt w:val="decimal"/>
      <w:start w:val="1"/>
    </w:lvl>
    <w:lvl w:ilvl="1">
      <w:lvlJc w:val="left"/>
      <w:lvlText w:val="%2."/>
      <w:numFmt w:val="decimal"/>
      <w:start w:val="12"/>
    </w:lvl>
  </w:abstractNum>
  <w:abstractNum w:abstractNumId="48">
    <w:nsid w:val="415E286C"/>
    <w:multiLevelType w:val="hybridMultilevel"/>
    <w:lvl w:ilvl="0">
      <w:lvlJc w:val="left"/>
      <w:lvlText w:val="(%1)"/>
      <w:numFmt w:val="lowerLetter"/>
      <w:start w:val="2"/>
    </w:lvl>
  </w:abstractNum>
  <w:abstractNum w:abstractNumId="49">
    <w:nsid w:val="7C58FD05"/>
    <w:multiLevelType w:val="hybridMultilevel"/>
    <w:lvl w:ilvl="0">
      <w:lvlJc w:val="left"/>
      <w:lvlText w:val="%1."/>
      <w:numFmt w:val="decimal"/>
      <w:start w:val="14"/>
    </w:lvl>
  </w:abstractNum>
  <w:abstractNum w:abstractNumId="50">
    <w:nsid w:val="23D86AAC"/>
    <w:multiLevelType w:val="hybridMultilevel"/>
    <w:lvl w:ilvl="0">
      <w:lvlJc w:val="left"/>
      <w:lvlText w:val="%1."/>
      <w:numFmt w:val="decimal"/>
      <w:start w:val="15"/>
    </w:lvl>
  </w:abstractNum>
  <w:abstractNum w:abstractNumId="51">
    <w:nsid w:val="45E6D486"/>
    <w:multiLevelType w:val="hybridMultilevel"/>
    <w:lvl w:ilvl="0">
      <w:lvlJc w:val="left"/>
      <w:lvlText w:val="%1."/>
      <w:numFmt w:val="decimal"/>
      <w:start w:val="1"/>
    </w:lvl>
  </w:abstractNum>
  <w:abstractNum w:abstractNumId="52">
    <w:nsid w:val="5C10FE21"/>
    <w:multiLevelType w:val="hybridMultilevel"/>
    <w:lvl w:ilvl="0">
      <w:lvlJc w:val="left"/>
      <w:lvlText w:val="(%1)"/>
      <w:numFmt w:val="lowerLetter"/>
      <w:start w:val="1"/>
    </w:lvl>
  </w:abstractNum>
  <w:abstractNum w:abstractNumId="53">
    <w:nsid w:val="E7FFA2B"/>
    <w:multiLevelType w:val="hybridMultilevel"/>
    <w:lvl w:ilvl="0">
      <w:lvlJc w:val="left"/>
      <w:lvlText w:val="%1."/>
      <w:numFmt w:val="decimal"/>
      <w:start w:val="3"/>
    </w:lvl>
  </w:abstractNum>
  <w:abstractNum w:abstractNumId="54">
    <w:nsid w:val="3C5991AA"/>
    <w:multiLevelType w:val="hybridMultilevel"/>
    <w:lvl w:ilvl="0">
      <w:lvlJc w:val="left"/>
      <w:lvlText w:val="%1."/>
      <w:numFmt w:val="decimal"/>
      <w:start w:val="4"/>
    </w:lvl>
  </w:abstractNum>
  <w:abstractNum w:abstractNumId="55">
    <w:nsid w:val="4BD8591A"/>
    <w:multiLevelType w:val="hybridMultilevel"/>
    <w:lvl w:ilvl="0">
      <w:lvlJc w:val="left"/>
      <w:lvlText w:val="(%1)"/>
      <w:numFmt w:val="lowerLetter"/>
      <w:start w:val="1"/>
    </w:lvl>
  </w:abstractNum>
  <w:abstractNum w:abstractNumId="56">
    <w:nsid w:val="78DF6A55"/>
    <w:multiLevelType w:val="hybridMultilevel"/>
    <w:lvl w:ilvl="0">
      <w:lvlJc w:val="left"/>
      <w:lvlText w:val="%1."/>
      <w:numFmt w:val="decimal"/>
      <w:start w:val="5"/>
    </w:lvl>
  </w:abstractNum>
  <w:abstractNum w:abstractNumId="57">
    <w:nsid w:val="39B7AAA2"/>
    <w:multiLevelType w:val="hybridMultilevel"/>
    <w:lvl w:ilvl="0">
      <w:lvlJc w:val="left"/>
      <w:lvlText w:val="(%1)"/>
      <w:numFmt w:val="lowerLetter"/>
      <w:start w:val="1"/>
    </w:lvl>
  </w:abstractNum>
  <w:abstractNum w:abstractNumId="58">
    <w:nsid w:val="2B0D8DBE"/>
    <w:multiLevelType w:val="hybridMultilevel"/>
    <w:lvl w:ilvl="0">
      <w:lvlJc w:val="left"/>
      <w:lvlText w:val="%1."/>
      <w:numFmt w:val="decimal"/>
      <w:start w:val="6"/>
    </w:lvl>
  </w:abstractNum>
  <w:abstractNum w:abstractNumId="59">
    <w:nsid w:val="6C80EC70"/>
    <w:multiLevelType w:val="hybridMultilevel"/>
    <w:lvl w:ilvl="0">
      <w:lvlJc w:val="left"/>
      <w:lvlText w:val="(%1)"/>
      <w:numFmt w:val="lowerLetter"/>
      <w:start w:val="1"/>
    </w:lvl>
  </w:abstractNum>
  <w:abstractNum w:abstractNumId="60">
    <w:nsid w:val="379E21B5"/>
    <w:multiLevelType w:val="hybridMultilevel"/>
    <w:lvl w:ilvl="0">
      <w:lvlJc w:val="left"/>
      <w:lvlText w:val="%1."/>
      <w:numFmt w:val="decimal"/>
      <w:start w:val="12"/>
    </w:lvl>
  </w:abstractNum>
  <w:abstractNum w:abstractNumId="61">
    <w:nsid w:val="69E373"/>
    <w:multiLevelType w:val="hybridMultilevel"/>
    <w:lvl w:ilvl="0">
      <w:lvlJc w:val="left"/>
      <w:lvlText w:val="(%1)"/>
      <w:numFmt w:val="lowerLetter"/>
      <w:start w:val="1"/>
    </w:lvl>
  </w:abstractNum>
  <w:abstractNum w:abstractNumId="62">
    <w:nsid w:val="2C27173B"/>
    <w:multiLevelType w:val="hybridMultilevel"/>
    <w:lvl w:ilvl="0">
      <w:lvlJc w:val="left"/>
      <w:lvlText w:val="(%1)"/>
      <w:numFmt w:val="lowerLetter"/>
      <w:start w:val="11"/>
    </w:lvl>
  </w:abstractNum>
  <w:abstractNum w:abstractNumId="63">
    <w:nsid w:val="4C9B0904"/>
    <w:multiLevelType w:val="hybridMultilevel"/>
    <w:lvl w:ilvl="0">
      <w:lvlJc w:val="left"/>
      <w:lvlText w:val="%1."/>
      <w:numFmt w:val="decimal"/>
      <w:start w:val="13"/>
    </w:lvl>
  </w:abstractNum>
  <w:abstractNum w:abstractNumId="64">
    <w:nsid w:val="6AA7B75C"/>
    <w:multiLevelType w:val="hybridMultilevel"/>
    <w:lvl w:ilvl="0">
      <w:lvlJc w:val="left"/>
      <w:lvlText w:val="(%1)"/>
      <w:numFmt w:val="lowerLetter"/>
      <w:start w:val="1"/>
    </w:lvl>
  </w:abstractNum>
  <w:abstractNum w:abstractNumId="65">
    <w:nsid w:val="1DF029D3"/>
    <w:multiLevelType w:val="hybridMultilevel"/>
    <w:lvl w:ilvl="0">
      <w:lvlJc w:val="left"/>
      <w:lvlText w:val="(%1)"/>
      <w:numFmt w:val="lowerLetter"/>
      <w:start w:val="4"/>
    </w:lvl>
  </w:abstractNum>
  <w:abstractNum w:abstractNumId="66">
    <w:nsid w:val="5675FF36"/>
    <w:multiLevelType w:val="hybridMultilevel"/>
    <w:lvl w:ilvl="0">
      <w:lvlJc w:val="left"/>
      <w:lvlText w:val="%1."/>
      <w:numFmt w:val="decimal"/>
      <w:start w:val="14"/>
    </w:lvl>
  </w:abstractNum>
  <w:abstractNum w:abstractNumId="67">
    <w:nsid w:val="3DD15094"/>
    <w:multiLevelType w:val="hybridMultilevel"/>
    <w:lvl w:ilvl="0">
      <w:lvlJc w:val="left"/>
      <w:lvlText w:val="%1."/>
      <w:numFmt w:val="decimal"/>
      <w:start w:val="2"/>
    </w:lvl>
  </w:abstractNum>
  <w:abstractNum w:abstractNumId="68">
    <w:nsid w:val="3DB012B3"/>
    <w:multiLevelType w:val="hybridMultilevel"/>
    <w:lvl w:ilvl="0">
      <w:lvlJc w:val="left"/>
      <w:lvlText w:val="%1."/>
      <w:numFmt w:val="decimal"/>
      <w:start w:val="5"/>
    </w:lvl>
  </w:abstractNum>
  <w:abstractNum w:abstractNumId="69">
    <w:nsid w:val="2708C9AF"/>
    <w:multiLevelType w:val="hybridMultilevel"/>
    <w:lvl w:ilvl="0">
      <w:lvlJc w:val="left"/>
      <w:lvlText w:val="%1."/>
      <w:numFmt w:val="decimal"/>
      <w:start w:val="10"/>
    </w:lvl>
  </w:abstractNum>
  <w:abstractNum w:abstractNumId="70">
    <w:nsid w:val="5B25ACE2"/>
    <w:multiLevelType w:val="hybridMultilevel"/>
    <w:lvl w:ilvl="0">
      <w:lvlJc w:val="left"/>
      <w:lvlText w:val="%1"/>
      <w:numFmt w:val="decimal"/>
      <w:start w:val="1"/>
    </w:lvl>
    <w:lvl w:ilvl="1">
      <w:lvlJc w:val="left"/>
      <w:lvlText w:val="%2."/>
      <w:numFmt w:val="decimal"/>
      <w:start w:val="11"/>
    </w:lvl>
  </w:abstractNum>
  <w:abstractNum w:abstractNumId="71">
    <w:nsid w:val="175DFCF0"/>
    <w:multiLevelType w:val="hybridMultilevel"/>
    <w:lvl w:ilvl="0">
      <w:lvlJc w:val="left"/>
      <w:lvlText w:val="(%1)"/>
      <w:numFmt w:val="decimal"/>
      <w:start w:val="1"/>
    </w:lvl>
    <w:lvl w:ilvl="1">
      <w:lvlJc w:val="left"/>
      <w:lvlText w:val="%2."/>
      <w:numFmt w:val="decimal"/>
      <w:start w:val="12"/>
    </w:lvl>
  </w:abstractNum>
  <w:abstractNum w:abstractNumId="72">
    <w:nsid w:val="4F97E3E4"/>
    <w:multiLevelType w:val="hybridMultilevel"/>
    <w:lvl w:ilvl="0">
      <w:lvlJc w:val="left"/>
      <w:lvlText w:val="(%1)"/>
      <w:numFmt w:val="lowerLetter"/>
      <w:start w:val="2"/>
    </w:lvl>
  </w:abstractNum>
  <w:abstractNum w:abstractNumId="73">
    <w:nsid w:val="53B0A9E"/>
    <w:multiLevelType w:val="hybridMultilevel"/>
    <w:lvl w:ilvl="0">
      <w:lvlJc w:val="left"/>
      <w:lvlText w:val="%1."/>
      <w:numFmt w:val="decimal"/>
      <w:start w:val="14"/>
    </w:lvl>
  </w:abstractNum>
  <w:abstractNum w:abstractNumId="74">
    <w:nsid w:val="34FD6B4F"/>
    <w:multiLevelType w:val="hybridMultilevel"/>
    <w:lvl w:ilvl="0">
      <w:lvlJc w:val="left"/>
      <w:lvlText w:val="%1."/>
      <w:numFmt w:val="decimal"/>
      <w:start w:val="15"/>
    </w:lvl>
  </w:abstractNum>
  <w:abstractNum w:abstractNumId="75">
    <w:nsid w:val="5915FF32"/>
    <w:multiLevelType w:val="hybridMultilevel"/>
    <w:lvl w:ilvl="0">
      <w:lvlJc w:val="left"/>
      <w:lvlText w:val="%1."/>
      <w:numFmt w:val="decimal"/>
      <w:start w:val="1"/>
    </w:lvl>
  </w:abstractNum>
  <w:abstractNum w:abstractNumId="76">
    <w:nsid w:val="56438D15"/>
    <w:multiLevelType w:val="hybridMultilevel"/>
    <w:lvl w:ilvl="0">
      <w:lvlJc w:val="left"/>
      <w:lvlText w:val="(%1)"/>
      <w:numFmt w:val="lowerLetter"/>
      <w:start w:val="1"/>
    </w:lvl>
  </w:abstractNum>
  <w:abstractNum w:abstractNumId="77">
    <w:nsid w:val="519E3149"/>
    <w:multiLevelType w:val="hybridMultilevel"/>
    <w:lvl w:ilvl="0">
      <w:lvlJc w:val="left"/>
      <w:lvlText w:val="(%1)"/>
      <w:numFmt w:val="lowerLetter"/>
      <w:start w:val="2"/>
    </w:lvl>
  </w:abstractNum>
  <w:abstractNum w:abstractNumId="78">
    <w:nsid w:val="2C6E4AFD"/>
    <w:multiLevelType w:val="hybridMultilevel"/>
    <w:lvl w:ilvl="0">
      <w:lvlJc w:val="left"/>
      <w:lvlText w:val="(%1)"/>
      <w:numFmt w:val="lowerLetter"/>
      <w:start w:val="4"/>
    </w:lvl>
  </w:abstractNum>
  <w:abstractNum w:abstractNumId="79">
    <w:nsid w:val="17A1B582"/>
    <w:multiLevelType w:val="hybridMultilevel"/>
    <w:lvl w:ilvl="0">
      <w:lvlJc w:val="left"/>
      <w:lvlText w:val="%1."/>
      <w:numFmt w:val="decimal"/>
      <w:start w:val="3"/>
    </w:lvl>
  </w:abstractNum>
  <w:abstractNum w:abstractNumId="80">
    <w:nsid w:val="4DF72E4E"/>
    <w:multiLevelType w:val="hybridMultilevel"/>
    <w:lvl w:ilvl="0">
      <w:lvlJc w:val="left"/>
      <w:lvlText w:val="(%1)"/>
      <w:numFmt w:val="lowerLetter"/>
      <w:start w:val="1"/>
    </w:lvl>
  </w:abstractNum>
  <w:abstractNum w:abstractNumId="81">
    <w:nsid w:val="5046B5A9"/>
    <w:multiLevelType w:val="hybridMultilevel"/>
    <w:lvl w:ilvl="0">
      <w:lvlJc w:val="left"/>
      <w:lvlText w:val="%1."/>
      <w:numFmt w:val="decimal"/>
      <w:start w:val="4"/>
    </w:lvl>
  </w:abstractNum>
  <w:abstractNum w:abstractNumId="82">
    <w:nsid w:val="5D888A08"/>
    <w:multiLevelType w:val="hybridMultilevel"/>
    <w:lvl w:ilvl="0">
      <w:lvlJc w:val="left"/>
      <w:lvlText w:val="(%1)"/>
      <w:numFmt w:val="lowerLetter"/>
      <w:start w:val="1"/>
    </w:lvl>
  </w:abstractNum>
  <w:abstractNum w:abstractNumId="83">
    <w:nsid w:val="2A082C70"/>
    <w:multiLevelType w:val="hybridMultilevel"/>
    <w:lvl w:ilvl="0">
      <w:lvlJc w:val="left"/>
      <w:lvlText w:val="%1."/>
      <w:numFmt w:val="decimal"/>
      <w:start w:val="6"/>
    </w:lvl>
  </w:abstractNum>
  <w:abstractNum w:abstractNumId="84">
    <w:nsid w:val="5EC6AFD4"/>
    <w:multiLevelType w:val="hybridMultilevel"/>
    <w:lvl w:ilvl="0">
      <w:lvlJc w:val="left"/>
      <w:lvlText w:val="%1."/>
      <w:numFmt w:val="decimal"/>
      <w:start w:val="9"/>
    </w:lvl>
  </w:abstractNum>
  <w:abstractNum w:abstractNumId="85">
    <w:nsid w:val="19E21BB2"/>
    <w:multiLevelType w:val="hybridMultilevel"/>
    <w:lvl w:ilvl="0">
      <w:lvlJc w:val="left"/>
      <w:lvlText w:val="(%1)"/>
      <w:numFmt w:val="lowerLetter"/>
      <w:start w:val="1"/>
    </w:lvl>
  </w:abstractNum>
  <w:abstractNum w:abstractNumId="86">
    <w:nsid w:val="75E0858A"/>
    <w:multiLevelType w:val="hybridMultilevel"/>
    <w:lvl w:ilvl="0">
      <w:lvlJc w:val="left"/>
      <w:lvlText w:val="%1."/>
      <w:numFmt w:val="decimal"/>
      <w:start w:val="14"/>
    </w:lvl>
  </w:abstractNum>
  <w:abstractNum w:abstractNumId="87">
    <w:nsid w:val="57A61A29"/>
    <w:multiLevelType w:val="hybridMultilevel"/>
    <w:lvl w:ilvl="0">
      <w:lvlJc w:val="left"/>
      <w:lvlText w:val="(%1)"/>
      <w:numFmt w:val="lowerLetter"/>
      <w:start w:val="1"/>
    </w:lvl>
  </w:abstractNum>
  <w:abstractNum w:abstractNumId="88">
    <w:nsid w:val="5399C654"/>
    <w:multiLevelType w:val="hybridMultilevel"/>
    <w:lvl w:ilvl="0">
      <w:lvlJc w:val="left"/>
      <w:lvlText w:val="(%1)"/>
      <w:numFmt w:val="lowerLetter"/>
      <w:start w:val="3"/>
    </w:lvl>
  </w:abstractNum>
  <w:abstractNum w:abstractNumId="89">
    <w:nsid w:val="20EE1348"/>
    <w:multiLevelType w:val="hybridMultilevel"/>
    <w:lvl w:ilvl="0">
      <w:lvlJc w:val="left"/>
      <w:lvlText w:val="%1."/>
      <w:numFmt w:val="decimal"/>
      <w:start w:val="17"/>
    </w:lvl>
  </w:abstractNum>
  <w:abstractNum w:abstractNumId="90">
    <w:nsid w:val="4427069A"/>
    <w:multiLevelType w:val="hybridMultilevel"/>
    <w:lvl w:ilvl="0">
      <w:lvlJc w:val="left"/>
      <w:lvlText w:val="(%1)"/>
      <w:numFmt w:val="lowerLetter"/>
      <w:start w:val="1"/>
    </w:lvl>
  </w:abstractNum>
  <w:abstractNum w:abstractNumId="91">
    <w:nsid w:val="B37E80A"/>
    <w:multiLevelType w:val="hybridMultilevel"/>
    <w:lvl w:ilvl="0">
      <w:lvlJc w:val="left"/>
      <w:lvlText w:val="%1."/>
      <w:numFmt w:val="decimal"/>
      <w:start w:val="18"/>
    </w:lvl>
  </w:abstractNum>
  <w:abstractNum w:abstractNumId="92">
    <w:nsid w:val="2157F6BC"/>
    <w:multiLevelType w:val="hybridMultilevel"/>
    <w:lvl w:ilvl="0">
      <w:lvlJc w:val="left"/>
      <w:lvlText w:val="%1."/>
      <w:numFmt w:val="decimal"/>
      <w:start w:val="1"/>
    </w:lvl>
  </w:abstractNum>
  <w:abstractNum w:abstractNumId="93">
    <w:nsid w:val="704E1DD5"/>
    <w:multiLevelType w:val="hybridMultilevel"/>
    <w:lvl w:ilvl="0">
      <w:lvlJc w:val="left"/>
      <w:lvlText w:val="%1."/>
      <w:numFmt w:val="decimal"/>
      <w:start w:val="2"/>
    </w:lvl>
  </w:abstractNum>
  <w:abstractNum w:abstractNumId="94">
    <w:nsid w:val="57D2F10E"/>
    <w:multiLevelType w:val="hybridMultilevel"/>
    <w:lvl w:ilvl="0">
      <w:lvlJc w:val="left"/>
      <w:lvlText w:val="%1."/>
      <w:numFmt w:val="decimal"/>
      <w:start w:val="5"/>
    </w:lvl>
  </w:abstractNum>
  <w:abstractNum w:abstractNumId="95">
    <w:nsid w:val="BFFAE18"/>
    <w:multiLevelType w:val="hybridMultilevel"/>
    <w:lvl w:ilvl="0">
      <w:lvlJc w:val="left"/>
      <w:lvlText w:val="%1."/>
      <w:numFmt w:val="decimal"/>
      <w:start w:val="10"/>
    </w:lvl>
  </w:abstractNum>
  <w:abstractNum w:abstractNumId="96">
    <w:nsid w:val="E3E47A8"/>
    <w:multiLevelType w:val="hybridMultilevel"/>
    <w:lvl w:ilvl="0">
      <w:lvlJc w:val="left"/>
      <w:lvlText w:val="%1"/>
      <w:numFmt w:val="decimal"/>
      <w:start w:val="1"/>
    </w:lvl>
    <w:lvl w:ilvl="1">
      <w:lvlJc w:val="left"/>
      <w:lvlText w:val="%2."/>
      <w:numFmt w:val="decimal"/>
      <w:start w:val="11"/>
    </w:lvl>
  </w:abstractNum>
  <w:abstractNum w:abstractNumId="97">
    <w:nsid w:val="2E48F044"/>
    <w:multiLevelType w:val="hybridMultilevel"/>
    <w:lvl w:ilvl="0">
      <w:lvlJc w:val="left"/>
      <w:lvlText w:val="(%1)"/>
      <w:numFmt w:val="decimal"/>
      <w:start w:val="1"/>
    </w:lvl>
    <w:lvl w:ilvl="1">
      <w:lvlJc w:val="left"/>
      <w:lvlText w:val="%2."/>
      <w:numFmt w:val="decimal"/>
      <w:start w:val="12"/>
    </w:lvl>
  </w:abstractNum>
  <w:abstractNum w:abstractNumId="98">
    <w:nsid w:val="49D0FEAC"/>
    <w:multiLevelType w:val="hybridMultilevel"/>
    <w:lvl w:ilvl="0">
      <w:lvlJc w:val="left"/>
      <w:lvlText w:val="(%1)"/>
      <w:numFmt w:val="lowerLetter"/>
      <w:start w:val="2"/>
    </w:lvl>
  </w:abstractNum>
  <w:abstractNum w:abstractNumId="99">
    <w:nsid w:val="4BEE5A5B"/>
    <w:multiLevelType w:val="hybridMultilevel"/>
    <w:lvl w:ilvl="0">
      <w:lvlJc w:val="left"/>
      <w:lvlText w:val="%1."/>
      <w:numFmt w:val="decimal"/>
      <w:start w:val="15"/>
    </w:lvl>
  </w:abstractNum>
  <w:abstractNum w:abstractNumId="100">
    <w:nsid w:val="5551B9F3"/>
    <w:multiLevelType w:val="hybridMultilevel"/>
    <w:lvl w:ilvl="0">
      <w:lvlJc w:val="left"/>
      <w:lvlText w:val="%1."/>
      <w:numFmt w:val="decimal"/>
      <w:start w:val="16"/>
    </w:lvl>
  </w:abstractNum>
  <w:abstractNum w:abstractNumId="101">
    <w:nsid w:val="24F6AB8E"/>
    <w:multiLevelType w:val="hybridMultilevel"/>
    <w:lvl w:ilvl="0">
      <w:lvlJc w:val="left"/>
      <w:lvlText w:val="%1."/>
      <w:numFmt w:val="decimal"/>
      <w:start w:val="1"/>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decimal"/>
      <w:start w:val="2"/>
    </w:lvl>
  </w:abstractNum>
  <w:abstractNum w:abstractNumId="104">
    <w:nsid w:val="2A31B62D"/>
    <w:multiLevelType w:val="hybridMultilevel"/>
    <w:lvl w:ilvl="0">
      <w:lvlJc w:val="left"/>
      <w:lvlText w:val="(%1)"/>
      <w:numFmt w:val="lowerLetter"/>
      <w:start w:val="1"/>
    </w:lvl>
  </w:abstractNum>
  <w:abstractNum w:abstractNumId="105">
    <w:nsid w:val="1849C29B"/>
    <w:multiLevelType w:val="hybridMultilevel"/>
    <w:lvl w:ilvl="0">
      <w:lvlJc w:val="left"/>
      <w:lvlText w:val="%1."/>
      <w:numFmt w:val="decimal"/>
      <w:start w:val="4"/>
    </w:lvl>
  </w:abstractNum>
  <w:abstractNum w:abstractNumId="106">
    <w:nsid w:val="7DFF9D09"/>
    <w:multiLevelType w:val="hybridMultilevel"/>
    <w:lvl w:ilvl="0">
      <w:lvlJc w:val="left"/>
      <w:lvlText w:val="(%1)"/>
      <w:numFmt w:val="lowerLetter"/>
      <w:start w:val="1"/>
    </w:lvl>
  </w:abstractNum>
  <w:abstractNum w:abstractNumId="107">
    <w:nsid w:val="754342"/>
    <w:multiLevelType w:val="hybridMultilevel"/>
    <w:lvl w:ilvl="0">
      <w:lvlJc w:val="left"/>
      <w:lvlText w:val="%1."/>
      <w:numFmt w:val="decimal"/>
      <w:start w:val="5"/>
    </w:lvl>
  </w:abstractNum>
  <w:abstractNum w:abstractNumId="108">
    <w:nsid w:val="69E7F3E5"/>
    <w:multiLevelType w:val="hybridMultilevel"/>
    <w:lvl w:ilvl="0">
      <w:lvlJc w:val="left"/>
      <w:lvlText w:val="(%1)"/>
      <w:numFmt w:val="lowerLetter"/>
      <w:start w:val="1"/>
    </w:lvl>
  </w:abstractNum>
  <w:abstractNum w:abstractNumId="109">
    <w:nsid w:val="2A6DE806"/>
    <w:multiLevelType w:val="hybridMultilevel"/>
    <w:lvl w:ilvl="0">
      <w:lvlJc w:val="left"/>
      <w:lvlText w:val="%1."/>
      <w:numFmt w:val="decimal"/>
      <w:start w:val="11"/>
    </w:lvl>
  </w:abstractNum>
  <w:abstractNum w:abstractNumId="110">
    <w:nsid w:val="1816F8C4"/>
    <w:multiLevelType w:val="hybridMultilevel"/>
    <w:lvl w:ilvl="0">
      <w:lvlJc w:val="left"/>
      <w:lvlText w:val="%1"/>
      <w:numFmt w:val="upperLetter"/>
      <w:start w:val="1"/>
    </w:lvl>
    <w:lvl w:ilvl="1">
      <w:lvlJc w:val="left"/>
      <w:lvlText w:val="(%2)"/>
      <w:numFmt w:val="lowerLetter"/>
      <w:start w:val="1"/>
    </w:lvl>
  </w:abstractNum>
  <w:abstractNum w:abstractNumId="111">
    <w:nsid w:val="37DF2233"/>
    <w:multiLevelType w:val="hybridMultilevel"/>
    <w:lvl w:ilvl="0">
      <w:lvlJc w:val="left"/>
      <w:lvlText w:val="(%1)"/>
      <w:numFmt w:val="upperLetter"/>
      <w:start w:val="1"/>
    </w:lvl>
    <w:lvl w:ilvl="1">
      <w:lvlJc w:val="left"/>
      <w:lvlText w:val="(%2)"/>
      <w:numFmt w:val="lowerLetter"/>
      <w:start w:val="9"/>
    </w:lvl>
  </w:abstractNum>
  <w:abstractNum w:abstractNumId="112">
    <w:nsid w:val="7AB49DAF"/>
    <w:multiLevelType w:val="hybridMultilevel"/>
    <w:lvl w:ilvl="0">
      <w:lvlJc w:val="left"/>
      <w:lvlText w:val="(%1)"/>
      <w:numFmt w:val="lowerLetter"/>
      <w:start w:val="17"/>
    </w:lvl>
  </w:abstractNum>
  <w:abstractNum w:abstractNumId="113">
    <w:nsid w:val="759F82CD"/>
    <w:multiLevelType w:val="hybridMultilevel"/>
    <w:lvl w:ilvl="0">
      <w:lvlJc w:val="left"/>
      <w:lvlText w:val="%1."/>
      <w:numFmt w:val="decimal"/>
      <w:start w:val="12"/>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lowerLetter"/>
      <w:start w:val="8"/>
    </w:lvl>
  </w:abstractNum>
  <w:abstractNum w:abstractNumId="116">
    <w:nsid w:val="F819E7F"/>
    <w:multiLevelType w:val="hybridMultilevel"/>
    <w:lvl w:ilvl="0">
      <w:lvlJc w:val="left"/>
      <w:lvlText w:val="%1."/>
      <w:numFmt w:val="decimal"/>
      <w:start w:val="14"/>
    </w:lvl>
  </w:abstractNum>
  <w:abstractNum w:abstractNumId="117">
    <w:nsid w:val="57C7D42D"/>
    <w:multiLevelType w:val="hybridMultilevel"/>
    <w:lvl w:ilvl="0">
      <w:lvlJc w:val="left"/>
      <w:lvlText w:val="%1."/>
      <w:numFmt w:val="decimal"/>
      <w:start w:val="2"/>
    </w:lvl>
  </w:abstractNum>
  <w:abstractNum w:abstractNumId="118">
    <w:nsid w:val="312167AD"/>
    <w:multiLevelType w:val="hybridMultilevel"/>
    <w:lvl w:ilvl="0">
      <w:lvlJc w:val="left"/>
      <w:lvlText w:val="%1."/>
      <w:numFmt w:val="decimal"/>
      <w:start w:val="5"/>
    </w:lvl>
  </w:abstractNum>
  <w:abstractNum w:abstractNumId="119">
    <w:nsid w:val="631B64D4"/>
    <w:multiLevelType w:val="hybridMultilevel"/>
    <w:lvl w:ilvl="0">
      <w:lvlJc w:val="left"/>
      <w:lvlText w:val="%1."/>
      <w:numFmt w:val="decimal"/>
      <w:start w:val="10"/>
    </w:lvl>
  </w:abstractNum>
  <w:abstractNum w:abstractNumId="120">
    <w:nsid w:val="78B5E776"/>
    <w:multiLevelType w:val="hybridMultilevel"/>
    <w:lvl w:ilvl="0">
      <w:lvlJc w:val="left"/>
      <w:lvlText w:val="%1"/>
      <w:numFmt w:val="decimal"/>
      <w:start w:val="1"/>
    </w:lvl>
    <w:lvl w:ilvl="1">
      <w:lvlJc w:val="left"/>
      <w:lvlText w:val="%2."/>
      <w:numFmt w:val="decimal"/>
      <w:start w:val="11"/>
    </w:lvl>
  </w:abstractNum>
  <w:abstractNum w:abstractNumId="121">
    <w:nsid w:val="75486E47"/>
    <w:multiLevelType w:val="hybridMultilevel"/>
    <w:lvl w:ilvl="0">
      <w:lvlJc w:val="left"/>
      <w:lvlText w:val="(%1)"/>
      <w:numFmt w:val="decimal"/>
      <w:start w:val="1"/>
    </w:lvl>
    <w:lvl w:ilvl="1">
      <w:lvlJc w:val="left"/>
      <w:lvlText w:val="%2."/>
      <w:numFmt w:val="decimal"/>
      <w:start w:val="12"/>
    </w:lvl>
  </w:abstractNum>
  <w:abstractNum w:abstractNumId="122">
    <w:nsid w:val="6E534CDE"/>
    <w:multiLevelType w:val="hybridMultilevel"/>
    <w:lvl w:ilvl="0">
      <w:lvlJc w:val="left"/>
      <w:lvlText w:val="(%1)"/>
      <w:numFmt w:val="lowerLetter"/>
      <w:start w:val="1"/>
    </w:lvl>
  </w:abstractNum>
  <w:abstractNum w:abstractNumId="123">
    <w:nsid w:val="1A0DDE32"/>
    <w:multiLevelType w:val="hybridMultilevel"/>
    <w:lvl w:ilvl="0">
      <w:lvlJc w:val="left"/>
      <w:lvlText w:val="%1."/>
      <w:numFmt w:val="decimal"/>
      <w:start w:val="14"/>
    </w:lvl>
  </w:abstractNum>
  <w:abstractNum w:abstractNumId="124">
    <w:nsid w:val="65968C1C"/>
    <w:multiLevelType w:val="hybridMultilevel"/>
    <w:lvl w:ilvl="0">
      <w:lvlJc w:val="left"/>
      <w:lvlText w:val="%1."/>
      <w:numFmt w:val="decimal"/>
      <w:start w:val="15"/>
    </w:lvl>
  </w:abstractNum>
  <w:abstractNum w:abstractNumId="125">
    <w:nsid w:val="46263DEC"/>
    <w:multiLevelType w:val="hybridMultilevel"/>
    <w:lvl w:ilvl="0">
      <w:lvlJc w:val="left"/>
      <w:lvlText w:val="%1."/>
      <w:numFmt w:val="decimal"/>
      <w:start w:val="1"/>
    </w:lvl>
  </w:abstractNum>
  <w:abstractNum w:abstractNumId="126">
    <w:nsid w:val="260D8C4A"/>
    <w:multiLevelType w:val="hybridMultilevel"/>
    <w:lvl w:ilvl="0">
      <w:lvlJc w:val="left"/>
      <w:lvlText w:val="(%1)"/>
      <w:numFmt w:val="lowerLetter"/>
      <w:start w:val="1"/>
    </w:lvl>
  </w:abstractNum>
  <w:abstractNum w:abstractNumId="127">
    <w:nsid w:val="73D4D3C4"/>
    <w:multiLevelType w:val="hybridMultilevel"/>
    <w:lvl w:ilvl="0">
      <w:lvlJc w:val="left"/>
      <w:lvlText w:val="(%1)"/>
      <w:numFmt w:val="lowerLetter"/>
      <w:start w:val="2"/>
    </w:lvl>
  </w:abstractNum>
  <w:abstractNum w:abstractNumId="128">
    <w:nsid w:val="746F2E30"/>
    <w:multiLevelType w:val="hybridMultilevel"/>
    <w:lvl w:ilvl="0">
      <w:lvlJc w:val="left"/>
      <w:lvlText w:val="%1."/>
      <w:numFmt w:val="decimal"/>
      <w:start w:val="3"/>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decimal"/>
      <w:start w:val="4"/>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1."/>
      <w:numFmt w:val="decimal"/>
      <w:start w:val="5"/>
    </w:lvl>
  </w:abstractNum>
  <w:abstractNum w:abstractNumId="133">
    <w:nsid w:val="230F856C"/>
    <w:multiLevelType w:val="hybridMultilevel"/>
    <w:lvl w:ilvl="0">
      <w:lvlJc w:val="left"/>
      <w:lvlText w:val="%1."/>
      <w:numFmt w:val="decimal"/>
      <w:start w:val="6"/>
    </w:lvl>
  </w:abstractNum>
  <w:abstractNum w:abstractNumId="134">
    <w:nsid w:val="6EAA85FB"/>
    <w:multiLevelType w:val="hybridMultilevel"/>
    <w:lvl w:ilvl="0">
      <w:lvlJc w:val="left"/>
      <w:lvlText w:val="%1"/>
      <w:numFmt w:val="upperLetter"/>
      <w:start w:val="1"/>
    </w:lvl>
    <w:lvl w:ilvl="1">
      <w:lvlJc w:val="left"/>
      <w:lvlText w:val="(%2)"/>
      <w:numFmt w:val="lowerLetter"/>
      <w:start w:val="1"/>
    </w:lvl>
  </w:abstractNum>
  <w:abstractNum w:abstractNumId="135">
    <w:nsid w:val="3F06ECB2"/>
    <w:multiLevelType w:val="hybridMultilevel"/>
    <w:lvl w:ilvl="0">
      <w:lvlJc w:val="left"/>
      <w:lvlText w:val="(%1)"/>
      <w:numFmt w:val="upperLetter"/>
      <w:start w:val="1"/>
    </w:lvl>
    <w:lvl w:ilvl="1">
      <w:lvlJc w:val="left"/>
      <w:lvlText w:val="%2"/>
      <w:numFmt w:val="lowerLetter"/>
      <w:start w:val="1"/>
    </w:lvl>
  </w:abstractNum>
  <w:abstractNum w:abstractNumId="136">
    <w:nsid w:val="3B594807"/>
    <w:multiLevelType w:val="hybridMultilevel"/>
    <w:lvl w:ilvl="0">
      <w:lvlJc w:val="left"/>
      <w:lvlText w:val="(%1)"/>
      <w:numFmt w:val="lowerLetter"/>
      <w:start w:val="8"/>
    </w:lvl>
  </w:abstractNum>
  <w:abstractNum w:abstractNumId="137">
    <w:nsid w:val="6CAA2304"/>
    <w:multiLevelType w:val="hybridMultilevel"/>
    <w:lvl w:ilvl="0">
      <w:lvlJc w:val="left"/>
      <w:lvlText w:val="%1."/>
      <w:numFmt w:val="decimal"/>
      <w:start w:val="12"/>
    </w:lvl>
  </w:abstractNum>
  <w:abstractNum w:abstractNumId="138">
    <w:nsid w:val="3F7C2FF4"/>
    <w:multiLevelType w:val="hybridMultilevel"/>
    <w:lvl w:ilvl="0">
      <w:lvlJc w:val="left"/>
      <w:lvlText w:val="%1."/>
      <w:numFmt w:val="decimal"/>
      <w:start w:val="13"/>
    </w:lvl>
  </w:abstractNum>
  <w:abstractNum w:abstractNumId="139">
    <w:nsid w:val="25413BEC"/>
    <w:multiLevelType w:val="hybridMultilevel"/>
    <w:lvl w:ilvl="0">
      <w:lvlJc w:val="left"/>
      <w:lvlText w:val="%1."/>
      <w:numFmt w:val="decimal"/>
      <w:start w:val="1"/>
    </w:lvl>
  </w:abstractNum>
  <w:abstractNum w:abstractNumId="140">
    <w:nsid w:val="17180B0B"/>
    <w:multiLevelType w:val="hybridMultilevel"/>
    <w:lvl w:ilvl="0">
      <w:lvlJc w:val="left"/>
      <w:lvlText w:val="%1."/>
      <w:numFmt w:val="decimal"/>
      <w:start w:val="2"/>
    </w:lvl>
  </w:abstractNum>
  <w:abstractNum w:abstractNumId="141">
    <w:nsid w:val="579328B9"/>
    <w:multiLevelType w:val="hybridMultilevel"/>
    <w:lvl w:ilvl="0">
      <w:lvlJc w:val="left"/>
      <w:lvlText w:val="%1."/>
      <w:numFmt w:val="decimal"/>
      <w:start w:val="5"/>
    </w:lvl>
  </w:abstractNum>
  <w:abstractNum w:abstractNumId="142">
    <w:nsid w:val="5D205E20"/>
    <w:multiLevelType w:val="hybridMultilevel"/>
    <w:lvl w:ilvl="0">
      <w:lvlJc w:val="left"/>
      <w:lvlText w:val="%1."/>
      <w:numFmt w:val="decimal"/>
      <w:start w:val="10"/>
    </w:lvl>
  </w:abstractNum>
  <w:abstractNum w:abstractNumId="143">
    <w:nsid w:val="11CCA8BA"/>
    <w:multiLevelType w:val="hybridMultilevel"/>
    <w:lvl w:ilvl="0">
      <w:lvlJc w:val="left"/>
      <w:lvlText w:val="%1"/>
      <w:numFmt w:val="decimal"/>
      <w:start w:val="1"/>
    </w:lvl>
    <w:lvl w:ilvl="1">
      <w:lvlJc w:val="left"/>
      <w:lvlText w:val="%2."/>
      <w:numFmt w:val="decimal"/>
      <w:start w:val="11"/>
    </w:lvl>
  </w:abstractNum>
  <w:abstractNum w:abstractNumId="144">
    <w:nsid w:val="4D32AB86"/>
    <w:multiLevelType w:val="hybridMultilevel"/>
    <w:lvl w:ilvl="0">
      <w:lvlJc w:val="left"/>
      <w:lvlText w:val="(%1)"/>
      <w:numFmt w:val="decimal"/>
      <w:start w:val="1"/>
    </w:lvl>
    <w:lvl w:ilvl="1">
      <w:lvlJc w:val="left"/>
      <w:lvlText w:val="%2."/>
      <w:numFmt w:val="decimal"/>
      <w:start w:val="12"/>
    </w:lvl>
  </w:abstractNum>
  <w:abstractNum w:abstractNumId="145">
    <w:nsid w:val="3F07ACC3"/>
    <w:multiLevelType w:val="hybridMultilevel"/>
    <w:lvl w:ilvl="0">
      <w:lvlJc w:val="left"/>
      <w:lvlText w:val="(%1)"/>
      <w:numFmt w:val="lowerLetter"/>
      <w:start w:val="1"/>
    </w:lvl>
  </w:abstractNum>
  <w:abstractNum w:abstractNumId="146">
    <w:nsid w:val="6B47F63E"/>
    <w:multiLevelType w:val="hybridMultilevel"/>
    <w:lvl w:ilvl="0">
      <w:lvlJc w:val="left"/>
      <w:lvlText w:val="%1."/>
      <w:numFmt w:val="decimal"/>
      <w:start w:val="14"/>
    </w:lvl>
  </w:abstractNum>
  <w:abstractNum w:abstractNumId="147">
    <w:nsid w:val="5CB44A05"/>
    <w:multiLevelType w:val="hybridMultilevel"/>
    <w:lvl w:ilvl="0">
      <w:lvlJc w:val="left"/>
      <w:lvlText w:val="%1."/>
      <w:numFmt w:val="decimal"/>
      <w:start w:val="15"/>
    </w:lvl>
  </w:abstractNum>
  <w:abstractNum w:abstractNumId="148">
    <w:nsid w:val="16CF80F1"/>
    <w:multiLevelType w:val="hybridMultilevel"/>
    <w:lvl w:ilvl="0">
      <w:lvlJc w:val="left"/>
      <w:lvlText w:val="%1."/>
      <w:numFmt w:val="decimal"/>
      <w:start w:val="1"/>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2"/>
    </w:lvl>
  </w:abstractNum>
  <w:abstractNum w:abstractNumId="151">
    <w:nsid w:val="F856867"/>
    <w:multiLevelType w:val="hybridMultilevel"/>
    <w:lvl w:ilvl="0">
      <w:lvlJc w:val="left"/>
      <w:lvlText w:val="%1."/>
      <w:numFmt w:val="decimal"/>
      <w:start w:val="3"/>
    </w:lvl>
  </w:abstractNum>
  <w:abstractNum w:abstractNumId="152">
    <w:nsid w:val="11B1CC33"/>
    <w:multiLevelType w:val="hybridMultilevel"/>
    <w:lvl w:ilvl="0">
      <w:lvlJc w:val="left"/>
      <w:lvlText w:val="%1"/>
      <w:numFmt w:val="lowerRoman"/>
      <w:start w:val="1"/>
    </w:lvl>
    <w:lvl w:ilvl="1">
      <w:lvlJc w:val="left"/>
      <w:lvlText w:val="(%2)"/>
      <w:numFmt w:val="lowerLetter"/>
      <w:start w:val="1"/>
    </w:lvl>
  </w:abstractNum>
  <w:abstractNum w:abstractNumId="153">
    <w:nsid w:val="2E22FBB7"/>
    <w:multiLevelType w:val="hybridMultilevel"/>
    <w:lvl w:ilvl="0">
      <w:lvlJc w:val="left"/>
      <w:lvlText w:val="(%1)"/>
      <w:numFmt w:val="lowerRoman"/>
      <w:start w:val="4"/>
    </w:lvl>
    <w:lvl w:ilvl="1">
      <w:lvlJc w:val="left"/>
      <w:lvlText w:val="(%2)"/>
      <w:numFmt w:val="lowerLetter"/>
      <w:start w:val="2"/>
    </w:lvl>
  </w:abstractNum>
  <w:abstractNum w:abstractNumId="154">
    <w:nsid w:val="29934699"/>
    <w:multiLevelType w:val="hybridMultilevel"/>
    <w:lvl w:ilvl="0">
      <w:lvlJc w:val="left"/>
      <w:lvlText w:val="%1."/>
      <w:numFmt w:val="decimal"/>
      <w:start w:val="4"/>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decimal"/>
      <w:start w:val="5"/>
    </w:lvl>
  </w:abstractNum>
  <w:abstractNum w:abstractNumId="157">
    <w:nsid w:val="4FA0D2E3"/>
    <w:multiLevelType w:val="hybridMultilevel"/>
    <w:lvl w:ilvl="0">
      <w:lvlJc w:val="left"/>
      <w:lvlText w:val="%1"/>
      <w:numFmt w:val="upperLetter"/>
      <w:start w:val="1"/>
    </w:lvl>
    <w:lvl w:ilvl="1">
      <w:lvlJc w:val="left"/>
      <w:lvlText w:val="(%2)"/>
      <w:numFmt w:val="lowerLetter"/>
      <w:start w:val="1"/>
    </w:lvl>
  </w:abstractNum>
  <w:abstractNum w:abstractNumId="158">
    <w:nsid w:val="6B1D2C14"/>
    <w:multiLevelType w:val="hybridMultilevel"/>
    <w:lvl w:ilvl="0">
      <w:lvlJc w:val="left"/>
      <w:lvlText w:val="(%1)"/>
      <w:numFmt w:val="upperLetter"/>
      <w:start w:val="1"/>
    </w:lvl>
    <w:lvl w:ilvl="1">
      <w:lvlJc w:val="left"/>
      <w:lvlText w:val="%2"/>
      <w:numFmt w:val="lowerLetter"/>
      <w:start w:val="1"/>
    </w:lvl>
  </w:abstractNum>
  <w:abstractNum w:abstractNumId="159">
    <w:nsid w:val="68B867D3"/>
    <w:multiLevelType w:val="hybridMultilevel"/>
    <w:lvl w:ilvl="0">
      <w:lvlJc w:val="left"/>
      <w:lvlText w:val="(%1)"/>
      <w:numFmt w:val="lowerLetter"/>
      <w:start w:val="8"/>
    </w:lvl>
  </w:abstractNum>
  <w:abstractNum w:abstractNumId="160">
    <w:nsid w:val="3F7F5DD9"/>
    <w:multiLevelType w:val="hybridMultilevel"/>
    <w:lvl w:ilvl="0">
      <w:lvlJc w:val="left"/>
      <w:lvlText w:val="%1."/>
      <w:numFmt w:val="decimal"/>
      <w:start w:val="12"/>
    </w:lvl>
  </w:abstractNum>
  <w:abstractNum w:abstractNumId="161">
    <w:nsid w:val="2AE05A34"/>
    <w:multiLevelType w:val="hybridMultilevel"/>
    <w:lvl w:ilvl="0">
      <w:lvlJc w:val="left"/>
      <w:lvlText w:val="%1."/>
      <w:numFmt w:val="decimal"/>
      <w:start w:val="2"/>
    </w:lvl>
  </w:abstractNum>
  <w:abstractNum w:abstractNumId="162">
    <w:nsid w:val="32794FF7"/>
    <w:multiLevelType w:val="hybridMultilevel"/>
    <w:lvl w:ilvl="0">
      <w:lvlJc w:val="left"/>
      <w:lvlText w:val="%1."/>
      <w:numFmt w:val="decimal"/>
      <w:start w:val="5"/>
    </w:lvl>
  </w:abstractNum>
  <w:abstractNum w:abstractNumId="163">
    <w:nsid w:val="5454945E"/>
    <w:multiLevelType w:val="hybridMultilevel"/>
    <w:lvl w:ilvl="0">
      <w:lvlJc w:val="left"/>
      <w:lvlText w:val="%1."/>
      <w:numFmt w:val="decimal"/>
      <w:start w:val="10"/>
    </w:lvl>
  </w:abstractNum>
  <w:abstractNum w:abstractNumId="164">
    <w:nsid w:val="4DEFDFA0"/>
    <w:multiLevelType w:val="hybridMultilevel"/>
    <w:lvl w:ilvl="0">
      <w:lvlJc w:val="left"/>
      <w:lvlText w:val="%1"/>
      <w:numFmt w:val="decimal"/>
      <w:start w:val="1"/>
    </w:lvl>
    <w:lvl w:ilvl="1">
      <w:lvlJc w:val="left"/>
      <w:lvlText w:val="%2."/>
      <w:numFmt w:val="decimal"/>
      <w:start w:val="11"/>
    </w:lvl>
  </w:abstractNum>
  <w:abstractNum w:abstractNumId="165">
    <w:nsid w:val="2123D5F2"/>
    <w:multiLevelType w:val="hybridMultilevel"/>
    <w:lvl w:ilvl="0">
      <w:lvlJc w:val="left"/>
      <w:lvlText w:val="(%1)"/>
      <w:numFmt w:val="decimal"/>
      <w:start w:val="1"/>
    </w:lvl>
    <w:lvl w:ilvl="1">
      <w:lvlJc w:val="left"/>
      <w:lvlText w:val="%2."/>
      <w:numFmt w:val="decimal"/>
      <w:start w:val="12"/>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decimal"/>
      <w:start w:val="14"/>
    </w:lvl>
  </w:abstractNum>
  <w:abstractNum w:abstractNumId="168">
    <w:nsid w:val="DCDF8F6"/>
    <w:multiLevelType w:val="hybridMultilevel"/>
    <w:lvl w:ilvl="0">
      <w:lvlJc w:val="left"/>
      <w:lvlText w:val="%1."/>
      <w:numFmt w:val="decimal"/>
      <w:start w:val="15"/>
    </w:lvl>
  </w:abstractNum>
  <w:abstractNum w:abstractNumId="169">
    <w:nsid w:val="52D7B105"/>
    <w:multiLevelType w:val="hybridMultilevel"/>
    <w:lvl w:ilvl="0">
      <w:lvlJc w:val="left"/>
      <w:lvlText w:val="%1."/>
      <w:numFmt w:val="decimal"/>
      <w:start w:val="1"/>
    </w:lvl>
    <w:lvl w:ilvl="1">
      <w:lvlJc w:val="left"/>
      <w:lvlText w:val="%2)"/>
      <w:numFmt w:val="lowerLetter"/>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2019-12-29T06:52:39Z</dcterms:created>
  <dcterms:modified xsi:type="dcterms:W3CDTF">2019-12-29T06:52:39Z</dcterms:modified>
</cp:coreProperties>
</file>