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ind w:right="-19"/>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ind w:right="-19"/>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ind w:right="-19"/>
        <w:spacing w:after="0" w:line="231" w:lineRule="auto"/>
        <w:rPr>
          <w:sz w:val="20"/>
          <w:szCs w:val="20"/>
          <w:color w:val="auto"/>
        </w:rPr>
      </w:pPr>
      <w:r>
        <w:rPr>
          <w:rFonts w:ascii="Arial" w:cs="Arial" w:eastAsia="Arial" w:hAnsi="Arial"/>
          <w:sz w:val="22"/>
          <w:szCs w:val="22"/>
          <w:b w:val="1"/>
          <w:bCs w:val="1"/>
          <w:color w:val="auto"/>
        </w:rPr>
        <w:t>and</w:t>
      </w:r>
    </w:p>
    <w:p>
      <w:pPr>
        <w:jc w:val="center"/>
        <w:ind w:right="-19"/>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document supplements the prospectus of Schlumberger Limited dated November 4, 2003 relating to the 1.500% Series A Convertible Debentures due June 1, 2023, the 2.125% Series B Convertible Debentures due June 1, 2023 and the shares of common stock issuable upon conversion of the debentures. The information in this prospectus supplement replaces and supersedes the information set forth under the heading “Selling Securityholders” in the prospectus dated November 4, 2003 and in all prior prospectus supplements to that prospectus.</w:t>
      </w:r>
    </w:p>
    <w:p>
      <w:pPr>
        <w:spacing w:after="0" w:line="99" w:lineRule="exact"/>
        <w:rPr>
          <w:sz w:val="24"/>
          <w:szCs w:val="24"/>
          <w:color w:val="auto"/>
        </w:rPr>
      </w:pPr>
    </w:p>
    <w:p>
      <w:pPr>
        <w:ind w:right="6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March 11, 2004, the closing sale price of our common stock as reported on the New York Stock Exchange was $62.16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supplement is March 12, 2004.</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10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7.9</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3,150,000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37,013,000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8.2</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38,500,000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w w:val="98"/>
              </w:rPr>
              <w:t>Argent Classic Convertible Arbitrage Fund (Bermuda)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10,200,000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2.8</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296,020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160,642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II,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46,798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4,595,000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63,528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II, LLC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705,000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14,233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29,900,000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3.2</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594,632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6,221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11,950,000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149,375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Ascend Offshore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5,930,804</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74,135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Ascend Partners Sapient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1,569,196</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19,614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6,497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30,416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&amp; Co. Inc.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2,830,000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39,126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1,580,000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1,110,000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15,346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BRED Banque Populaire</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gridSpan w:val="3"/>
          </w:tcPr>
          <w:p>
            <w:pPr>
              <w:spacing w:after="0"/>
              <w:rPr>
                <w:sz w:val="20"/>
                <w:szCs w:val="20"/>
                <w:color w:val="auto"/>
              </w:rPr>
            </w:pPr>
            <w:r>
              <w:rPr>
                <w:rFonts w:ascii="Arial" w:cs="Arial" w:eastAsia="Arial" w:hAnsi="Arial"/>
                <w:sz w:val="14"/>
                <w:szCs w:val="14"/>
                <w:color w:val="auto"/>
                <w:w w:val="97"/>
              </w:rPr>
              <w:t>California State Auto Association Retirement Pension Plan</w:t>
            </w:r>
          </w:p>
        </w:tc>
        <w:tc>
          <w:tcPr>
            <w:tcW w:w="1580" w:type="dxa"/>
            <w:vAlign w:val="bottom"/>
            <w:gridSpan w:val="3"/>
          </w:tcPr>
          <w:p>
            <w:pPr>
              <w:jc w:val="right"/>
              <w:ind w:right="540"/>
              <w:spacing w:after="0"/>
              <w:rPr>
                <w:sz w:val="20"/>
                <w:szCs w:val="20"/>
                <w:color w:val="auto"/>
              </w:rPr>
            </w:pPr>
            <w:r>
              <w:rPr>
                <w:rFonts w:ascii="Arial" w:cs="Arial" w:eastAsia="Arial" w:hAnsi="Arial"/>
                <w:sz w:val="14"/>
                <w:szCs w:val="14"/>
                <w:color w:val="auto"/>
              </w:rPr>
              <w:t>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3"/>
          </w:tcPr>
          <w:p>
            <w:pPr>
              <w:jc w:val="right"/>
              <w:ind w:right="540"/>
              <w:spacing w:after="0"/>
              <w:rPr>
                <w:sz w:val="20"/>
                <w:szCs w:val="20"/>
                <w:color w:val="auto"/>
              </w:rPr>
            </w:pPr>
            <w:r>
              <w:rPr>
                <w:rFonts w:ascii="Arial" w:cs="Arial" w:eastAsia="Arial" w:hAnsi="Arial"/>
                <w:sz w:val="14"/>
                <w:szCs w:val="14"/>
                <w:color w:val="auto"/>
              </w:rPr>
              <w:t>110,000</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1,375</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CDC Financial Products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960,000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270,000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3,375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Citigroup Global Markets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103,976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Citigroup Global Markets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Class C Trading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1,700,000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68,256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CNH CA Master Account,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580,000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CQS Convertible &amp; Quantatitive Strategies Master Fund</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Limited</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15,000,000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3.3</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187,500</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Credit Suisse First Boston Europe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Suisse First Boston LLC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7,788,000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107,672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9,633,000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133,181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4,223,500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58,391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Deephaven Domestic Convertible Trading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8,874,000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7,772,000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219,837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3,871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Deutsche Asset Management Investmentgesellschaft Funds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TRT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6,912</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221,208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967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6,359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8,287,000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114,571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18,500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51,845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80,000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765,000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2,738,000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34,225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172,818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7,400,000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207,251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Geode U.S. Convertible Arbitrage Fund, a series of Geode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Investors, LLC</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27,651</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705,000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6,400,000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1.4</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2,300,000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28,750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51,000,000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Global Bermuda Limited Partnership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Goldman, Sachs &amp;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8,280,000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114,475(4)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Hamburger Pensionskasse von 1905 VvaG</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6,428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20" w:type="dxa"/>
            <w:vAlign w:val="bottom"/>
            <w:gridSpan w:val="3"/>
          </w:tcPr>
          <w:p>
            <w:pPr>
              <w:ind w:left="176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0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4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796,392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245,167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ING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ING VP Convertible Portfolio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Jersey (IMA)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33,901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Capital Partners,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776,551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32,750,000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1,190,515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4,838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 Trust Fixed Income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829</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Lakeshore International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4.9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663,624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Lehman Brothers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LibertyView Funds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199,052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LibertyView Global Volatility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67,802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LLT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LODH The Convertible Bond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Lyxor/Forest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1,399,000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Master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2,600,000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98,862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 Zola Fund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Lyxor/AM Investment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Lyxor/Gaia II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52,253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M.H. Davidson &amp; 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355,500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4,914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8,820,000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Marathon Global Convertible Master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McMahan Securities Co.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13,162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1,750,000</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24,194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6,912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14,516</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Merrill Lynch International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31,798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Merrill Lynch, Pierce, Fenner &amp; Smith,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204,617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Mint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MVI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7,327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4,095,000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56,615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NGSC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NMS Services (Cayman)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256,342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414,765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594,781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3,318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Partner Reinsurance Company, Ltd.—International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5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gridSpan w:val="3"/>
          </w:tcPr>
          <w:p>
            <w:pPr>
              <w:ind w:left="152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Potlach</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11,125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Professional Liability Ins. Co. of America (aka AICA)</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Quattro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Relay 11 Holdings Co.</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2,400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Rhapsody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3.4</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S.A.C. Capital Associates,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135,604(5)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193,557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75,302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69,127(6)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1,225,000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16,936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126,000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3,342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76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116,000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3"/>
              </w:rPr>
              <w:t>State Employees’ Retirement Fund of the State of Delaware—</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International</w:t>
            </w:r>
          </w:p>
        </w:tc>
        <w:tc>
          <w:tcPr>
            <w:tcW w:w="1500" w:type="dxa"/>
            <w:vAlign w:val="bottom"/>
            <w:gridSpan w:val="3"/>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2,965,000</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40,992</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4,555,000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103,287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 Thomas Trading,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16,180,000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3.6</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202,250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SunAmerica Value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2,846,000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35,575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27,500,000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380,201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1,030,000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14,240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138,255(7)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83,758(8)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Topanga XI</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55,548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Tribeca Investments,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241,946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210,000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2,525,000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31,562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UBS AG London Branch</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Securities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7,087,000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97,981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HealthCare</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University of Massachusetts</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224,664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Wachovia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3,089,000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38,612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942,000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13,023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4,463,000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61,703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White River Securities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Windmill Master Fund,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235,033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Worldwide Transactions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303,000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4,189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46,798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Convertible Arbitrage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81,250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26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Series B</w:t>
            </w: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gridSpan w:val="3"/>
          </w:tcPr>
          <w:p>
            <w:pPr>
              <w:ind w:left="156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Zazove Income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Zola Partners,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Management c/o Quattro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2,300,000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28,750</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7" w:lineRule="exact"/>
        <w:rPr>
          <w:sz w:val="20"/>
          <w:szCs w:val="20"/>
          <w:color w:val="auto"/>
        </w:rPr>
      </w:pP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6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pursuant to Rule 13d-3(d)(i) of the Exchange Act using 585,444,115 shares of common stock outstanding as of September 30, 2003.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Goldman, Sachs &amp; Co. also beneficially owns (i) 302,006 shares of our common stock, (ii) options to purchase 246,800 shares of our common stock that are exercisable within 60 days of the date of this prospectus supplement, (iii) $5,780,000 of our Series A debentures and (iv) $7,878,000 of our Series B debentures.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S.A.C. Capital Associates, LLC also beneficially owns 15,000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2019-12-13T06:42:02Z</dcterms:created>
  <dcterms:modified xsi:type="dcterms:W3CDTF">2019-12-13T06:42:02Z</dcterms:modified>
</cp:coreProperties>
</file>