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May 23, 2017</w:t>
      </w:r>
    </w:p>
    <w:p>
      <w:pPr>
        <w:spacing w:after="0" w:line="27" w:lineRule="exact"/>
        <w:rPr>
          <w:sz w:val="24"/>
          <w:szCs w:val="24"/>
          <w:color w:val="auto"/>
        </w:rPr>
      </w:pPr>
    </w:p>
    <w:p>
      <w:pPr>
        <w:ind w:left="924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ind w:left="3400"/>
        <w:spacing w:after="0"/>
        <w:rPr>
          <w:sz w:val="20"/>
          <w:szCs w:val="20"/>
          <w:color w:val="auto"/>
        </w:rPr>
      </w:pPr>
      <w:r>
        <w:rPr>
          <w:rFonts w:ascii="Arial" w:cs="Arial" w:eastAsia="Arial" w:hAnsi="Arial"/>
          <w:sz w:val="43"/>
          <w:szCs w:val="43"/>
          <w:b w:val="1"/>
          <w:bCs w:val="1"/>
          <w:color w:val="auto"/>
        </w:rPr>
        <w:t>SCHLUMBERGER N.V.</w:t>
      </w:r>
    </w:p>
    <w:p>
      <w:pPr>
        <w:spacing w:after="0" w:line="55" w:lineRule="exact"/>
        <w:rPr>
          <w:sz w:val="24"/>
          <w:szCs w:val="24"/>
          <w:color w:val="auto"/>
        </w:rPr>
      </w:pPr>
    </w:p>
    <w:p>
      <w:pPr>
        <w:ind w:left="3480"/>
        <w:spacing w:after="0"/>
        <w:rPr>
          <w:sz w:val="20"/>
          <w:szCs w:val="20"/>
          <w:color w:val="auto"/>
        </w:rPr>
      </w:pPr>
      <w:r>
        <w:rPr>
          <w:rFonts w:ascii="Arial" w:cs="Arial" w:eastAsia="Arial" w:hAnsi="Arial"/>
          <w:sz w:val="43"/>
          <w:szCs w:val="43"/>
          <w:b w:val="1"/>
          <w:bCs w:val="1"/>
          <w:color w:val="auto"/>
        </w:rPr>
        <w:t>(Schlumberger Limited)</w:t>
      </w: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300" w:type="dxa"/>
        <w:tblCellMar>
          <w:top w:w="0" w:type="dxa"/>
          <w:left w:w="0" w:type="dxa"/>
          <w:bottom w:w="0" w:type="dxa"/>
          <w:right w:w="0" w:type="dxa"/>
        </w:tblCellMar>
      </w:tblPr>
      <w:tr>
        <w:trPr>
          <w:trHeight w:val="212"/>
        </w:trPr>
        <w:tc>
          <w:tcPr>
            <w:tcW w:w="4980" w:type="dxa"/>
            <w:vAlign w:val="bottom"/>
          </w:tcPr>
          <w:p>
            <w:pPr>
              <w:jc w:val="center"/>
              <w:ind w:right="1714"/>
              <w:spacing w:after="0"/>
              <w:rPr>
                <w:sz w:val="20"/>
                <w:szCs w:val="20"/>
                <w:color w:val="auto"/>
              </w:rPr>
            </w:pPr>
            <w:r>
              <w:rPr>
                <w:rFonts w:ascii="Arial" w:cs="Arial" w:eastAsia="Arial" w:hAnsi="Arial"/>
                <w:sz w:val="18"/>
                <w:szCs w:val="18"/>
                <w:b w:val="1"/>
                <w:bCs w:val="1"/>
                <w:color w:val="auto"/>
                <w:w w:val="91"/>
              </w:rPr>
              <w:t>Curaçao</w:t>
            </w:r>
          </w:p>
        </w:tc>
        <w:tc>
          <w:tcPr>
            <w:tcW w:w="2940" w:type="dxa"/>
            <w:vAlign w:val="bottom"/>
          </w:tcPr>
          <w:p>
            <w:pPr>
              <w:jc w:val="center"/>
              <w:ind w:left="1717"/>
              <w:spacing w:after="0"/>
              <w:rPr>
                <w:sz w:val="20"/>
                <w:szCs w:val="20"/>
                <w:color w:val="auto"/>
              </w:rPr>
            </w:pPr>
            <w:r>
              <w:rPr>
                <w:rFonts w:ascii="Arial" w:cs="Arial" w:eastAsia="Arial" w:hAnsi="Arial"/>
                <w:sz w:val="18"/>
                <w:szCs w:val="18"/>
                <w:b w:val="1"/>
                <w:bCs w:val="1"/>
                <w:color w:val="auto"/>
                <w:w w:val="89"/>
              </w:rPr>
              <w:t>52-0684746</w:t>
            </w:r>
          </w:p>
        </w:tc>
      </w:tr>
      <w:tr>
        <w:trPr>
          <w:trHeight w:val="149"/>
        </w:trPr>
        <w:tc>
          <w:tcPr>
            <w:tcW w:w="4980" w:type="dxa"/>
            <w:vAlign w:val="bottom"/>
          </w:tcPr>
          <w:p>
            <w:pPr>
              <w:jc w:val="center"/>
              <w:ind w:right="1694"/>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940" w:type="dxa"/>
            <w:vAlign w:val="bottom"/>
          </w:tcPr>
          <w:p>
            <w:pPr>
              <w:jc w:val="center"/>
              <w:ind w:left="1737"/>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980" w:type="dxa"/>
            <w:vAlign w:val="bottom"/>
          </w:tcPr>
          <w:p>
            <w:pPr>
              <w:jc w:val="center"/>
              <w:ind w:right="1694"/>
              <w:spacing w:after="0"/>
              <w:rPr>
                <w:sz w:val="20"/>
                <w:szCs w:val="20"/>
                <w:color w:val="auto"/>
              </w:rPr>
            </w:pPr>
            <w:r>
              <w:rPr>
                <w:rFonts w:ascii="Arial" w:cs="Arial" w:eastAsia="Arial" w:hAnsi="Arial"/>
                <w:sz w:val="14"/>
                <w:szCs w:val="14"/>
                <w:b w:val="1"/>
                <w:bCs w:val="1"/>
                <w:color w:val="auto"/>
                <w:w w:val="94"/>
              </w:rPr>
              <w:t>incorporation or organization)</w:t>
            </w:r>
          </w:p>
        </w:tc>
        <w:tc>
          <w:tcPr>
            <w:tcW w:w="2940" w:type="dxa"/>
            <w:vAlign w:val="bottom"/>
          </w:tcPr>
          <w:p>
            <w:pPr>
              <w:jc w:val="center"/>
              <w:ind w:left="1717"/>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4980" w:type="dxa"/>
            <w:vAlign w:val="bottom"/>
          </w:tcPr>
          <w:p>
            <w:pPr>
              <w:jc w:val="center"/>
              <w:ind w:right="1714"/>
              <w:spacing w:after="0"/>
              <w:rPr>
                <w:sz w:val="20"/>
                <w:szCs w:val="20"/>
                <w:color w:val="auto"/>
              </w:rPr>
            </w:pPr>
            <w:r>
              <w:rPr>
                <w:rFonts w:ascii="Arial" w:cs="Arial" w:eastAsia="Arial" w:hAnsi="Arial"/>
                <w:sz w:val="18"/>
                <w:szCs w:val="18"/>
                <w:b w:val="1"/>
                <w:bCs w:val="1"/>
                <w:color w:val="auto"/>
                <w:w w:val="92"/>
              </w:rPr>
              <w:t>42, rue Saint-Dominique</w:t>
            </w:r>
          </w:p>
        </w:tc>
        <w:tc>
          <w:tcPr>
            <w:tcW w:w="2940" w:type="dxa"/>
            <w:vAlign w:val="bottom"/>
          </w:tcPr>
          <w:p>
            <w:pPr>
              <w:jc w:val="center"/>
              <w:ind w:left="1717"/>
              <w:spacing w:after="0"/>
              <w:rPr>
                <w:sz w:val="20"/>
                <w:szCs w:val="20"/>
                <w:color w:val="auto"/>
              </w:rPr>
            </w:pPr>
            <w:r>
              <w:rPr>
                <w:rFonts w:ascii="Arial" w:cs="Arial" w:eastAsia="Arial" w:hAnsi="Arial"/>
                <w:sz w:val="18"/>
                <w:szCs w:val="18"/>
                <w:b w:val="1"/>
                <w:bCs w:val="1"/>
                <w:color w:val="auto"/>
                <w:w w:val="91"/>
              </w:rPr>
              <w:t>75007</w:t>
            </w:r>
          </w:p>
        </w:tc>
      </w:tr>
      <w:tr>
        <w:trPr>
          <w:trHeight w:val="234"/>
        </w:trPr>
        <w:tc>
          <w:tcPr>
            <w:tcW w:w="4980" w:type="dxa"/>
            <w:vAlign w:val="bottom"/>
          </w:tcPr>
          <w:p>
            <w:pPr>
              <w:jc w:val="center"/>
              <w:ind w:right="1714"/>
              <w:spacing w:after="0"/>
              <w:rPr>
                <w:sz w:val="20"/>
                <w:szCs w:val="20"/>
                <w:color w:val="auto"/>
              </w:rPr>
            </w:pPr>
            <w:r>
              <w:rPr>
                <w:rFonts w:ascii="Arial" w:cs="Arial" w:eastAsia="Arial" w:hAnsi="Arial"/>
                <w:sz w:val="18"/>
                <w:szCs w:val="18"/>
                <w:b w:val="1"/>
                <w:bCs w:val="1"/>
                <w:color w:val="auto"/>
                <w:w w:val="90"/>
              </w:rPr>
              <w:t>Paris, France</w:t>
            </w:r>
          </w:p>
        </w:tc>
        <w:tc>
          <w:tcPr>
            <w:tcW w:w="2940" w:type="dxa"/>
            <w:vAlign w:val="bottom"/>
          </w:tcPr>
          <w:p>
            <w:pPr>
              <w:spacing w:after="0"/>
              <w:rPr>
                <w:sz w:val="20"/>
                <w:szCs w:val="20"/>
                <w:color w:val="auto"/>
              </w:rPr>
            </w:pPr>
          </w:p>
        </w:tc>
      </w:tr>
      <w:tr>
        <w:trPr>
          <w:trHeight w:val="427"/>
        </w:trPr>
        <w:tc>
          <w:tcPr>
            <w:tcW w:w="4980" w:type="dxa"/>
            <w:vAlign w:val="bottom"/>
          </w:tcPr>
          <w:p>
            <w:pPr>
              <w:jc w:val="center"/>
              <w:ind w:right="1714"/>
              <w:spacing w:after="0"/>
              <w:rPr>
                <w:sz w:val="20"/>
                <w:szCs w:val="20"/>
                <w:color w:val="auto"/>
              </w:rPr>
            </w:pPr>
            <w:r>
              <w:rPr>
                <w:rFonts w:ascii="Arial" w:cs="Arial" w:eastAsia="Arial" w:hAnsi="Arial"/>
                <w:sz w:val="18"/>
                <w:szCs w:val="18"/>
                <w:b w:val="1"/>
                <w:bCs w:val="1"/>
                <w:color w:val="auto"/>
                <w:w w:val="90"/>
              </w:rPr>
              <w:t>5599 San Felipe</w:t>
            </w:r>
          </w:p>
        </w:tc>
        <w:tc>
          <w:tcPr>
            <w:tcW w:w="2940" w:type="dxa"/>
            <w:vAlign w:val="bottom"/>
          </w:tcPr>
          <w:p>
            <w:pPr>
              <w:jc w:val="center"/>
              <w:ind w:left="1717"/>
              <w:spacing w:after="0"/>
              <w:rPr>
                <w:sz w:val="20"/>
                <w:szCs w:val="20"/>
                <w:color w:val="auto"/>
              </w:rPr>
            </w:pPr>
            <w:r>
              <w:rPr>
                <w:rFonts w:ascii="Arial" w:cs="Arial" w:eastAsia="Arial" w:hAnsi="Arial"/>
                <w:sz w:val="18"/>
                <w:szCs w:val="18"/>
                <w:b w:val="1"/>
                <w:bCs w:val="1"/>
                <w:color w:val="auto"/>
                <w:w w:val="91"/>
              </w:rPr>
              <w:t>77056</w:t>
            </w:r>
          </w:p>
        </w:tc>
      </w:tr>
      <w:tr>
        <w:trPr>
          <w:trHeight w:val="234"/>
        </w:trPr>
        <w:tc>
          <w:tcPr>
            <w:tcW w:w="4980" w:type="dxa"/>
            <w:vAlign w:val="bottom"/>
          </w:tcPr>
          <w:p>
            <w:pPr>
              <w:jc w:val="center"/>
              <w:ind w:right="1714"/>
              <w:spacing w:after="0"/>
              <w:rPr>
                <w:sz w:val="20"/>
                <w:szCs w:val="20"/>
                <w:color w:val="auto"/>
              </w:rPr>
            </w:pPr>
            <w:r>
              <w:rPr>
                <w:rFonts w:ascii="Arial" w:cs="Arial" w:eastAsia="Arial" w:hAnsi="Arial"/>
                <w:sz w:val="18"/>
                <w:szCs w:val="18"/>
                <w:b w:val="1"/>
                <w:bCs w:val="1"/>
                <w:color w:val="auto"/>
                <w:w w:val="89"/>
              </w:rPr>
              <w:t>Houston, Texas, United States of America</w:t>
            </w:r>
          </w:p>
        </w:tc>
        <w:tc>
          <w:tcPr>
            <w:tcW w:w="2940" w:type="dxa"/>
            <w:vAlign w:val="bottom"/>
          </w:tcPr>
          <w:p>
            <w:pPr>
              <w:spacing w:after="0"/>
              <w:rPr>
                <w:sz w:val="20"/>
                <w:szCs w:val="20"/>
                <w:color w:val="auto"/>
              </w:rPr>
            </w:pPr>
          </w:p>
        </w:tc>
      </w:tr>
      <w:tr>
        <w:trPr>
          <w:trHeight w:val="427"/>
        </w:trPr>
        <w:tc>
          <w:tcPr>
            <w:tcW w:w="4980" w:type="dxa"/>
            <w:vAlign w:val="bottom"/>
          </w:tcPr>
          <w:p>
            <w:pPr>
              <w:jc w:val="center"/>
              <w:ind w:right="1714"/>
              <w:spacing w:after="0"/>
              <w:rPr>
                <w:sz w:val="20"/>
                <w:szCs w:val="20"/>
                <w:color w:val="auto"/>
              </w:rPr>
            </w:pPr>
            <w:r>
              <w:rPr>
                <w:rFonts w:ascii="Arial" w:cs="Arial" w:eastAsia="Arial" w:hAnsi="Arial"/>
                <w:sz w:val="18"/>
                <w:szCs w:val="18"/>
                <w:b w:val="1"/>
                <w:bCs w:val="1"/>
                <w:color w:val="auto"/>
                <w:w w:val="90"/>
              </w:rPr>
              <w:t>62 Buckingham Gate,</w:t>
            </w:r>
          </w:p>
        </w:tc>
        <w:tc>
          <w:tcPr>
            <w:tcW w:w="2940" w:type="dxa"/>
            <w:vAlign w:val="bottom"/>
          </w:tcPr>
          <w:p>
            <w:pPr>
              <w:jc w:val="center"/>
              <w:ind w:left="1717"/>
              <w:spacing w:after="0"/>
              <w:rPr>
                <w:sz w:val="20"/>
                <w:szCs w:val="20"/>
                <w:color w:val="auto"/>
              </w:rPr>
            </w:pPr>
            <w:r>
              <w:rPr>
                <w:rFonts w:ascii="Arial" w:cs="Arial" w:eastAsia="Arial" w:hAnsi="Arial"/>
                <w:sz w:val="18"/>
                <w:szCs w:val="18"/>
                <w:b w:val="1"/>
                <w:bCs w:val="1"/>
                <w:color w:val="auto"/>
                <w:w w:val="96"/>
              </w:rPr>
              <w:t>SW1E 6AJ</w:t>
            </w:r>
          </w:p>
        </w:tc>
      </w:tr>
      <w:tr>
        <w:trPr>
          <w:trHeight w:val="234"/>
        </w:trPr>
        <w:tc>
          <w:tcPr>
            <w:tcW w:w="4980" w:type="dxa"/>
            <w:vAlign w:val="bottom"/>
          </w:tcPr>
          <w:p>
            <w:pPr>
              <w:jc w:val="center"/>
              <w:ind w:right="1714"/>
              <w:spacing w:after="0"/>
              <w:rPr>
                <w:sz w:val="20"/>
                <w:szCs w:val="20"/>
                <w:color w:val="auto"/>
              </w:rPr>
            </w:pPr>
            <w:r>
              <w:rPr>
                <w:rFonts w:ascii="Arial" w:cs="Arial" w:eastAsia="Arial" w:hAnsi="Arial"/>
                <w:sz w:val="18"/>
                <w:szCs w:val="18"/>
                <w:b w:val="1"/>
                <w:bCs w:val="1"/>
                <w:color w:val="auto"/>
                <w:w w:val="92"/>
              </w:rPr>
              <w:t>London, United Kingdom</w:t>
            </w:r>
          </w:p>
        </w:tc>
        <w:tc>
          <w:tcPr>
            <w:tcW w:w="2940" w:type="dxa"/>
            <w:vAlign w:val="bottom"/>
          </w:tcPr>
          <w:p>
            <w:pPr>
              <w:spacing w:after="0"/>
              <w:rPr>
                <w:sz w:val="20"/>
                <w:szCs w:val="20"/>
                <w:color w:val="auto"/>
              </w:rPr>
            </w:pPr>
          </w:p>
        </w:tc>
      </w:tr>
      <w:tr>
        <w:trPr>
          <w:trHeight w:val="427"/>
        </w:trPr>
        <w:tc>
          <w:tcPr>
            <w:tcW w:w="4980" w:type="dxa"/>
            <w:vAlign w:val="bottom"/>
          </w:tcPr>
          <w:p>
            <w:pPr>
              <w:jc w:val="center"/>
              <w:ind w:right="1714"/>
              <w:spacing w:after="0"/>
              <w:rPr>
                <w:sz w:val="20"/>
                <w:szCs w:val="20"/>
                <w:color w:val="auto"/>
              </w:rPr>
            </w:pPr>
            <w:r>
              <w:rPr>
                <w:rFonts w:ascii="Arial" w:cs="Arial" w:eastAsia="Arial" w:hAnsi="Arial"/>
                <w:sz w:val="18"/>
                <w:szCs w:val="18"/>
                <w:b w:val="1"/>
                <w:bCs w:val="1"/>
                <w:color w:val="auto"/>
                <w:w w:val="92"/>
              </w:rPr>
              <w:t>Parkstraat 83, The Hague</w:t>
            </w:r>
          </w:p>
        </w:tc>
        <w:tc>
          <w:tcPr>
            <w:tcW w:w="2940" w:type="dxa"/>
            <w:vAlign w:val="bottom"/>
          </w:tcPr>
          <w:p>
            <w:pPr>
              <w:jc w:val="center"/>
              <w:ind w:left="1717"/>
              <w:spacing w:after="0"/>
              <w:rPr>
                <w:sz w:val="20"/>
                <w:szCs w:val="20"/>
                <w:color w:val="auto"/>
              </w:rPr>
            </w:pPr>
            <w:r>
              <w:rPr>
                <w:rFonts w:ascii="Arial" w:cs="Arial" w:eastAsia="Arial" w:hAnsi="Arial"/>
                <w:sz w:val="18"/>
                <w:szCs w:val="18"/>
                <w:b w:val="1"/>
                <w:bCs w:val="1"/>
                <w:color w:val="auto"/>
                <w:w w:val="89"/>
              </w:rPr>
              <w:t>2514 JG</w:t>
            </w:r>
          </w:p>
        </w:tc>
      </w:tr>
      <w:tr>
        <w:trPr>
          <w:trHeight w:val="225"/>
        </w:trPr>
        <w:tc>
          <w:tcPr>
            <w:tcW w:w="4980" w:type="dxa"/>
            <w:vAlign w:val="bottom"/>
          </w:tcPr>
          <w:p>
            <w:pPr>
              <w:jc w:val="center"/>
              <w:ind w:right="1714"/>
              <w:spacing w:after="0"/>
              <w:rPr>
                <w:sz w:val="20"/>
                <w:szCs w:val="20"/>
                <w:color w:val="auto"/>
              </w:rPr>
            </w:pPr>
            <w:r>
              <w:rPr>
                <w:rFonts w:ascii="Arial" w:cs="Arial" w:eastAsia="Arial" w:hAnsi="Arial"/>
                <w:sz w:val="18"/>
                <w:szCs w:val="18"/>
                <w:b w:val="1"/>
                <w:bCs w:val="1"/>
                <w:color w:val="auto"/>
                <w:w w:val="92"/>
              </w:rPr>
              <w:t>The Netherlands</w:t>
            </w:r>
          </w:p>
        </w:tc>
        <w:tc>
          <w:tcPr>
            <w:tcW w:w="2940" w:type="dxa"/>
            <w:vAlign w:val="bottom"/>
          </w:tcPr>
          <w:p>
            <w:pPr>
              <w:spacing w:after="0"/>
              <w:rPr>
                <w:sz w:val="19"/>
                <w:szCs w:val="19"/>
                <w:color w:val="auto"/>
              </w:rPr>
            </w:pPr>
          </w:p>
        </w:tc>
      </w:tr>
      <w:tr>
        <w:trPr>
          <w:trHeight w:val="186"/>
        </w:trPr>
        <w:tc>
          <w:tcPr>
            <w:tcW w:w="4980" w:type="dxa"/>
            <w:vAlign w:val="bottom"/>
          </w:tcPr>
          <w:p>
            <w:pPr>
              <w:jc w:val="center"/>
              <w:ind w:right="1714"/>
              <w:spacing w:after="0"/>
              <w:rPr>
                <w:sz w:val="20"/>
                <w:szCs w:val="20"/>
                <w:color w:val="auto"/>
              </w:rPr>
            </w:pPr>
            <w:r>
              <w:rPr>
                <w:rFonts w:ascii="Arial" w:cs="Arial" w:eastAsia="Arial" w:hAnsi="Arial"/>
                <w:sz w:val="14"/>
                <w:szCs w:val="14"/>
                <w:b w:val="1"/>
                <w:bCs w:val="1"/>
                <w:color w:val="auto"/>
                <w:w w:val="91"/>
              </w:rPr>
              <w:t>(Addresses of Principal Executive Offices)</w:t>
            </w:r>
          </w:p>
        </w:tc>
        <w:tc>
          <w:tcPr>
            <w:tcW w:w="2940" w:type="dxa"/>
            <w:vAlign w:val="bottom"/>
          </w:tcPr>
          <w:p>
            <w:pPr>
              <w:jc w:val="center"/>
              <w:ind w:left="1717"/>
              <w:spacing w:after="0"/>
              <w:rPr>
                <w:sz w:val="20"/>
                <w:szCs w:val="20"/>
                <w:color w:val="auto"/>
              </w:rPr>
            </w:pPr>
            <w:r>
              <w:rPr>
                <w:rFonts w:ascii="Arial" w:cs="Arial" w:eastAsia="Arial" w:hAnsi="Arial"/>
                <w:sz w:val="14"/>
                <w:szCs w:val="14"/>
                <w:b w:val="1"/>
                <w:bCs w:val="1"/>
                <w:color w:val="auto"/>
                <w:w w:val="96"/>
              </w:rPr>
              <w:t>(Zip Codes)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213360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SCHLUMBERGER 2017 OMNIBUS STOCK INCENTIVE PLAN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(Full title of the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Saul R. Laureles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Director, Corporate Legal</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Schlumberger Limited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5599 San Felipe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Houston, Texas 77056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 513-2000</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41"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780" w:type="dxa"/>
            <w:vAlign w:val="bottom"/>
          </w:tcPr>
          <w:p>
            <w:pPr>
              <w:spacing w:after="0"/>
              <w:rPr>
                <w:sz w:val="20"/>
                <w:szCs w:val="20"/>
                <w:color w:val="auto"/>
              </w:rPr>
            </w:pPr>
            <w:r>
              <w:rPr>
                <w:rFonts w:ascii="Arial" w:cs="Arial" w:eastAsia="Arial" w:hAnsi="Arial"/>
                <w:sz w:val="18"/>
                <w:szCs w:val="18"/>
                <w:color w:val="auto"/>
                <w:w w:val="98"/>
              </w:rPr>
              <w:t>Large accelerated filer</w:t>
            </w:r>
          </w:p>
        </w:tc>
        <w:tc>
          <w:tcPr>
            <w:tcW w:w="536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3900" w:type="dxa"/>
            <w:vAlign w:val="bottom"/>
          </w:tcPr>
          <w:p>
            <w:pPr>
              <w:ind w:left="162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80" w:type="dxa"/>
            <w:vAlign w:val="bottom"/>
          </w:tcPr>
          <w:p>
            <w:pPr>
              <w:spacing w:after="0"/>
              <w:rPr>
                <w:sz w:val="20"/>
                <w:szCs w:val="20"/>
                <w:color w:val="auto"/>
              </w:rPr>
            </w:pPr>
            <w:r>
              <w:rPr>
                <w:rFonts w:ascii="Arial" w:cs="Arial" w:eastAsia="Arial" w:hAnsi="Arial"/>
                <w:sz w:val="18"/>
                <w:szCs w:val="18"/>
                <w:color w:val="auto"/>
              </w:rPr>
              <w:t>Non-accelerated filer</w:t>
            </w:r>
          </w:p>
        </w:tc>
        <w:tc>
          <w:tcPr>
            <w:tcW w:w="5360" w:type="dxa"/>
            <w:vAlign w:val="bottom"/>
          </w:tcPr>
          <w:p>
            <w:pPr>
              <w:ind w:left="1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900" w:type="dxa"/>
            <w:vAlign w:val="bottom"/>
          </w:tcPr>
          <w:p>
            <w:pPr>
              <w:ind w:left="162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8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3900" w:type="dxa"/>
            <w:vAlign w:val="bottom"/>
          </w:tcPr>
          <w:p>
            <w:pPr>
              <w:ind w:left="1620"/>
              <w:spacing w:after="0"/>
              <w:rPr>
                <w:sz w:val="20"/>
                <w:szCs w:val="20"/>
                <w:color w:val="auto"/>
              </w:rPr>
            </w:pPr>
            <w:r>
              <w:rPr>
                <w:rFonts w:ascii="Arial" w:cs="Arial" w:eastAsia="Arial" w:hAnsi="Arial"/>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210820</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279"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5040" w:type="dxa"/>
            <w:vAlign w:val="bottom"/>
            <w:tcBorders>
              <w:top w:val="single" w:sz="8" w:color="auto"/>
              <w:right w:val="single" w:sz="8" w:color="auto"/>
            </w:tcBorders>
          </w:tcPr>
          <w:p>
            <w:pPr>
              <w:spacing w:after="0"/>
              <w:rPr>
                <w:sz w:val="12"/>
                <w:szCs w:val="12"/>
                <w:color w:val="auto"/>
              </w:rPr>
            </w:pPr>
          </w:p>
        </w:tc>
        <w:tc>
          <w:tcPr>
            <w:tcW w:w="16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600" w:type="dxa"/>
            <w:vAlign w:val="bottom"/>
            <w:tcBorders>
              <w:top w:val="single" w:sz="8" w:color="auto"/>
              <w:right w:val="single" w:sz="8" w:color="auto"/>
            </w:tcBorders>
          </w:tcPr>
          <w:p>
            <w:pPr>
              <w:jc w:val="center"/>
              <w:ind w:left="24"/>
              <w:spacing w:after="0" w:line="139" w:lineRule="exact"/>
              <w:rPr>
                <w:sz w:val="20"/>
                <w:szCs w:val="20"/>
                <w:color w:val="auto"/>
              </w:rPr>
            </w:pPr>
            <w:r>
              <w:rPr>
                <w:rFonts w:ascii="Arial" w:cs="Arial" w:eastAsia="Arial" w:hAnsi="Arial"/>
                <w:sz w:val="14"/>
                <w:szCs w:val="14"/>
                <w:b w:val="1"/>
                <w:bCs w:val="1"/>
                <w:color w:val="auto"/>
                <w:w w:val="89"/>
              </w:rPr>
              <w:t>Proposed</w:t>
            </w:r>
          </w:p>
        </w:tc>
        <w:tc>
          <w:tcPr>
            <w:tcW w:w="1600" w:type="dxa"/>
            <w:vAlign w:val="bottom"/>
            <w:tcBorders>
              <w:top w:val="single" w:sz="8" w:color="auto"/>
              <w:right w:val="single" w:sz="8" w:color="auto"/>
            </w:tcBorders>
          </w:tcPr>
          <w:p>
            <w:pPr>
              <w:jc w:val="center"/>
              <w:ind w:left="24"/>
              <w:spacing w:after="0" w:line="139" w:lineRule="exact"/>
              <w:rPr>
                <w:sz w:val="20"/>
                <w:szCs w:val="20"/>
                <w:color w:val="auto"/>
              </w:rPr>
            </w:pPr>
            <w:r>
              <w:rPr>
                <w:rFonts w:ascii="Arial" w:cs="Arial" w:eastAsia="Arial" w:hAnsi="Arial"/>
                <w:sz w:val="14"/>
                <w:szCs w:val="14"/>
                <w:b w:val="1"/>
                <w:bCs w:val="1"/>
                <w:color w:val="auto"/>
                <w:w w:val="89"/>
              </w:rPr>
              <w:t>Proposed</w:t>
            </w:r>
          </w:p>
        </w:tc>
        <w:tc>
          <w:tcPr>
            <w:tcW w:w="15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vMerge w:val="continue"/>
          </w:tcPr>
          <w:p>
            <w:pPr>
              <w:spacing w:after="0"/>
              <w:rPr>
                <w:sz w:val="12"/>
                <w:szCs w:val="12"/>
                <w:color w:val="auto"/>
              </w:rPr>
            </w:pPr>
          </w:p>
        </w:tc>
        <w:tc>
          <w:tcPr>
            <w:tcW w:w="1600" w:type="dxa"/>
            <w:vAlign w:val="bottom"/>
            <w:tcBorders>
              <w:right w:val="single" w:sz="8" w:color="auto"/>
            </w:tcBorders>
          </w:tcPr>
          <w:p>
            <w:pPr>
              <w:jc w:val="center"/>
              <w:ind w:left="24"/>
              <w:spacing w:after="0" w:line="149" w:lineRule="exact"/>
              <w:rPr>
                <w:sz w:val="20"/>
                <w:szCs w:val="20"/>
                <w:color w:val="auto"/>
              </w:rPr>
            </w:pPr>
            <w:r>
              <w:rPr>
                <w:rFonts w:ascii="Arial" w:cs="Arial" w:eastAsia="Arial" w:hAnsi="Arial"/>
                <w:sz w:val="14"/>
                <w:szCs w:val="14"/>
                <w:b w:val="1"/>
                <w:bCs w:val="1"/>
                <w:color w:val="auto"/>
                <w:w w:val="94"/>
              </w:rPr>
              <w:t>maximum</w:t>
            </w:r>
          </w:p>
        </w:tc>
        <w:tc>
          <w:tcPr>
            <w:tcW w:w="1600" w:type="dxa"/>
            <w:vAlign w:val="bottom"/>
            <w:tcBorders>
              <w:right w:val="single" w:sz="8" w:color="auto"/>
            </w:tcBorders>
          </w:tcPr>
          <w:p>
            <w:pPr>
              <w:jc w:val="center"/>
              <w:ind w:left="24"/>
              <w:spacing w:after="0" w:line="149" w:lineRule="exact"/>
              <w:rPr>
                <w:sz w:val="20"/>
                <w:szCs w:val="20"/>
                <w:color w:val="auto"/>
              </w:rPr>
            </w:pPr>
            <w:r>
              <w:rPr>
                <w:rFonts w:ascii="Arial" w:cs="Arial" w:eastAsia="Arial" w:hAnsi="Arial"/>
                <w:sz w:val="14"/>
                <w:szCs w:val="14"/>
                <w:b w:val="1"/>
                <w:bCs w:val="1"/>
                <w:color w:val="auto"/>
                <w:w w:val="94"/>
              </w:rPr>
              <w:t>maximum</w:t>
            </w: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04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0"/>
              </w:rPr>
              <w:t>Title of securities</w:t>
            </w:r>
          </w:p>
        </w:tc>
        <w:tc>
          <w:tcPr>
            <w:tcW w:w="160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89"/>
              </w:rPr>
              <w:t>to be</w:t>
            </w:r>
          </w:p>
        </w:tc>
        <w:tc>
          <w:tcPr>
            <w:tcW w:w="1600" w:type="dxa"/>
            <w:vAlign w:val="bottom"/>
            <w:tcBorders>
              <w:right w:val="single" w:sz="8" w:color="auto"/>
            </w:tcBorders>
          </w:tcPr>
          <w:p>
            <w:pPr>
              <w:jc w:val="center"/>
              <w:ind w:left="4"/>
              <w:spacing w:after="0" w:line="158" w:lineRule="exact"/>
              <w:rPr>
                <w:sz w:val="20"/>
                <w:szCs w:val="20"/>
                <w:color w:val="auto"/>
              </w:rPr>
            </w:pPr>
            <w:r>
              <w:rPr>
                <w:rFonts w:ascii="Arial" w:cs="Arial" w:eastAsia="Arial" w:hAnsi="Arial"/>
                <w:sz w:val="14"/>
                <w:szCs w:val="14"/>
                <w:b w:val="1"/>
                <w:bCs w:val="1"/>
                <w:color w:val="auto"/>
                <w:w w:val="93"/>
              </w:rPr>
              <w:t>offering price</w:t>
            </w:r>
          </w:p>
        </w:tc>
        <w:tc>
          <w:tcPr>
            <w:tcW w:w="1600" w:type="dxa"/>
            <w:vAlign w:val="bottom"/>
            <w:tcBorders>
              <w:right w:val="single" w:sz="8" w:color="auto"/>
            </w:tcBorders>
          </w:tcPr>
          <w:p>
            <w:pPr>
              <w:jc w:val="center"/>
              <w:ind w:left="4"/>
              <w:spacing w:after="0" w:line="158" w:lineRule="exact"/>
              <w:rPr>
                <w:sz w:val="20"/>
                <w:szCs w:val="20"/>
                <w:color w:val="auto"/>
              </w:rPr>
            </w:pPr>
            <w:r>
              <w:rPr>
                <w:rFonts w:ascii="Arial" w:cs="Arial" w:eastAsia="Arial" w:hAnsi="Arial"/>
                <w:sz w:val="14"/>
                <w:szCs w:val="14"/>
                <w:b w:val="1"/>
                <w:bCs w:val="1"/>
                <w:color w:val="auto"/>
                <w:w w:val="89"/>
              </w:rPr>
              <w:t>aggregate</w:t>
            </w:r>
          </w:p>
        </w:tc>
        <w:tc>
          <w:tcPr>
            <w:tcW w:w="1560" w:type="dxa"/>
            <w:vAlign w:val="bottom"/>
          </w:tcPr>
          <w:p>
            <w:pPr>
              <w:jc w:val="center"/>
              <w:ind w:left="22"/>
              <w:spacing w:after="0" w:line="158" w:lineRule="exact"/>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to be registered</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registered (2)</w:t>
            </w:r>
          </w:p>
        </w:tc>
        <w:tc>
          <w:tcPr>
            <w:tcW w:w="1600" w:type="dxa"/>
            <w:vAlign w:val="bottom"/>
            <w:tcBorders>
              <w:bottom w:val="single" w:sz="8" w:color="auto"/>
              <w:right w:val="single" w:sz="8" w:color="auto"/>
            </w:tcBorders>
          </w:tcPr>
          <w:p>
            <w:pPr>
              <w:jc w:val="center"/>
              <w:ind w:left="24"/>
              <w:spacing w:after="0"/>
              <w:rPr>
                <w:sz w:val="20"/>
                <w:szCs w:val="20"/>
                <w:color w:val="auto"/>
              </w:rPr>
            </w:pPr>
            <w:r>
              <w:rPr>
                <w:rFonts w:ascii="Arial" w:cs="Arial" w:eastAsia="Arial" w:hAnsi="Arial"/>
                <w:sz w:val="14"/>
                <w:szCs w:val="14"/>
                <w:b w:val="1"/>
                <w:bCs w:val="1"/>
                <w:color w:val="auto"/>
                <w:w w:val="92"/>
              </w:rPr>
              <w:t>per share (1)</w:t>
            </w:r>
          </w:p>
        </w:tc>
        <w:tc>
          <w:tcPr>
            <w:tcW w:w="1600" w:type="dxa"/>
            <w:vAlign w:val="bottom"/>
            <w:tcBorders>
              <w:bottom w:val="single" w:sz="8" w:color="auto"/>
              <w:right w:val="single" w:sz="8" w:color="auto"/>
            </w:tcBorders>
          </w:tcPr>
          <w:p>
            <w:pPr>
              <w:jc w:val="center"/>
              <w:ind w:left="4"/>
              <w:spacing w:after="0"/>
              <w:rPr>
                <w:sz w:val="20"/>
                <w:szCs w:val="20"/>
                <w:color w:val="auto"/>
              </w:rPr>
            </w:pPr>
            <w:r>
              <w:rPr>
                <w:rFonts w:ascii="Arial" w:cs="Arial" w:eastAsia="Arial" w:hAnsi="Arial"/>
                <w:sz w:val="14"/>
                <w:szCs w:val="14"/>
                <w:b w:val="1"/>
                <w:bCs w:val="1"/>
                <w:color w:val="auto"/>
                <w:w w:val="94"/>
              </w:rPr>
              <w:t>offering price (1)</w:t>
            </w:r>
          </w:p>
        </w:tc>
        <w:tc>
          <w:tcPr>
            <w:tcW w:w="1560" w:type="dxa"/>
            <w:vAlign w:val="bottom"/>
            <w:tcBorders>
              <w:bottom w:val="single" w:sz="8" w:color="auto"/>
            </w:tcBorders>
          </w:tcPr>
          <w:p>
            <w:pPr>
              <w:jc w:val="center"/>
              <w:ind w:left="2"/>
              <w:spacing w:after="0"/>
              <w:rPr>
                <w:sz w:val="20"/>
                <w:szCs w:val="20"/>
                <w:color w:val="auto"/>
              </w:rPr>
            </w:pPr>
            <w:r>
              <w:rPr>
                <w:rFonts w:ascii="Arial" w:cs="Arial" w:eastAsia="Arial" w:hAnsi="Arial"/>
                <w:sz w:val="14"/>
                <w:szCs w:val="14"/>
                <w:b w:val="1"/>
                <w:bCs w:val="1"/>
                <w:color w:val="auto"/>
                <w:w w:val="90"/>
              </w:rPr>
              <w:t>registration fee</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5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Common stock, par value $0.01 per share (2)</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30,000,000 shares</w:t>
            </w:r>
          </w:p>
        </w:tc>
        <w:tc>
          <w:tcPr>
            <w:tcW w:w="1600" w:type="dxa"/>
            <w:vAlign w:val="bottom"/>
            <w:tcBorders>
              <w:bottom w:val="single" w:sz="8" w:color="auto"/>
              <w:right w:val="single" w:sz="8" w:color="auto"/>
            </w:tcBorders>
          </w:tcPr>
          <w:p>
            <w:pPr>
              <w:jc w:val="center"/>
              <w:ind w:left="24"/>
              <w:spacing w:after="0"/>
              <w:rPr>
                <w:sz w:val="20"/>
                <w:szCs w:val="20"/>
                <w:color w:val="auto"/>
              </w:rPr>
            </w:pPr>
            <w:r>
              <w:rPr>
                <w:rFonts w:ascii="Arial" w:cs="Arial" w:eastAsia="Arial" w:hAnsi="Arial"/>
                <w:sz w:val="18"/>
                <w:szCs w:val="18"/>
                <w:color w:val="auto"/>
                <w:w w:val="90"/>
              </w:rPr>
              <w:t>$71.29</w:t>
            </w:r>
          </w:p>
        </w:tc>
        <w:tc>
          <w:tcPr>
            <w:tcW w:w="1600" w:type="dxa"/>
            <w:vAlign w:val="bottom"/>
            <w:tcBorders>
              <w:bottom w:val="single" w:sz="8" w:color="auto"/>
              <w:right w:val="single" w:sz="8" w:color="auto"/>
            </w:tcBorders>
          </w:tcPr>
          <w:p>
            <w:pPr>
              <w:jc w:val="center"/>
              <w:ind w:left="4"/>
              <w:spacing w:after="0"/>
              <w:rPr>
                <w:sz w:val="20"/>
                <w:szCs w:val="20"/>
                <w:color w:val="auto"/>
              </w:rPr>
            </w:pPr>
            <w:r>
              <w:rPr>
                <w:rFonts w:ascii="Arial" w:cs="Arial" w:eastAsia="Arial" w:hAnsi="Arial"/>
                <w:sz w:val="18"/>
                <w:szCs w:val="18"/>
                <w:color w:val="auto"/>
                <w:w w:val="89"/>
              </w:rPr>
              <w:t>$2,138,700,000</w:t>
            </w:r>
          </w:p>
        </w:tc>
        <w:tc>
          <w:tcPr>
            <w:tcW w:w="1560" w:type="dxa"/>
            <w:vAlign w:val="bottom"/>
            <w:tcBorders>
              <w:bottom w:val="single" w:sz="8" w:color="auto"/>
            </w:tcBorders>
          </w:tcPr>
          <w:p>
            <w:pPr>
              <w:jc w:val="center"/>
              <w:ind w:left="22"/>
              <w:spacing w:after="0"/>
              <w:rPr>
                <w:sz w:val="20"/>
                <w:szCs w:val="20"/>
                <w:color w:val="auto"/>
              </w:rPr>
            </w:pPr>
            <w:r>
              <w:rPr>
                <w:rFonts w:ascii="Arial" w:cs="Arial" w:eastAsia="Arial" w:hAnsi="Arial"/>
                <w:sz w:val="18"/>
                <w:szCs w:val="18"/>
                <w:color w:val="auto"/>
                <w:w w:val="89"/>
              </w:rPr>
              <w:t>$247,875.33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289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95" w:lineRule="exact"/>
        <w:rPr>
          <w:sz w:val="20"/>
          <w:szCs w:val="20"/>
          <w:color w:val="auto"/>
        </w:rPr>
      </w:pPr>
    </w:p>
    <w:p>
      <w:pPr>
        <w:ind w:left="460" w:right="40" w:hanging="452"/>
        <w:spacing w:after="0" w:line="258"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pursuant to 457(c) and 457(h)(1), based on the average of the high and low prices for the common stock of Schlumberger Limited reported on the New York Stock Exchange on May 18, 2017.</w:t>
      </w:r>
    </w:p>
    <w:p>
      <w:pPr>
        <w:spacing w:after="0" w:line="1" w:lineRule="exact"/>
        <w:rPr>
          <w:rFonts w:ascii="Arial" w:cs="Arial" w:eastAsia="Arial" w:hAnsi="Arial"/>
          <w:sz w:val="18"/>
          <w:szCs w:val="18"/>
          <w:color w:val="auto"/>
        </w:rPr>
      </w:pPr>
    </w:p>
    <w:p>
      <w:pPr>
        <w:ind w:left="460" w:right="260" w:hanging="452"/>
        <w:spacing w:after="0" w:line="255"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416(a) under the Securities Act of 1933, as amended, this Registration Statement shall also include such additional indeterminate number of shares of common stock that may become issuable under the Schlumberger 2017 Omnibus Stock Incentive Plan as a result of stock splits, stock dividends or similar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181610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1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i w:val="1"/>
          <w:iCs w:val="1"/>
          <w:color w:val="auto"/>
        </w:rPr>
        <w:t>Plan Information.</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See Item 2.</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i w:val="1"/>
          <w:iCs w:val="1"/>
          <w:color w:val="auto"/>
        </w:rPr>
        <w:t>Registrant Information and Employee Plan Annual Information.</w:t>
      </w:r>
    </w:p>
    <w:p>
      <w:pPr>
        <w:spacing w:after="0" w:line="121"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color w:val="auto"/>
        </w:rPr>
        <w:t>The document(s) containing the information required by Item 1 of Form S-8 and the statement of availability of Registrant information and other information required by Item 2 of Form S-8 will be sent or given to employees as specified by Rule 428 under the Securities Act of 1933, as amended (the “Securities Act”). In accordance with Rule 428 and the requirements of Part I of Form S-8, such documents are not being filed with the Securities and Exchange Commission (the “Commission”) either as part of this Registration Statement or as prospectuses or prospectus supplements pursuant to Rule 424 under the Securities Act. The Registrant will maintain a file of such documents in accordance with the provisions of Rule 428. Upon request, the Registrant will furnish to the Commission or its staff a copy of any or all of the documents included in such file.</w:t>
      </w:r>
    </w:p>
    <w:p>
      <w:pPr>
        <w:spacing w:after="0" w:line="39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5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Incorporation of Documents by Reference.</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7"/>
          <w:szCs w:val="17"/>
          <w:color w:val="auto"/>
        </w:rPr>
        <w:t>This Registration Statement incorporates herein by reference the following documents, which have been filed with the Commission by the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Registrant (SEC File No. 001-04601) pursuant to the Securities Act and the Securities Exchange Act of 1934, as amended (the “Exchange Act”):</w:t>
      </w:r>
    </w:p>
    <w:p>
      <w:pPr>
        <w:spacing w:after="0" w:line="128" w:lineRule="exact"/>
        <w:rPr>
          <w:sz w:val="20"/>
          <w:szCs w:val="20"/>
          <w:color w:val="auto"/>
        </w:rPr>
      </w:pPr>
    </w:p>
    <w:p>
      <w:pPr>
        <w:ind w:left="1480" w:hanging="567"/>
        <w:spacing w:after="0"/>
        <w:tabs>
          <w:tab w:leader="none" w:pos="1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Annual Report on Form 10-K for the fiscal year ended December 31, 2016, filed on January 25, 2017;</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Quarterly Report on Form 10-Q for the quarter ended March 31, 2017, filed on April 26, 2017;</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Current Reports on Form 8-K filed on January 19, 2017, and April 5, 2017; and</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description of the Registrant’s Common Stock contained in the Registrant’s Current Report on Form 8-K filed on April 29, 2005.</w:t>
      </w:r>
    </w:p>
    <w:p>
      <w:pPr>
        <w:spacing w:after="0" w:line="248"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Each document filed by the Registrant pursuant to Sections 13(a), 13(c), 14 or 15(d) of the Exchange Act, subsequent to the date of this Registration Statement and prior to the filing of a post-effective amendment that indicates that all securities offered have been sold or that deregisters all securities then remaining unsold, shall be deemed to be incorporated by reference in this Registration Statement and to be a part hereof from the date of filing such documents.</w:t>
      </w:r>
    </w:p>
    <w:p>
      <w:pPr>
        <w:spacing w:after="0" w:line="187" w:lineRule="exact"/>
        <w:rPr>
          <w:sz w:val="20"/>
          <w:szCs w:val="20"/>
          <w:color w:val="auto"/>
        </w:rPr>
      </w:pPr>
    </w:p>
    <w:p>
      <w:pPr>
        <w:ind w:right="140" w:firstLine="913"/>
        <w:spacing w:after="0" w:line="302" w:lineRule="auto"/>
        <w:rPr>
          <w:sz w:val="20"/>
          <w:szCs w:val="20"/>
          <w:color w:val="auto"/>
        </w:rPr>
      </w:pPr>
      <w:r>
        <w:rPr>
          <w:rFonts w:ascii="Arial" w:cs="Arial" w:eastAsia="Arial" w:hAnsi="Arial"/>
          <w:sz w:val="16"/>
          <w:szCs w:val="16"/>
          <w:color w:val="auto"/>
        </w:rPr>
        <w:t>Any statement contained in this Registration Statement, in an amendment hereto or in a document incorporated by reference herein shall be deemed to be modified or superseded for purposes of this Registration Statement to the extent that a statement contained herein or in any subsequently filed amendment to this Registration Statement or in any document that also is incorporated by reference herein modifies or supersedes such statement. Any statement so modified or superseded shall not be deemed, except as so modified or superseded, to constitute a part of this Registration Statement.</w:t>
      </w:r>
    </w:p>
    <w:p>
      <w:pPr>
        <w:spacing w:after="0" w:line="29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Description of Securities.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i w:val="1"/>
          <w:iCs w:val="1"/>
          <w:color w:val="auto"/>
        </w:rPr>
        <w:t>Interests of Named Experts and Counsel.</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- 1 -</w:t>
      </w:r>
    </w:p>
    <w:p>
      <w:pPr>
        <w:sectPr>
          <w:pgSz w:w="11900" w:h="16838" w:orient="portrait"/>
          <w:cols w:equalWidth="0" w:num="1">
            <w:col w:w="11360"/>
          </w:cols>
          <w:pgMar w:left="240" w:top="270" w:right="299" w:bottom="1440" w:gutter="0" w:footer="0" w:header="0"/>
        </w:sectPr>
      </w:pPr>
    </w:p>
    <w:bookmarkStart w:id="3" w:name="page4"/>
    <w:bookmarkEnd w:id="3"/>
    <w:p>
      <w:pPr>
        <w:spacing w:after="0"/>
        <w:tabs>
          <w:tab w:leader="none" w:pos="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6.</w:t>
      </w:r>
      <w:r>
        <w:rPr>
          <w:sz w:val="20"/>
          <w:szCs w:val="20"/>
          <w:color w:val="auto"/>
        </w:rPr>
        <w:tab/>
      </w:r>
      <w:r>
        <w:rPr>
          <w:rFonts w:ascii="Arial" w:cs="Arial" w:eastAsia="Arial" w:hAnsi="Arial"/>
          <w:sz w:val="15"/>
          <w:szCs w:val="15"/>
          <w:b w:val="1"/>
          <w:bCs w:val="1"/>
          <w:i w:val="1"/>
          <w:iCs w:val="1"/>
          <w:color w:val="auto"/>
        </w:rPr>
        <w:t>Indemnification of Directors and Officers.</w:t>
      </w:r>
    </w:p>
    <w:p>
      <w:pPr>
        <w:spacing w:after="0" w:line="121" w:lineRule="exact"/>
        <w:rPr>
          <w:sz w:val="20"/>
          <w:szCs w:val="20"/>
          <w:color w:val="auto"/>
        </w:rPr>
      </w:pPr>
    </w:p>
    <w:p>
      <w:pPr>
        <w:ind w:right="180" w:firstLine="913"/>
        <w:spacing w:after="0" w:line="255" w:lineRule="auto"/>
        <w:rPr>
          <w:sz w:val="20"/>
          <w:szCs w:val="20"/>
          <w:color w:val="auto"/>
        </w:rPr>
      </w:pPr>
      <w:r>
        <w:rPr>
          <w:rFonts w:ascii="Arial" w:cs="Arial" w:eastAsia="Arial" w:hAnsi="Arial"/>
          <w:sz w:val="18"/>
          <w:szCs w:val="18"/>
          <w:color w:val="auto"/>
        </w:rPr>
        <w:t>Article 10 of Schlumberger’s Articles of Incorporation and Article V of Schlumberger’s Amended and Restated By-Laws contain provisions providing for indemnification of Schlumberger’s directors, officers, employees and agents. Article 10 of the Articles of Incorporation permits (but does not require) Schlumberger to indemnify directors, officers, employees and agents, except that indemnification is mandatory with respect to a present or former officer or director in the event of a change of control or if such present or former officer or director has been successful on the merits or otherwise in the defense of any action, suit or proceeding. Article V of Schlumberger’s Amended and Restated By-Laws contains mandatory indemnification for current and former directors and officers as described below.</w:t>
      </w:r>
    </w:p>
    <w:p>
      <w:pPr>
        <w:spacing w:after="0" w:line="193" w:lineRule="exact"/>
        <w:rPr>
          <w:sz w:val="20"/>
          <w:szCs w:val="20"/>
          <w:color w:val="auto"/>
        </w:rPr>
      </w:pPr>
    </w:p>
    <w:p>
      <w:pPr>
        <w:ind w:right="60" w:firstLine="913"/>
        <w:spacing w:after="0" w:line="284" w:lineRule="auto"/>
        <w:rPr>
          <w:sz w:val="20"/>
          <w:szCs w:val="20"/>
          <w:color w:val="auto"/>
        </w:rPr>
      </w:pPr>
      <w:r>
        <w:rPr>
          <w:rFonts w:ascii="Arial" w:cs="Arial" w:eastAsia="Arial" w:hAnsi="Arial"/>
          <w:sz w:val="16"/>
          <w:szCs w:val="16"/>
          <w:color w:val="auto"/>
        </w:rPr>
        <w:t>To the fullest extent permitted by applicable law, Schlumberger will indemnify any current or former director or officer who was or is a party or is threatened to be made a party to any threatened, pending or completed action, suit or proceeding, whether civil, criminal, administrative or investigative (other than an action by or in the right of Schlumberger) by reason of the fact that he or she is or was a director or officer of Schlumberger, or is or was a director of any subsidiary of Schlumberger or an officer appointed or elected by the board of directors of Schlumberger or of a subsidiary, or is or was any such officer or director of Schlumberger or of a subsidiary of Schlumberger serving at the request of Schlumberger as a director, officer, employee or agent of another corporation, partnership, joint venture, trust or other enterprise or entity,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Schlumberger, and, with respect to any criminal action or proceeding, had no reasonable cause to believe that such person’s conduct was unlawful. The termination of any action, suit or proceeding by judgment, order, settlement, conviction, or upon a plea of nolo contendere or its equivalent, does not, of itself, create a presumption that the person did not act in good faith and in a manner which such person reasonably believed to be in or not opposed to the best interests of Schlumberger, and, with respect to any criminal action or proceeding, had reasonable cause to believe that such person’s conduct was unlawful; provided, however, that, except with respect to proceedings to enforce rights to indemnification and advancement, Schlumberger will indemnify any such person in connection with a proceeding (or part thereof) initiated by such person (including claims and counterclaims, whether such counterclaims are asserted by (a) such person, or (b) Schlumberger in a proceeding initiated by such person) only if such proceeding (or part thereof) was authorized by the Board of Directors of Schlumberger. Schlumberger is required to indemnify any present or former officer or director of Schlumberger to the fullest extent allowed by the preceding paragraphs in the event of a “Change of Control.” “Change of Control” means a change in control of Schlumberger, which will be deemed to have occurred if at any time (i) any entity, person or organization is or becomes the legal or beneficial owner, directly or indirectly, of securities of Schlumberger representing 30% or more of the combined voting power of Schlumberger’s then outstanding shares without the prior approval of at least two-thirds of the members of the Board of Directors in office immediately prior to such entity, person or organization attaining such percentage interest; (ii) Schlumberger is a party to a merger, consolidation, share exchange, sale of assets or other reorganization, or a proxy contest, as a consequence of which members of the Board of Directors in office immediately prior to such transaction or event constitute less than a majority of the Board of Directors thereafter; or (iii) during any 15-month period, individuals who at the beginning of such period constituted the Board of Directors (including for this purpose any new director whose election or nomination for election by Schlumberger’s stockholders was approved by a vote of at least two-thirds of the directors then still in office who were directors at the beginning of such period) cease for any reason to constitute at least a majority of the Board of Directors.</w:t>
      </w:r>
    </w:p>
    <w:p>
      <w:pPr>
        <w:spacing w:after="0" w:line="175" w:lineRule="exact"/>
        <w:rPr>
          <w:sz w:val="20"/>
          <w:szCs w:val="20"/>
          <w:color w:val="auto"/>
        </w:rPr>
      </w:pPr>
    </w:p>
    <w:p>
      <w:pPr>
        <w:ind w:right="100" w:firstLine="913"/>
        <w:spacing w:after="0" w:line="287" w:lineRule="auto"/>
        <w:rPr>
          <w:sz w:val="20"/>
          <w:szCs w:val="20"/>
          <w:color w:val="auto"/>
        </w:rPr>
      </w:pPr>
      <w:r>
        <w:rPr>
          <w:rFonts w:ascii="Arial" w:cs="Arial" w:eastAsia="Arial" w:hAnsi="Arial"/>
          <w:sz w:val="16"/>
          <w:szCs w:val="16"/>
          <w:color w:val="auto"/>
        </w:rPr>
        <w:t>To the fullest extent permitted by applicable law, Schlumberger will indemnify any current or former director or officer of Schlumberger who was or is a party or is threatened to be made a party to any threatened, pending or completed action or suit by or in the right of Schlumberger to procure a judgment in Schlumberger’s favor by reason of the fact that such person is or was a director, officer, employee or agent of Schlumberger, or is or was serving at the request of Schlumberger as a director, officer, employee or agent of another corporation, partnership, joint venture, trust or other enterprise or entity against expenses (including attorneys’ fees), judgments, fines and amounts paid in settlement actually and reasonably incurred by such person in connection with the defense or settlement of such action or suit if such person acted in good faith and in a manner such person reasonably believed to be in or not opposed to the best interests of Schlumberger and except that no indemnification may be made in respect of any claim, issue or matter as to which such person has been finally adjudged to be liable to Schlumberger for improper conduct unless and only to the extent that the court in which that action or suit was brought or any other court having appropriate jurisdiction determines upon application that, despite the adjudication of liability, but in view of all the circumstances of the case, such person is fairly and reasonably entitled to indemnity for those expenses, judgments, fines and amounts paid in settlement which the court in which the action or suit was brought or such other court having appropriate jurisdiction deems proper. Schlumberger is required to indemnify any present or former officer or director to the fullest extent allowed by this paragraph in the event of a Change of Control (as defined above).</w:t>
      </w:r>
    </w:p>
    <w:p>
      <w:pPr>
        <w:spacing w:after="0" w:line="169"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Any indemnification under the preceding two paragraphs in this item (unless ordered by a court) may be extended to current or former employees or agents of Schlumberger or a subsidiary of Schlumberger only as authorized by the Chief Executive Officer or by contract approved, or by-laws, resolution or other action adopted or taken, by the board of directors or by the stockholders.</w:t>
      </w:r>
    </w:p>
    <w:p>
      <w:pPr>
        <w:spacing w:after="0" w:line="181" w:lineRule="exact"/>
        <w:rPr>
          <w:sz w:val="20"/>
          <w:szCs w:val="20"/>
          <w:color w:val="auto"/>
        </w:rPr>
      </w:pPr>
    </w:p>
    <w:p>
      <w:pPr>
        <w:ind w:right="340" w:firstLine="913"/>
        <w:spacing w:after="0" w:line="259" w:lineRule="auto"/>
        <w:rPr>
          <w:sz w:val="20"/>
          <w:szCs w:val="20"/>
          <w:color w:val="auto"/>
        </w:rPr>
      </w:pPr>
      <w:r>
        <w:rPr>
          <w:rFonts w:ascii="Arial" w:cs="Arial" w:eastAsia="Arial" w:hAnsi="Arial"/>
          <w:sz w:val="18"/>
          <w:szCs w:val="18"/>
          <w:color w:val="auto"/>
        </w:rPr>
        <w:t>Expenses (including attorneys’ fees) incurred by a present or former director or a present officer of Schlumberger or any subsidiary of Schlumberger in defending any civil or criminal, administrative or investigative action, suit or proceeding will be paid by Schlumberger in advance of the final disposition of such action, suit or proceeding upon receipt of an undertaking by or on behalf of such person to repay such amount if it is ultimately determined that such person is not entitled to be indemnified by Schlumberger.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420"/>
          </w:cols>
          <w:pgMar w:left="240" w:top="270" w:right="239" w:bottom="1440" w:gutter="0" w:footer="0" w:header="0"/>
        </w:sectPr>
      </w:pPr>
    </w:p>
    <w:bookmarkStart w:id="4" w:name="page5"/>
    <w:bookmarkEnd w:id="4"/>
    <w:p>
      <w:pPr>
        <w:ind w:right="4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Schlumberger may pay such expenses (including attorneys’ fees) incurred by former officers or other employees and agents upon such terms and conditions, if any, it deems appropriate.</w:t>
      </w:r>
    </w:p>
    <w:p>
      <w:pPr>
        <w:spacing w:after="0" w:line="170" w:lineRule="exact"/>
        <w:rPr>
          <w:sz w:val="20"/>
          <w:szCs w:val="20"/>
          <w:color w:val="auto"/>
        </w:rPr>
      </w:pPr>
    </w:p>
    <w:p>
      <w:pPr>
        <w:ind w:right="100" w:firstLine="913"/>
        <w:spacing w:after="0" w:line="257" w:lineRule="auto"/>
        <w:rPr>
          <w:sz w:val="20"/>
          <w:szCs w:val="20"/>
          <w:color w:val="auto"/>
        </w:rPr>
      </w:pPr>
      <w:r>
        <w:rPr>
          <w:rFonts w:ascii="Arial" w:cs="Arial" w:eastAsia="Arial" w:hAnsi="Arial"/>
          <w:sz w:val="18"/>
          <w:szCs w:val="18"/>
          <w:color w:val="auto"/>
        </w:rPr>
        <w:t>The indemnification and advancement of expenses described above are not exclusive of any other rights to which those seeking indemnification or advancement of expenses may be entitled under any law, by-law, agreement, vote of stockholders or disinterested directors, or otherwise, both as to action in such person’s official capacity and as to action in another capacity while holding such office, and, unless otherwise provided when authorized or ratified, continues as to a person who has ceased to be a director, officer, employee or agent and inures to the benefit of the heirs, executors and administrators of that person.</w:t>
      </w:r>
    </w:p>
    <w:p>
      <w:pPr>
        <w:spacing w:after="0" w:line="188" w:lineRule="exact"/>
        <w:rPr>
          <w:sz w:val="20"/>
          <w:szCs w:val="20"/>
          <w:color w:val="auto"/>
        </w:rPr>
      </w:pPr>
    </w:p>
    <w:p>
      <w:pPr>
        <w:ind w:firstLine="913"/>
        <w:spacing w:after="0" w:line="279" w:lineRule="auto"/>
        <w:rPr>
          <w:sz w:val="20"/>
          <w:szCs w:val="20"/>
          <w:color w:val="auto"/>
        </w:rPr>
      </w:pPr>
      <w:r>
        <w:rPr>
          <w:rFonts w:ascii="Arial" w:cs="Arial" w:eastAsia="Arial" w:hAnsi="Arial"/>
          <w:sz w:val="17"/>
          <w:szCs w:val="17"/>
          <w:color w:val="auto"/>
        </w:rPr>
        <w:t>Schlumberger has the power to purchase and maintain insurance on behalf of any person who is or was a director, officer, employee or agent of Schlumberger, or is or was serving at the request of Schlumberger in such a capacity for another corporation, partnership, joint venture, trust or other enterprise or entity against any liability asserted against that person and incurred by that person in any of those capacities or arising out of such person’s status as such, whether or not Schlumberger would have the power to indemnify such person against such liability.</w:t>
      </w:r>
    </w:p>
    <w:p>
      <w:pPr>
        <w:spacing w:after="0" w:line="171"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References to Schlumberger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or is or was serving at the request of such constituent corporation as a director, officer, employee or agent of another corporation, partnership, joint venture, trust or other enterprise or entity, stands in the same position with respect to the resulting or surviving corporation as such person would have had with respect to such constituent corporation if its separate existence had continued.</w:t>
      </w:r>
    </w:p>
    <w:p>
      <w:pPr>
        <w:spacing w:after="0" w:line="193" w:lineRule="exact"/>
        <w:rPr>
          <w:sz w:val="20"/>
          <w:szCs w:val="20"/>
          <w:color w:val="auto"/>
        </w:rPr>
      </w:pPr>
    </w:p>
    <w:p>
      <w:pPr>
        <w:ind w:firstLine="913"/>
        <w:spacing w:after="0" w:line="297" w:lineRule="auto"/>
        <w:rPr>
          <w:sz w:val="20"/>
          <w:szCs w:val="20"/>
          <w:color w:val="auto"/>
        </w:rPr>
      </w:pPr>
      <w:r>
        <w:rPr>
          <w:rFonts w:ascii="Arial" w:cs="Arial" w:eastAsia="Arial" w:hAnsi="Arial"/>
          <w:sz w:val="16"/>
          <w:szCs w:val="16"/>
          <w:color w:val="auto"/>
        </w:rPr>
        <w:t>References to “other enterprises” includes employee benefit plans; references to “fines” includes any excise taxes assessed on a person with respect to any employee benefit plan; and references to “serving at the request of Schlumberger” includes any service as a director, officer, employee or agent of Schlumberger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will be deemed to have acted in a manner “not opposed to the best interests of Schlumberger.”</w:t>
      </w:r>
    </w:p>
    <w:p>
      <w:pPr>
        <w:spacing w:after="0" w:line="158"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A member of the Board of Directors, or a member of any committee designated by the Board of Directors, will, in the performance of such member’s duties, be fully protected in relying in good faith upon the records of Schlumberger and upon such information, opinions, reports or statements presented to Schlumberger by any of Schlumberger’s officers or employees, or committees of the Board of Directors, or by any other person as to matters the member reasonably believes are within such other person’s professional or expert competence and who has been selected with reasonable care by or on behalf of Schlumberger.</w:t>
      </w:r>
    </w:p>
    <w:p>
      <w:pPr>
        <w:spacing w:after="0" w:line="188" w:lineRule="exact"/>
        <w:rPr>
          <w:sz w:val="20"/>
          <w:szCs w:val="20"/>
          <w:color w:val="auto"/>
        </w:rPr>
      </w:pPr>
    </w:p>
    <w:p>
      <w:pPr>
        <w:ind w:right="500" w:firstLine="913"/>
        <w:spacing w:after="0" w:line="277" w:lineRule="auto"/>
        <w:rPr>
          <w:sz w:val="20"/>
          <w:szCs w:val="20"/>
          <w:color w:val="auto"/>
        </w:rPr>
      </w:pPr>
      <w:r>
        <w:rPr>
          <w:rFonts w:ascii="Arial" w:cs="Arial" w:eastAsia="Arial" w:hAnsi="Arial"/>
          <w:sz w:val="18"/>
          <w:szCs w:val="18"/>
          <w:color w:val="auto"/>
        </w:rPr>
        <w:t>In addition, Schlumberger maintains directors’ and officers’ liability insurance which insures against certain liabilities that the officers and directors of Schlumberger may incur in such capacities.</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Exemption from Registration Claimed.</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i w:val="1"/>
          <w:iCs w:val="1"/>
          <w:color w:val="auto"/>
        </w:rPr>
        <w:t>Exhibits.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documents are filed as a part of this Registration Statement or incorporated by reference herein:</w:t>
      </w:r>
    </w:p>
    <w:p>
      <w:pPr>
        <w:sectPr>
          <w:pgSz w:w="11900" w:h="16838" w:orient="portrait"/>
          <w:cols w:equalWidth="0" w:num="1">
            <w:col w:w="11400"/>
          </w:cols>
          <w:pgMar w:left="240" w:top="274" w:right="259" w:bottom="1440" w:gutter="0" w:footer="0" w:header="0"/>
        </w:sectPr>
      </w:pPr>
    </w:p>
    <w:p>
      <w:pPr>
        <w:spacing w:after="0" w:line="244" w:lineRule="exact"/>
        <w:rPr>
          <w:sz w:val="20"/>
          <w:szCs w:val="20"/>
          <w:color w:val="auto"/>
        </w:rPr>
      </w:pPr>
    </w:p>
    <w:p>
      <w:pPr>
        <w:jc w:val="center"/>
        <w:ind w:right="4580"/>
        <w:spacing w:after="0"/>
        <w:rPr>
          <w:sz w:val="20"/>
          <w:szCs w:val="20"/>
          <w:color w:val="auto"/>
        </w:rPr>
      </w:pPr>
      <w:r>
        <w:rPr>
          <w:rFonts w:ascii="Arial" w:cs="Arial" w:eastAsia="Arial" w:hAnsi="Arial"/>
          <w:sz w:val="13"/>
          <w:szCs w:val="13"/>
          <w:b w:val="1"/>
          <w:bCs w:val="1"/>
          <w:color w:val="auto"/>
        </w:rPr>
        <w:t>Exhibit</w:t>
      </w:r>
    </w:p>
    <w:p>
      <w:pPr>
        <w:spacing w:after="0" w:line="15" w:lineRule="exact"/>
        <w:rPr>
          <w:sz w:val="20"/>
          <w:szCs w:val="20"/>
          <w:color w:val="auto"/>
        </w:rPr>
      </w:pPr>
    </w:p>
    <w:p>
      <w:pPr>
        <w:jc w:val="center"/>
        <w:ind w:right="4580"/>
        <w:spacing w:after="0"/>
        <w:rPr>
          <w:sz w:val="20"/>
          <w:szCs w:val="20"/>
          <w:color w:val="auto"/>
        </w:rPr>
      </w:pPr>
      <w:r>
        <w:rPr>
          <w:rFonts w:ascii="Arial" w:cs="Arial" w:eastAsia="Arial" w:hAnsi="Arial"/>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29146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9" w:lineRule="exact"/>
        <w:rPr>
          <w:sz w:val="20"/>
          <w:szCs w:val="20"/>
          <w:color w:val="auto"/>
        </w:rPr>
      </w:pPr>
    </w:p>
    <w:p>
      <w:pPr>
        <w:jc w:val="center"/>
        <w:ind w:right="4940"/>
        <w:spacing w:after="0"/>
        <w:rPr>
          <w:sz w:val="20"/>
          <w:szCs w:val="20"/>
          <w:color w:val="auto"/>
        </w:rPr>
      </w:pPr>
      <w:r>
        <w:rPr>
          <w:rFonts w:ascii="Arial" w:cs="Arial" w:eastAsia="Arial" w:hAnsi="Arial"/>
          <w:sz w:val="12"/>
          <w:szCs w:val="12"/>
          <w:b w:val="1"/>
          <w:bCs w:val="1"/>
          <w:u w:val="single" w:color="auto"/>
          <w:color w:val="auto"/>
        </w:rPr>
        <w:t>Description</w:t>
      </w:r>
    </w:p>
    <w:p>
      <w:pPr>
        <w:spacing w:after="0" w:line="140" w:lineRule="exact"/>
        <w:rPr>
          <w:sz w:val="20"/>
          <w:szCs w:val="20"/>
          <w:color w:val="auto"/>
        </w:rPr>
      </w:pPr>
    </w:p>
    <w:p>
      <w:pPr>
        <w:sectPr>
          <w:pgSz w:w="11900" w:h="16838" w:orient="portrait"/>
          <w:cols w:equalWidth="0" w:num="2">
            <w:col w:w="5040" w:space="720"/>
            <w:col w:w="5640"/>
          </w:cols>
          <w:pgMar w:left="240" w:top="274" w:right="259" w:bottom="1440" w:gutter="0" w:footer="0" w:header="0"/>
          <w:type w:val="continuous"/>
        </w:sectPr>
      </w:pPr>
    </w:p>
    <w:p>
      <w:pPr>
        <w:ind w:left="100"/>
        <w:spacing w:after="0"/>
        <w:tabs>
          <w:tab w:leader="none" w:pos="7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Articles of Incorporation of Schlumberger Limited (Schlumberger N.V.), as last amended on April 6, 2016 (incorporated by reference to Exhibit</w:t>
      </w:r>
    </w:p>
    <w:p>
      <w:pPr>
        <w:spacing w:after="0" w:line="2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3.1 to Schlumberger’s Current Report on Form 8-K filed on April 6, 2016).</w:t>
      </w:r>
    </w:p>
    <w:p>
      <w:pPr>
        <w:spacing w:after="0" w:line="103" w:lineRule="exact"/>
        <w:rPr>
          <w:sz w:val="20"/>
          <w:szCs w:val="20"/>
          <w:color w:val="auto"/>
        </w:rPr>
      </w:pPr>
    </w:p>
    <w:p>
      <w:pPr>
        <w:ind w:left="800" w:right="80" w:hanging="692"/>
        <w:spacing w:after="0" w:line="277" w:lineRule="auto"/>
        <w:tabs>
          <w:tab w:leader="none" w:pos="78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Amended and Restated Bylaws of Schlumberger Limited (Schlumberger N.V.), as last amended on January 19, 2017 (incorporated by reference to Exhibit 3.1 to Schlumberger’s Current Report on Form 8-K filed January 19, 2017).</w:t>
      </w:r>
    </w:p>
    <w:p>
      <w:pPr>
        <w:spacing w:after="0" w:line="62" w:lineRule="exact"/>
        <w:rPr>
          <w:sz w:val="20"/>
          <w:szCs w:val="20"/>
          <w:color w:val="auto"/>
        </w:rPr>
      </w:pPr>
    </w:p>
    <w:p>
      <w:pPr>
        <w:ind w:left="100"/>
        <w:spacing w:after="0"/>
        <w:tabs>
          <w:tab w:leader="none" w:pos="78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Schlumberger 2017 Omnibus Stock Incentive Plan (incorporated by reference to Appendix B to Schlumberger’s definitive proxy statement for the</w:t>
      </w:r>
    </w:p>
    <w:p>
      <w:pPr>
        <w:spacing w:after="0" w:line="2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2017 Annual General Meeting of Stockholders held on April 5, 2017).</w:t>
      </w:r>
    </w:p>
    <w:p>
      <w:pPr>
        <w:spacing w:after="0" w:line="103" w:lineRule="exact"/>
        <w:rPr>
          <w:sz w:val="20"/>
          <w:szCs w:val="20"/>
          <w:color w:val="auto"/>
        </w:rPr>
      </w:pPr>
    </w:p>
    <w:p>
      <w:pPr>
        <w:ind w:left="800" w:hanging="702"/>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Opinion of STvB Advocaten (Curaçao), N.V. as to the legality of the shares of common stock being registered (filed herewith).</w:t>
      </w:r>
    </w:p>
    <w:p>
      <w:pPr>
        <w:spacing w:after="0" w:line="157" w:lineRule="exact"/>
        <w:rPr>
          <w:rFonts w:ascii="Arial" w:cs="Arial" w:eastAsia="Arial" w:hAnsi="Arial"/>
          <w:sz w:val="18"/>
          <w:szCs w:val="18"/>
          <w:color w:val="auto"/>
        </w:rPr>
      </w:pPr>
    </w:p>
    <w:p>
      <w:pPr>
        <w:ind w:left="5660" w:hanging="96"/>
        <w:spacing w:after="0"/>
        <w:tabs>
          <w:tab w:leader="none" w:pos="5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1400"/>
          </w:cols>
          <w:pgMar w:left="240" w:top="274" w:right="259" w:bottom="1440" w:gutter="0" w:footer="0" w:header="0"/>
          <w:type w:val="continuous"/>
        </w:sectPr>
      </w:pPr>
    </w:p>
    <w:bookmarkStart w:id="5" w:name="page6"/>
    <w:bookmarkEnd w:id="5"/>
    <w:p>
      <w:pPr>
        <w:jc w:val="center"/>
        <w:ind w:right="4580"/>
        <w:spacing w:after="0"/>
        <w:rPr>
          <w:sz w:val="20"/>
          <w:szCs w:val="20"/>
          <w:color w:val="auto"/>
        </w:rPr>
      </w:pPr>
      <w:r>
        <w:rPr>
          <w:rFonts w:ascii="Arial" w:cs="Arial" w:eastAsia="Arial" w:hAnsi="Arial"/>
          <w:sz w:val="13"/>
          <w:szCs w:val="13"/>
          <w:b w:val="1"/>
          <w:bCs w:val="1"/>
          <w:color w:val="auto"/>
        </w:rPr>
        <w:t>Exhibit</w:t>
      </w:r>
    </w:p>
    <w:p>
      <w:pPr>
        <w:spacing w:after="0" w:line="15" w:lineRule="exact"/>
        <w:rPr>
          <w:sz w:val="20"/>
          <w:szCs w:val="20"/>
          <w:color w:val="auto"/>
        </w:rPr>
      </w:pPr>
    </w:p>
    <w:p>
      <w:pPr>
        <w:jc w:val="center"/>
        <w:ind w:right="4580"/>
        <w:spacing w:after="0"/>
        <w:rPr>
          <w:sz w:val="20"/>
          <w:szCs w:val="20"/>
          <w:color w:val="auto"/>
        </w:rPr>
      </w:pPr>
      <w:r>
        <w:rPr>
          <w:rFonts w:ascii="Arial" w:cs="Arial" w:eastAsia="Arial" w:hAnsi="Arial"/>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29146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jc w:val="center"/>
        <w:ind w:right="4940"/>
        <w:spacing w:after="0"/>
        <w:rPr>
          <w:sz w:val="20"/>
          <w:szCs w:val="20"/>
          <w:color w:val="auto"/>
        </w:rPr>
      </w:pPr>
      <w:r>
        <w:rPr>
          <w:rFonts w:ascii="Arial" w:cs="Arial" w:eastAsia="Arial" w:hAnsi="Arial"/>
          <w:sz w:val="12"/>
          <w:szCs w:val="12"/>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-3664585</wp:posOffset>
            </wp:positionH>
            <wp:positionV relativeFrom="paragraph">
              <wp:posOffset>-278130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40" w:lineRule="exact"/>
        <w:rPr>
          <w:sz w:val="20"/>
          <w:szCs w:val="20"/>
          <w:color w:val="auto"/>
        </w:rPr>
      </w:pPr>
    </w:p>
    <w:p>
      <w:pPr>
        <w:sectPr>
          <w:pgSz w:w="11900" w:h="16838" w:orient="portrait"/>
          <w:cols w:equalWidth="0" w:num="2">
            <w:col w:w="5040" w:space="720"/>
            <w:col w:w="5640"/>
          </w:cols>
          <w:pgMar w:left="240" w:top="265" w:right="259" w:bottom="1440" w:gutter="0" w:footer="0" w:header="0"/>
        </w:sectPr>
      </w:pPr>
    </w:p>
    <w:p>
      <w:pPr>
        <w:spacing w:after="0"/>
        <w:tabs>
          <w:tab w:leader="none" w:pos="78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PricewaterhouseCoopers LLP, independent registered public accounting firm (filed herewith).</w:t>
      </w:r>
    </w:p>
    <w:p>
      <w:pPr>
        <w:spacing w:after="0" w:line="11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STvB Advocaten (Curaçao), N.V. (included in Exhibit 5).</w:t>
      </w:r>
    </w:p>
    <w:p>
      <w:pPr>
        <w:spacing w:after="0" w:line="11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color w:val="auto"/>
        </w:rPr>
        <w:t>Powers of Attorney (filed herewith).</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Undertakings.</w:t>
      </w:r>
    </w:p>
    <w:p>
      <w:pPr>
        <w:spacing w:after="0" w:line="121" w:lineRule="exact"/>
        <w:rPr>
          <w:sz w:val="20"/>
          <w:szCs w:val="20"/>
          <w:color w:val="auto"/>
        </w:rPr>
      </w:pPr>
    </w:p>
    <w:p>
      <w:pPr>
        <w:ind w:left="840" w:hanging="376"/>
        <w:spacing w:after="0"/>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17" w:lineRule="exact"/>
        <w:rPr>
          <w:rFonts w:ascii="Arial" w:cs="Arial" w:eastAsia="Arial" w:hAnsi="Arial"/>
          <w:sz w:val="18"/>
          <w:szCs w:val="18"/>
          <w:color w:val="auto"/>
        </w:rPr>
      </w:pPr>
    </w:p>
    <w:p>
      <w:pPr>
        <w:ind w:left="1560" w:hanging="219"/>
        <w:spacing w:after="0"/>
        <w:tabs>
          <w:tab w:leader="none" w:pos="1560" w:val="left"/>
        </w:tabs>
        <w:numPr>
          <w:ilvl w:val="2"/>
          <w:numId w:val="4"/>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117" w:lineRule="exact"/>
        <w:rPr>
          <w:rFonts w:ascii="Arial" w:cs="Arial" w:eastAsia="Arial" w:hAnsi="Arial"/>
          <w:sz w:val="18"/>
          <w:szCs w:val="18"/>
          <w:color w:val="auto"/>
        </w:rPr>
      </w:pPr>
    </w:p>
    <w:p>
      <w:pPr>
        <w:ind w:left="920" w:right="220" w:firstLine="421"/>
        <w:spacing w:after="0" w:line="272" w:lineRule="auto"/>
        <w:tabs>
          <w:tab w:leader="none" w:pos="1605" w:val="left"/>
        </w:tabs>
        <w:numPr>
          <w:ilvl w:val="2"/>
          <w:numId w:val="4"/>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of the Securities Act of 1933 if, in the aggregate, the changes in volume and price represent no more than a 20% change in the maximum aggregate offering price set forth in the “Calculation of Registration Fee” table in the effective registration statement; and</w:t>
      </w:r>
    </w:p>
    <w:p>
      <w:pPr>
        <w:spacing w:after="0" w:line="69" w:lineRule="exact"/>
        <w:rPr>
          <w:rFonts w:ascii="Arial" w:cs="Arial" w:eastAsia="Arial" w:hAnsi="Arial"/>
          <w:sz w:val="17"/>
          <w:szCs w:val="17"/>
          <w:color w:val="auto"/>
        </w:rPr>
      </w:pPr>
    </w:p>
    <w:p>
      <w:pPr>
        <w:ind w:left="920" w:firstLine="421"/>
        <w:spacing w:after="0" w:line="277" w:lineRule="auto"/>
        <w:tabs>
          <w:tab w:leader="none" w:pos="1655" w:val="left"/>
        </w:tabs>
        <w:numPr>
          <w:ilvl w:val="2"/>
          <w:numId w:val="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62" w:lineRule="exact"/>
        <w:rPr>
          <w:sz w:val="20"/>
          <w:szCs w:val="20"/>
          <w:color w:val="auto"/>
        </w:rPr>
      </w:pPr>
    </w:p>
    <w:p>
      <w:pPr>
        <w:ind w:left="460"/>
        <w:spacing w:after="0" w:line="286" w:lineRule="auto"/>
        <w:rPr>
          <w:sz w:val="20"/>
          <w:szCs w:val="20"/>
          <w:color w:val="auto"/>
        </w:rPr>
      </w:pPr>
      <w:r>
        <w:rPr>
          <w:rFonts w:ascii="Arial" w:cs="Arial" w:eastAsia="Arial" w:hAnsi="Arial"/>
          <w:sz w:val="17"/>
          <w:szCs w:val="17"/>
          <w:i w:val="1"/>
          <w:iCs w:val="1"/>
          <w:color w:val="auto"/>
        </w:rPr>
        <w:t xml:space="preserve">provided, however, </w:t>
      </w:r>
      <w:r>
        <w:rPr>
          <w:rFonts w:ascii="Arial" w:cs="Arial" w:eastAsia="Arial" w:hAnsi="Arial"/>
          <w:sz w:val="17"/>
          <w:szCs w:val="17"/>
          <w:color w:val="auto"/>
        </w:rPr>
        <w:t>that the undertakings set forth in paragraphs (a)(1)(i) and (a)(1)(ii) above do not apply if the information required to be included in a</w:t>
      </w:r>
      <w:r>
        <w:rPr>
          <w:rFonts w:ascii="Arial" w:cs="Arial" w:eastAsia="Arial" w:hAnsi="Arial"/>
          <w:sz w:val="17"/>
          <w:szCs w:val="17"/>
          <w:i w:val="1"/>
          <w:iCs w:val="1"/>
          <w:color w:val="auto"/>
        </w:rPr>
        <w:t xml:space="preserve"> </w:t>
      </w:r>
      <w:r>
        <w:rPr>
          <w:rFonts w:ascii="Arial" w:cs="Arial" w:eastAsia="Arial" w:hAnsi="Arial"/>
          <w:sz w:val="17"/>
          <w:szCs w:val="17"/>
          <w:color w:val="auto"/>
        </w:rPr>
        <w:t>post-effective amendment by those paragraphs is contained in reports filed with or furnished to the Commission by the Registrant pursuant to Section 13 or Section 15(d) of the Securities Exchange Act of 1934 that are incorporated by reference in the registration statement.</w:t>
      </w:r>
    </w:p>
    <w:p>
      <w:pPr>
        <w:spacing w:after="0" w:line="57" w:lineRule="exact"/>
        <w:rPr>
          <w:sz w:val="20"/>
          <w:szCs w:val="20"/>
          <w:color w:val="auto"/>
        </w:rPr>
      </w:pPr>
    </w:p>
    <w:p>
      <w:pPr>
        <w:ind w:left="460" w:right="20" w:firstLine="443"/>
        <w:spacing w:after="0" w:line="264" w:lineRule="auto"/>
        <w:tabs>
          <w:tab w:leader="none" w:pos="1153" w:val="left"/>
        </w:tabs>
        <w:numPr>
          <w:ilvl w:val="1"/>
          <w:numId w:val="5"/>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 xml:space="preserve">bona fide </w:t>
      </w:r>
      <w:r>
        <w:rPr>
          <w:rFonts w:ascii="Arial" w:cs="Arial" w:eastAsia="Arial" w:hAnsi="Arial"/>
          <w:sz w:val="18"/>
          <w:szCs w:val="18"/>
          <w:color w:val="auto"/>
        </w:rPr>
        <w:t>offering thereof.</w:t>
      </w:r>
    </w:p>
    <w:p>
      <w:pPr>
        <w:spacing w:after="0" w:line="73" w:lineRule="exact"/>
        <w:rPr>
          <w:rFonts w:ascii="Arial" w:cs="Arial" w:eastAsia="Arial" w:hAnsi="Arial"/>
          <w:sz w:val="18"/>
          <w:szCs w:val="18"/>
          <w:color w:val="auto"/>
        </w:rPr>
      </w:pPr>
    </w:p>
    <w:p>
      <w:pPr>
        <w:ind w:left="460" w:right="560" w:firstLine="443"/>
        <w:spacing w:after="0" w:line="277" w:lineRule="auto"/>
        <w:tabs>
          <w:tab w:leader="none" w:pos="1153" w:val="left"/>
        </w:tabs>
        <w:numPr>
          <w:ilvl w:val="1"/>
          <w:numId w:val="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right="80" w:firstLine="464"/>
        <w:spacing w:after="0" w:line="257" w:lineRule="auto"/>
        <w:tabs>
          <w:tab w:leader="none" w:pos="711"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this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88" w:lineRule="exact"/>
        <w:rPr>
          <w:rFonts w:ascii="Arial" w:cs="Arial" w:eastAsia="Arial" w:hAnsi="Arial"/>
          <w:sz w:val="18"/>
          <w:szCs w:val="18"/>
          <w:color w:val="auto"/>
        </w:rPr>
      </w:pPr>
    </w:p>
    <w:p>
      <w:pPr>
        <w:ind w:right="180" w:firstLine="464"/>
        <w:spacing w:after="0" w:line="271" w:lineRule="auto"/>
        <w:tabs>
          <w:tab w:leader="none" w:pos="701" w:val="left"/>
        </w:tabs>
        <w:numPr>
          <w:ilvl w:val="0"/>
          <w:numId w:val="6"/>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provisions described under Item 6 above, or otherwise, the Registrant has been advised that in the opinion of the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11" w:lineRule="exact"/>
        <w:rPr>
          <w:rFonts w:ascii="Arial" w:cs="Arial" w:eastAsia="Arial" w:hAnsi="Arial"/>
          <w:sz w:val="17"/>
          <w:szCs w:val="17"/>
          <w:color w:val="auto"/>
        </w:rPr>
      </w:pPr>
    </w:p>
    <w:p>
      <w:pPr>
        <w:ind w:left="5660" w:hanging="96"/>
        <w:spacing w:after="0"/>
        <w:tabs>
          <w:tab w:leader="none" w:pos="5660" w:val="left"/>
        </w:tabs>
        <w:numPr>
          <w:ilvl w:val="2"/>
          <w:numId w:val="6"/>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1400"/>
          </w:cols>
          <w:pgMar w:left="240" w:top="265" w:right="259" w:bottom="1440" w:gutter="0" w:footer="0" w:header="0"/>
          <w:type w:val="continuous"/>
        </w:sectPr>
      </w:pPr>
    </w:p>
    <w:bookmarkStart w:id="6" w:name="page7"/>
    <w:bookmarkEnd w:id="6"/>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Houston, State of Texas, on May 23, 2017.</w:t>
      </w:r>
    </w:p>
    <w:p>
      <w:pPr>
        <w:spacing w:after="0" w:line="208"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SCHLUMBERGER N.V.</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(Schlumberger Limited)</w:t>
      </w:r>
    </w:p>
    <w:p>
      <w:pPr>
        <w:spacing w:after="0" w:line="211" w:lineRule="exact"/>
        <w:rPr>
          <w:sz w:val="20"/>
          <w:szCs w:val="20"/>
          <w:color w:val="auto"/>
        </w:rPr>
      </w:pPr>
    </w:p>
    <w:p>
      <w:pPr>
        <w:ind w:left="6280"/>
        <w:spacing w:after="0"/>
        <w:tabs>
          <w:tab w:leader="none" w:pos="6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4258945</wp:posOffset>
            </wp:positionH>
            <wp:positionV relativeFrom="paragraph">
              <wp:posOffset>14605</wp:posOffset>
            </wp:positionV>
            <wp:extent cx="29927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spacing w:after="0" w:line="16"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Howard Guild</w:t>
      </w:r>
    </w:p>
    <w:p>
      <w:pPr>
        <w:spacing w:after="0" w:line="2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Chief Accounting Officer</w:t>
      </w:r>
    </w:p>
    <w:p>
      <w:pPr>
        <w:spacing w:after="0" w:line="211" w:lineRule="exact"/>
        <w:rPr>
          <w:sz w:val="20"/>
          <w:szCs w:val="20"/>
          <w:color w:val="auto"/>
        </w:rPr>
      </w:pPr>
    </w:p>
    <w:p>
      <w:pPr>
        <w:ind w:right="340" w:firstLine="913"/>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on May 23, 2017 in the capacities indicated.</w:t>
      </w:r>
    </w:p>
    <w:p>
      <w:pPr>
        <w:sectPr>
          <w:pgSz w:w="11900" w:h="16838" w:orient="portrait"/>
          <w:cols w:equalWidth="0" w:num="1">
            <w:col w:w="11360"/>
          </w:cols>
          <w:pgMar w:left="240" w:top="270" w:right="299" w:bottom="1440" w:gutter="0" w:footer="0" w:header="0"/>
        </w:sectPr>
      </w:pP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2201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Paal Kibsgaard</w:t>
      </w:r>
    </w:p>
    <w:p>
      <w:pPr>
        <w:spacing w:after="0" w:line="23" w:lineRule="exact"/>
        <w:rPr>
          <w:sz w:val="20"/>
          <w:szCs w:val="20"/>
          <w:color w:val="auto"/>
        </w:rPr>
      </w:pPr>
    </w:p>
    <w:p>
      <w:pPr>
        <w:ind w:right="1440"/>
        <w:spacing w:after="0" w:line="261" w:lineRule="auto"/>
        <w:rPr>
          <w:sz w:val="20"/>
          <w:szCs w:val="20"/>
          <w:color w:val="auto"/>
        </w:rPr>
      </w:pPr>
      <w:r>
        <w:rPr>
          <w:rFonts w:ascii="Arial" w:cs="Arial" w:eastAsia="Arial" w:hAnsi="Arial"/>
          <w:sz w:val="18"/>
          <w:szCs w:val="18"/>
          <w:color w:val="auto"/>
        </w:rPr>
        <w:t>Chairman of the Board, Chief Executive Officer and Director (Principal Executive Officer)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2201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Simon Ayat</w:t>
      </w:r>
    </w:p>
    <w:p>
      <w:pPr>
        <w:spacing w:after="0" w:line="23" w:lineRule="exact"/>
        <w:rPr>
          <w:sz w:val="20"/>
          <w:szCs w:val="20"/>
          <w:color w:val="auto"/>
        </w:rPr>
      </w:pPr>
    </w:p>
    <w:p>
      <w:pPr>
        <w:ind w:right="2020"/>
        <w:spacing w:after="0" w:line="261" w:lineRule="auto"/>
        <w:rPr>
          <w:sz w:val="20"/>
          <w:szCs w:val="20"/>
          <w:color w:val="auto"/>
        </w:rPr>
      </w:pPr>
      <w:r>
        <w:rPr>
          <w:rFonts w:ascii="Arial" w:cs="Arial" w:eastAsia="Arial" w:hAnsi="Arial"/>
          <w:sz w:val="18"/>
          <w:szCs w:val="18"/>
          <w:color w:val="auto"/>
        </w:rPr>
        <w:t>Executive Vice President and Chief Financial Officer (Principal Financial Officer)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2201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Howard Guild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Accounting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Accounting Officer)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2201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Peter L.S. Currie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2201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Miguel M. Galuccio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2201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V. Maureen Kempston Darkes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2201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Nikolay Kudryavtsev</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5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14605</wp:posOffset>
            </wp:positionV>
            <wp:extent cx="25730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Howard Guild</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Attorney-in-Fact</w:t>
      </w:r>
    </w:p>
    <w:p>
      <w:pPr>
        <w:spacing w:after="0" w:line="1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33274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Helge Lund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33274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Michael E. Marks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33274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Indra K. Nooyi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33274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Lubna S. Olayan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33274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Leo Rafael Reif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33274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Tore I. Sandvold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33274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Henri Seydoux</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ectPr>
          <w:pgSz w:w="11900" w:h="16838" w:orient="portrait"/>
          <w:cols w:equalWidth="0" w:num="2">
            <w:col w:w="5860" w:space="320"/>
            <w:col w:w="5180"/>
          </w:cols>
          <w:pgMar w:left="240" w:top="270" w:right="299"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10940" w:type="dxa"/>
            <w:vAlign w:val="bottom"/>
            <w:gridSpan w:val="3"/>
          </w:tcPr>
          <w:p>
            <w:pPr>
              <w:ind w:left="456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460" w:type="dxa"/>
            <w:vAlign w:val="bottom"/>
          </w:tcPr>
          <w:p>
            <w:pPr>
              <w:jc w:val="right"/>
              <w:spacing w:after="0"/>
              <w:rPr>
                <w:sz w:val="20"/>
                <w:szCs w:val="20"/>
                <w:color w:val="auto"/>
              </w:rPr>
            </w:pPr>
            <w:r>
              <w:rPr>
                <w:rFonts w:ascii="Arial" w:cs="Arial" w:eastAsia="Arial" w:hAnsi="Arial"/>
                <w:sz w:val="14"/>
                <w:szCs w:val="14"/>
                <w:b w:val="1"/>
                <w:bCs w:val="1"/>
                <w:color w:val="auto"/>
                <w:w w:val="94"/>
              </w:rPr>
              <w:t>Exhibit</w:t>
            </w:r>
          </w:p>
        </w:tc>
        <w:tc>
          <w:tcPr>
            <w:tcW w:w="5400" w:type="dxa"/>
            <w:vAlign w:val="bottom"/>
            <w:vMerge w:val="restart"/>
          </w:tcPr>
          <w:p>
            <w:pPr>
              <w:spacing w:after="0"/>
              <w:rPr>
                <w:sz w:val="24"/>
                <w:szCs w:val="2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48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6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No.</w:t>
            </w:r>
          </w:p>
        </w:tc>
        <w:tc>
          <w:tcPr>
            <w:tcW w:w="5400" w:type="dxa"/>
            <w:vAlign w:val="bottom"/>
            <w:vMerge w:val="continue"/>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4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3"/>
        </w:trPr>
        <w:tc>
          <w:tcPr>
            <w:tcW w:w="460" w:type="dxa"/>
            <w:vAlign w:val="bottom"/>
          </w:tcPr>
          <w:p>
            <w:pPr>
              <w:jc w:val="right"/>
              <w:ind w:right="57"/>
              <w:spacing w:after="0"/>
              <w:rPr>
                <w:sz w:val="20"/>
                <w:szCs w:val="20"/>
                <w:color w:val="auto"/>
              </w:rPr>
            </w:pPr>
            <w:r>
              <w:rPr>
                <w:rFonts w:ascii="Arial" w:cs="Arial" w:eastAsia="Arial" w:hAnsi="Arial"/>
                <w:sz w:val="18"/>
                <w:szCs w:val="18"/>
                <w:color w:val="auto"/>
              </w:rPr>
              <w:t>4.1</w:t>
            </w:r>
          </w:p>
        </w:tc>
        <w:tc>
          <w:tcPr>
            <w:tcW w:w="10940" w:type="dxa"/>
            <w:vAlign w:val="bottom"/>
            <w:gridSpan w:val="3"/>
          </w:tcPr>
          <w:p>
            <w:pPr>
              <w:ind w:left="560"/>
              <w:spacing w:after="0"/>
              <w:rPr>
                <w:sz w:val="20"/>
                <w:szCs w:val="20"/>
                <w:color w:val="auto"/>
              </w:rPr>
            </w:pPr>
            <w:r>
              <w:rPr>
                <w:rFonts w:ascii="Arial" w:cs="Arial" w:eastAsia="Arial" w:hAnsi="Arial"/>
                <w:sz w:val="18"/>
                <w:szCs w:val="18"/>
                <w:color w:val="auto"/>
                <w:w w:val="91"/>
              </w:rPr>
              <w:t>Articles of Incorporation of Schlumberger Limited (Schlumberger N.V.), as last amended on April 6, 2016 (incorporated by reference to Exhibit</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940" w:type="dxa"/>
            <w:vAlign w:val="bottom"/>
            <w:gridSpan w:val="3"/>
          </w:tcPr>
          <w:p>
            <w:pPr>
              <w:ind w:left="560"/>
              <w:spacing w:after="0"/>
              <w:rPr>
                <w:sz w:val="20"/>
                <w:szCs w:val="20"/>
                <w:color w:val="auto"/>
              </w:rPr>
            </w:pPr>
            <w:r>
              <w:rPr>
                <w:rFonts w:ascii="Arial" w:cs="Arial" w:eastAsia="Arial" w:hAnsi="Arial"/>
                <w:sz w:val="18"/>
                <w:szCs w:val="18"/>
                <w:color w:val="auto"/>
              </w:rPr>
              <w:t>3.1 to Schlumberger’s Current Report on Form 8-K filed on April 6, 2016).</w:t>
            </w:r>
          </w:p>
        </w:tc>
        <w:tc>
          <w:tcPr>
            <w:tcW w:w="0" w:type="dxa"/>
            <w:vAlign w:val="bottom"/>
          </w:tcPr>
          <w:p>
            <w:pPr>
              <w:spacing w:after="0"/>
              <w:rPr>
                <w:sz w:val="1"/>
                <w:szCs w:val="1"/>
                <w:color w:val="auto"/>
              </w:rPr>
            </w:pPr>
          </w:p>
        </w:tc>
      </w:tr>
      <w:tr>
        <w:trPr>
          <w:trHeight w:val="310"/>
        </w:trPr>
        <w:tc>
          <w:tcPr>
            <w:tcW w:w="460" w:type="dxa"/>
            <w:vAlign w:val="bottom"/>
          </w:tcPr>
          <w:p>
            <w:pPr>
              <w:jc w:val="right"/>
              <w:ind w:right="57"/>
              <w:spacing w:after="0"/>
              <w:rPr>
                <w:sz w:val="20"/>
                <w:szCs w:val="20"/>
                <w:color w:val="auto"/>
              </w:rPr>
            </w:pPr>
            <w:r>
              <w:rPr>
                <w:rFonts w:ascii="Arial" w:cs="Arial" w:eastAsia="Arial" w:hAnsi="Arial"/>
                <w:sz w:val="18"/>
                <w:szCs w:val="18"/>
                <w:color w:val="auto"/>
              </w:rPr>
              <w:t>4.2</w:t>
            </w:r>
          </w:p>
        </w:tc>
        <w:tc>
          <w:tcPr>
            <w:tcW w:w="10940" w:type="dxa"/>
            <w:vAlign w:val="bottom"/>
            <w:gridSpan w:val="3"/>
          </w:tcPr>
          <w:p>
            <w:pPr>
              <w:ind w:left="560"/>
              <w:spacing w:after="0"/>
              <w:rPr>
                <w:sz w:val="20"/>
                <w:szCs w:val="20"/>
                <w:color w:val="auto"/>
              </w:rPr>
            </w:pPr>
            <w:r>
              <w:rPr>
                <w:rFonts w:ascii="Arial" w:cs="Arial" w:eastAsia="Arial" w:hAnsi="Arial"/>
                <w:sz w:val="18"/>
                <w:szCs w:val="18"/>
                <w:color w:val="auto"/>
                <w:w w:val="90"/>
              </w:rPr>
              <w:t>Amended and Restated Bylaws of Schlumberger Limited (Schlumberger N.V.), as last amended on January 19, 2017 (incorporated by reference</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940" w:type="dxa"/>
            <w:vAlign w:val="bottom"/>
            <w:gridSpan w:val="3"/>
          </w:tcPr>
          <w:p>
            <w:pPr>
              <w:ind w:left="560"/>
              <w:spacing w:after="0"/>
              <w:rPr>
                <w:sz w:val="20"/>
                <w:szCs w:val="20"/>
                <w:color w:val="auto"/>
              </w:rPr>
            </w:pPr>
            <w:r>
              <w:rPr>
                <w:rFonts w:ascii="Arial" w:cs="Arial" w:eastAsia="Arial" w:hAnsi="Arial"/>
                <w:sz w:val="18"/>
                <w:szCs w:val="18"/>
                <w:color w:val="auto"/>
              </w:rPr>
              <w:t>to Exhibit 3.1 to Schlumberger’s Current Report on Form 8-K filed January 19, 2017).</w:t>
            </w:r>
          </w:p>
        </w:tc>
        <w:tc>
          <w:tcPr>
            <w:tcW w:w="0" w:type="dxa"/>
            <w:vAlign w:val="bottom"/>
          </w:tcPr>
          <w:p>
            <w:pPr>
              <w:spacing w:after="0"/>
              <w:rPr>
                <w:sz w:val="1"/>
                <w:szCs w:val="1"/>
                <w:color w:val="auto"/>
              </w:rPr>
            </w:pPr>
          </w:p>
        </w:tc>
      </w:tr>
      <w:tr>
        <w:trPr>
          <w:trHeight w:val="310"/>
        </w:trPr>
        <w:tc>
          <w:tcPr>
            <w:tcW w:w="460" w:type="dxa"/>
            <w:vAlign w:val="bottom"/>
          </w:tcPr>
          <w:p>
            <w:pPr>
              <w:jc w:val="right"/>
              <w:ind w:right="57"/>
              <w:spacing w:after="0"/>
              <w:rPr>
                <w:sz w:val="20"/>
                <w:szCs w:val="20"/>
                <w:color w:val="auto"/>
              </w:rPr>
            </w:pPr>
            <w:r>
              <w:rPr>
                <w:rFonts w:ascii="Arial" w:cs="Arial" w:eastAsia="Arial" w:hAnsi="Arial"/>
                <w:sz w:val="18"/>
                <w:szCs w:val="18"/>
                <w:color w:val="auto"/>
              </w:rPr>
              <w:t>4.3</w:t>
            </w:r>
          </w:p>
        </w:tc>
        <w:tc>
          <w:tcPr>
            <w:tcW w:w="10940" w:type="dxa"/>
            <w:vAlign w:val="bottom"/>
            <w:gridSpan w:val="3"/>
          </w:tcPr>
          <w:p>
            <w:pPr>
              <w:ind w:left="560"/>
              <w:spacing w:after="0"/>
              <w:rPr>
                <w:sz w:val="20"/>
                <w:szCs w:val="20"/>
                <w:color w:val="auto"/>
              </w:rPr>
            </w:pPr>
            <w:r>
              <w:rPr>
                <w:rFonts w:ascii="Arial" w:cs="Arial" w:eastAsia="Arial" w:hAnsi="Arial"/>
                <w:sz w:val="18"/>
                <w:szCs w:val="18"/>
                <w:color w:val="auto"/>
                <w:w w:val="92"/>
              </w:rPr>
              <w:t>Schlumberger 2017 Omnibus Stock Incentive Plan (incorporated by reference to Appendix B to Schlumberger’s definitive proxy statement for</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940" w:type="dxa"/>
            <w:vAlign w:val="bottom"/>
            <w:gridSpan w:val="3"/>
          </w:tcPr>
          <w:p>
            <w:pPr>
              <w:ind w:left="560"/>
              <w:spacing w:after="0"/>
              <w:rPr>
                <w:sz w:val="20"/>
                <w:szCs w:val="20"/>
                <w:color w:val="auto"/>
              </w:rPr>
            </w:pPr>
            <w:r>
              <w:rPr>
                <w:rFonts w:ascii="Arial" w:cs="Arial" w:eastAsia="Arial" w:hAnsi="Arial"/>
                <w:sz w:val="18"/>
                <w:szCs w:val="18"/>
                <w:color w:val="auto"/>
              </w:rPr>
              <w:t>the 2017 Annual General Meeting of Stockholders held on April 5, 2017).</w:t>
            </w:r>
          </w:p>
        </w:tc>
        <w:tc>
          <w:tcPr>
            <w:tcW w:w="0" w:type="dxa"/>
            <w:vAlign w:val="bottom"/>
          </w:tcPr>
          <w:p>
            <w:pPr>
              <w:spacing w:after="0"/>
              <w:rPr>
                <w:sz w:val="1"/>
                <w:szCs w:val="1"/>
                <w:color w:val="auto"/>
              </w:rPr>
            </w:pPr>
          </w:p>
        </w:tc>
      </w:tr>
    </w:tbl>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1020" w:hanging="922"/>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Opinion of STvB Advocaten (Curaçao), N.V. as to the legality of the shares of common stock being registered (filed herewith).</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23.1</w:t>
            </w:r>
          </w:p>
        </w:tc>
        <w:tc>
          <w:tcPr>
            <w:tcW w:w="7920" w:type="dxa"/>
            <w:vAlign w:val="bottom"/>
          </w:tcPr>
          <w:p>
            <w:pPr>
              <w:ind w:left="340"/>
              <w:spacing w:after="0"/>
              <w:rPr>
                <w:sz w:val="20"/>
                <w:szCs w:val="20"/>
                <w:color w:val="auto"/>
              </w:rPr>
            </w:pPr>
            <w:r>
              <w:rPr>
                <w:rFonts w:ascii="Arial" w:cs="Arial" w:eastAsia="Arial" w:hAnsi="Arial"/>
                <w:sz w:val="18"/>
                <w:szCs w:val="18"/>
                <w:color w:val="auto"/>
                <w:w w:val="90"/>
              </w:rPr>
              <w:t>Consent of PricewaterhouseCoopers LLP, independent registered public accounting firm (filed herewith).</w:t>
            </w:r>
          </w:p>
        </w:tc>
      </w:tr>
      <w:tr>
        <w:trPr>
          <w:trHeight w:val="324"/>
        </w:trPr>
        <w:tc>
          <w:tcPr>
            <w:tcW w:w="680" w:type="dxa"/>
            <w:vAlign w:val="bottom"/>
          </w:tcPr>
          <w:p>
            <w:pPr>
              <w:spacing w:after="0"/>
              <w:rPr>
                <w:sz w:val="20"/>
                <w:szCs w:val="20"/>
                <w:color w:val="auto"/>
              </w:rPr>
            </w:pPr>
            <w:r>
              <w:rPr>
                <w:rFonts w:ascii="Arial" w:cs="Arial" w:eastAsia="Arial" w:hAnsi="Arial"/>
                <w:sz w:val="18"/>
                <w:szCs w:val="18"/>
                <w:color w:val="auto"/>
              </w:rPr>
              <w:t>23.2</w:t>
            </w:r>
          </w:p>
        </w:tc>
        <w:tc>
          <w:tcPr>
            <w:tcW w:w="7920" w:type="dxa"/>
            <w:vAlign w:val="bottom"/>
          </w:tcPr>
          <w:p>
            <w:pPr>
              <w:ind w:left="340"/>
              <w:spacing w:after="0"/>
              <w:rPr>
                <w:sz w:val="20"/>
                <w:szCs w:val="20"/>
                <w:color w:val="auto"/>
              </w:rPr>
            </w:pPr>
            <w:r>
              <w:rPr>
                <w:rFonts w:ascii="Arial" w:cs="Arial" w:eastAsia="Arial" w:hAnsi="Arial"/>
                <w:sz w:val="18"/>
                <w:szCs w:val="18"/>
                <w:color w:val="auto"/>
              </w:rPr>
              <w:t>Consent of STvB Advocaten (Curaçao), N.V. (included in Exhibit 5).</w:t>
            </w:r>
          </w:p>
        </w:tc>
      </w:tr>
      <w:tr>
        <w:trPr>
          <w:trHeight w:val="324"/>
        </w:trPr>
        <w:tc>
          <w:tcPr>
            <w:tcW w:w="680" w:type="dxa"/>
            <w:vAlign w:val="bottom"/>
          </w:tcPr>
          <w:p>
            <w:pPr>
              <w:spacing w:after="0"/>
              <w:rPr>
                <w:sz w:val="20"/>
                <w:szCs w:val="20"/>
                <w:color w:val="auto"/>
              </w:rPr>
            </w:pPr>
            <w:r>
              <w:rPr>
                <w:rFonts w:ascii="Arial" w:cs="Arial" w:eastAsia="Arial" w:hAnsi="Arial"/>
                <w:sz w:val="18"/>
                <w:szCs w:val="18"/>
                <w:color w:val="auto"/>
              </w:rPr>
              <w:t>24</w:t>
            </w:r>
          </w:p>
        </w:tc>
        <w:tc>
          <w:tcPr>
            <w:tcW w:w="7920" w:type="dxa"/>
            <w:vAlign w:val="bottom"/>
          </w:tcPr>
          <w:p>
            <w:pPr>
              <w:ind w:left="340"/>
              <w:spacing w:after="0"/>
              <w:rPr>
                <w:sz w:val="20"/>
                <w:szCs w:val="20"/>
                <w:color w:val="auto"/>
              </w:rPr>
            </w:pPr>
            <w:r>
              <w:rPr>
                <w:rFonts w:ascii="Arial" w:cs="Arial" w:eastAsia="Arial" w:hAnsi="Arial"/>
                <w:sz w:val="18"/>
                <w:szCs w:val="18"/>
                <w:color w:val="auto"/>
              </w:rPr>
              <w:t>Powers of Attorney (filed herewith)</w:t>
            </w:r>
          </w:p>
        </w:tc>
      </w:tr>
      <w:tr>
        <w:trPr>
          <w:trHeight w:val="608"/>
        </w:trPr>
        <w:tc>
          <w:tcPr>
            <w:tcW w:w="680" w:type="dxa"/>
            <w:vAlign w:val="bottom"/>
          </w:tcPr>
          <w:p>
            <w:pPr>
              <w:spacing w:after="0"/>
              <w:rPr>
                <w:sz w:val="24"/>
                <w:szCs w:val="24"/>
                <w:color w:val="auto"/>
              </w:rPr>
            </w:pPr>
          </w:p>
        </w:tc>
        <w:tc>
          <w:tcPr>
            <w:tcW w:w="7920" w:type="dxa"/>
            <w:vAlign w:val="bottom"/>
          </w:tcPr>
          <w:p>
            <w:pPr>
              <w:jc w:val="right"/>
              <w:ind w:right="2650"/>
              <w:spacing w:after="0"/>
              <w:rPr>
                <w:sz w:val="20"/>
                <w:szCs w:val="20"/>
                <w:color w:val="auto"/>
              </w:rPr>
            </w:pPr>
            <w:r>
              <w:rPr>
                <w:rFonts w:ascii="Arial" w:cs="Arial" w:eastAsia="Arial" w:hAnsi="Arial"/>
                <w:sz w:val="18"/>
                <w:szCs w:val="18"/>
                <w:color w:val="auto"/>
              </w:rPr>
              <w:t>- 6 -</w:t>
            </w:r>
          </w:p>
        </w:tc>
      </w:tr>
    </w:tbl>
    <w:p>
      <w:pPr>
        <w:sectPr>
          <w:pgSz w:w="11900" w:h="16838" w:orient="portrait"/>
          <w:cols w:equalWidth="0" w:num="1">
            <w:col w:w="11400"/>
          </w:cols>
          <w:pgMar w:left="240" w:top="270" w:right="25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5</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Schlumberger N.V.</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(Schlumberger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5599 San Felipe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17th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77056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Curaçao, May 23,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260" w:firstLine="1484"/>
        <w:spacing w:after="0" w:line="276" w:lineRule="auto"/>
        <w:rPr>
          <w:sz w:val="20"/>
          <w:szCs w:val="20"/>
          <w:color w:val="auto"/>
        </w:rPr>
      </w:pPr>
      <w:r>
        <w:rPr>
          <w:rFonts w:ascii="Arial" w:cs="Arial" w:eastAsia="Arial" w:hAnsi="Arial"/>
          <w:sz w:val="17"/>
          <w:szCs w:val="17"/>
          <w:color w:val="auto"/>
        </w:rPr>
        <w:t>We have acted as Curaçao legal counsel for Schlumberger N.V. (also referred to as Schlumberger Limited), a corporation with limited liability organized and existing under the laws of Curaçao (the “Company”), in connection with the registration of 30,000,000 shares of the Company’s common stock, par value $0.01 per share (the “Shares”), issuable pursuant to the Schlumberger 2017 Omnibus Stock Incentive Plan (the “2017 Plan”). We understand that a registration statement on Form S-8 relating to the 2017 Plan (the “Registration Statement”) is being filed by the Company with the Securities and Exchange Commission under the Securities Act of 1933, as amended, on May 23, 2017.</w:t>
      </w:r>
    </w:p>
    <w:p>
      <w:pPr>
        <w:spacing w:after="0" w:line="173"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As Curaçao legal counsel for the Company we have examined and relied upon the following documents in original, photo static or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facsimile form:</w:t>
      </w:r>
    </w:p>
    <w:p>
      <w:pPr>
        <w:spacing w:after="0" w:line="116" w:lineRule="exact"/>
        <w:rPr>
          <w:sz w:val="20"/>
          <w:szCs w:val="20"/>
          <w:color w:val="auto"/>
        </w:rPr>
      </w:pPr>
    </w:p>
    <w:p>
      <w:pPr>
        <w:ind w:left="2380" w:hanging="441"/>
        <w:spacing w:after="0"/>
        <w:tabs>
          <w:tab w:leader="none" w:pos="2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copy of the Registration Statement;</w:t>
      </w:r>
    </w:p>
    <w:p>
      <w:pPr>
        <w:spacing w:after="0" w:line="130" w:lineRule="exact"/>
        <w:rPr>
          <w:rFonts w:ascii="Arial" w:cs="Arial" w:eastAsia="Arial" w:hAnsi="Arial"/>
          <w:sz w:val="18"/>
          <w:szCs w:val="18"/>
          <w:color w:val="auto"/>
        </w:rPr>
      </w:pPr>
    </w:p>
    <w:p>
      <w:pPr>
        <w:ind w:left="2380" w:hanging="441"/>
        <w:spacing w:after="0"/>
        <w:tabs>
          <w:tab w:leader="none" w:pos="2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copy of the 2017 Plan;</w:t>
      </w:r>
    </w:p>
    <w:p>
      <w:pPr>
        <w:spacing w:after="0" w:line="130" w:lineRule="exact"/>
        <w:rPr>
          <w:rFonts w:ascii="Arial" w:cs="Arial" w:eastAsia="Arial" w:hAnsi="Arial"/>
          <w:sz w:val="18"/>
          <w:szCs w:val="18"/>
          <w:color w:val="auto"/>
        </w:rPr>
      </w:pPr>
    </w:p>
    <w:p>
      <w:pPr>
        <w:ind w:left="2380" w:hanging="441"/>
        <w:spacing w:after="0"/>
        <w:tabs>
          <w:tab w:leader="none" w:pos="2380" w:val="left"/>
        </w:tabs>
        <w:numPr>
          <w:ilvl w:val="0"/>
          <w:numId w:val="8"/>
        </w:numPr>
        <w:rPr>
          <w:rFonts w:ascii="Arial" w:cs="Arial" w:eastAsia="Arial" w:hAnsi="Arial"/>
          <w:sz w:val="17"/>
          <w:szCs w:val="17"/>
          <w:color w:val="auto"/>
        </w:rPr>
      </w:pPr>
      <w:r>
        <w:rPr>
          <w:rFonts w:ascii="Arial" w:cs="Arial" w:eastAsia="Arial" w:hAnsi="Arial"/>
          <w:sz w:val="17"/>
          <w:szCs w:val="17"/>
          <w:color w:val="auto"/>
        </w:rPr>
        <w:t>a certified copy of the articles of incorporation of the Company (the “Articles of Incorporation”), as presently in effect;</w:t>
      </w:r>
    </w:p>
    <w:p>
      <w:pPr>
        <w:spacing w:after="0" w:line="142" w:lineRule="exact"/>
        <w:rPr>
          <w:rFonts w:ascii="Arial" w:cs="Arial" w:eastAsia="Arial" w:hAnsi="Arial"/>
          <w:sz w:val="17"/>
          <w:szCs w:val="17"/>
          <w:color w:val="auto"/>
        </w:rPr>
      </w:pPr>
    </w:p>
    <w:p>
      <w:pPr>
        <w:ind w:left="2380" w:right="600" w:hanging="441"/>
        <w:spacing w:after="0" w:line="277" w:lineRule="auto"/>
        <w:tabs>
          <w:tab w:leader="none" w:pos="2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extract obtained online on May 22, 2017 from the Curaçao Commercial Register, relating to the registration of the Company; and</w:t>
      </w:r>
    </w:p>
    <w:p>
      <w:pPr>
        <w:spacing w:after="0" w:line="75" w:lineRule="exact"/>
        <w:rPr>
          <w:rFonts w:ascii="Arial" w:cs="Arial" w:eastAsia="Arial" w:hAnsi="Arial"/>
          <w:sz w:val="18"/>
          <w:szCs w:val="18"/>
          <w:color w:val="auto"/>
        </w:rPr>
      </w:pPr>
    </w:p>
    <w:p>
      <w:pPr>
        <w:ind w:left="2380" w:right="220" w:hanging="441"/>
        <w:spacing w:after="0" w:line="277" w:lineRule="auto"/>
        <w:tabs>
          <w:tab w:leader="none" w:pos="2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certified copy of the resolutions of the board of directors of the Company (the “Board”) providing for the issuance of the Shares (the “Board Resolutions”).</w:t>
      </w:r>
    </w:p>
    <w:p>
      <w:pPr>
        <w:spacing w:after="0" w:line="170"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In our examination of the documents referred to above and in expressing our opinion, we have assumed without independent verification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of any kind:</w:t>
      </w:r>
    </w:p>
    <w:p>
      <w:pPr>
        <w:spacing w:after="0" w:line="116" w:lineRule="exact"/>
        <w:rPr>
          <w:sz w:val="20"/>
          <w:szCs w:val="20"/>
          <w:color w:val="auto"/>
        </w:rPr>
      </w:pPr>
    </w:p>
    <w:p>
      <w:pPr>
        <w:ind w:left="2380" w:hanging="351"/>
        <w:spacing w:after="0"/>
        <w:tabs>
          <w:tab w:leader="none" w:pos="2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genuineness of all signatures on all documents we have reviewed;</w:t>
      </w:r>
    </w:p>
    <w:p>
      <w:pPr>
        <w:spacing w:after="0" w:line="130" w:lineRule="exact"/>
        <w:rPr>
          <w:rFonts w:ascii="Arial" w:cs="Arial" w:eastAsia="Arial" w:hAnsi="Arial"/>
          <w:sz w:val="18"/>
          <w:szCs w:val="18"/>
          <w:color w:val="auto"/>
        </w:rPr>
      </w:pPr>
    </w:p>
    <w:p>
      <w:pPr>
        <w:ind w:left="2380" w:right="60" w:hanging="396"/>
        <w:spacing w:after="0" w:line="277" w:lineRule="auto"/>
        <w:tabs>
          <w:tab w:leader="none" w:pos="2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authenticity of all such documents submitted to us as originals, and that each of the documents has been duly executed in the form, or substantially in the form submitted to us as execution copies; and</w:t>
      </w:r>
    </w:p>
    <w:p>
      <w:pPr>
        <w:spacing w:after="0" w:line="75" w:lineRule="exact"/>
        <w:rPr>
          <w:rFonts w:ascii="Arial" w:cs="Arial" w:eastAsia="Arial" w:hAnsi="Arial"/>
          <w:sz w:val="18"/>
          <w:szCs w:val="18"/>
          <w:color w:val="auto"/>
        </w:rPr>
      </w:pPr>
    </w:p>
    <w:p>
      <w:pPr>
        <w:ind w:left="2380" w:hanging="441"/>
        <w:spacing w:after="0"/>
        <w:tabs>
          <w:tab w:leader="none" w:pos="2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conformity with originals of all documents submitted to us as copies.</w:t>
      </w:r>
    </w:p>
    <w:p>
      <w:pPr>
        <w:spacing w:after="0" w:line="225" w:lineRule="exact"/>
        <w:rPr>
          <w:sz w:val="20"/>
          <w:szCs w:val="20"/>
          <w:color w:val="auto"/>
        </w:rPr>
      </w:pPr>
    </w:p>
    <w:p>
      <w:pPr>
        <w:ind w:right="380" w:firstLine="1484"/>
        <w:spacing w:after="0" w:line="264" w:lineRule="auto"/>
        <w:rPr>
          <w:sz w:val="20"/>
          <w:szCs w:val="20"/>
          <w:color w:val="auto"/>
        </w:rPr>
      </w:pPr>
      <w:r>
        <w:rPr>
          <w:rFonts w:ascii="Arial" w:cs="Arial" w:eastAsia="Arial" w:hAnsi="Arial"/>
          <w:sz w:val="18"/>
          <w:szCs w:val="18"/>
          <w:color w:val="auto"/>
        </w:rPr>
        <w:t>In rendering the following, we are opining on the matters hereinafter referred to, only insofar as they are governed by the laws of Curaçao as currently in effect and as they are interpreted under presently published case law of Curaçao, including the Supreme Court of the Netherlands (Hoge Raad der Nederlanden).</w:t>
      </w:r>
    </w:p>
    <w:p>
      <w:pPr>
        <w:spacing w:after="0" w:line="181" w:lineRule="exact"/>
        <w:rPr>
          <w:sz w:val="20"/>
          <w:szCs w:val="20"/>
          <w:color w:val="auto"/>
        </w:rPr>
      </w:pPr>
    </w:p>
    <w:p>
      <w:pPr>
        <w:ind w:right="900" w:firstLine="1484"/>
        <w:spacing w:after="0" w:line="277" w:lineRule="auto"/>
        <w:rPr>
          <w:sz w:val="20"/>
          <w:szCs w:val="20"/>
          <w:color w:val="auto"/>
        </w:rPr>
      </w:pPr>
      <w:r>
        <w:rPr>
          <w:rFonts w:ascii="Arial" w:cs="Arial" w:eastAsia="Arial" w:hAnsi="Arial"/>
          <w:sz w:val="18"/>
          <w:szCs w:val="18"/>
          <w:color w:val="auto"/>
        </w:rPr>
        <w:t>Based upon and subject to the foregoing and subject to the qualifications set forth below and having due regard for such legal considerations as we deem relevant, we are of the opinion that:</w:t>
      </w:r>
    </w:p>
    <w:p>
      <w:pPr>
        <w:spacing w:after="0" w:line="76" w:lineRule="exact"/>
        <w:rPr>
          <w:sz w:val="20"/>
          <w:szCs w:val="20"/>
          <w:color w:val="auto"/>
        </w:rPr>
      </w:pPr>
    </w:p>
    <w:p>
      <w:pPr>
        <w:ind w:left="2380" w:right="20" w:hanging="441"/>
        <w:spacing w:after="0" w:line="259" w:lineRule="auto"/>
        <w:tabs>
          <w:tab w:leader="none" w:pos="2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 has been duly incorporated under the laws of the former Netherlands Antilles, is currently validly existing under the laws of Curaçao and has all requisite corporate power and authority to own its properties and to conduct its business within the limits of its objects clause as set forth in article 2 of the Articles of Incorporation. The Company has been duly registered with the Curaçao Commercial Register under number 1674.</w:t>
      </w:r>
    </w:p>
    <w:p>
      <w:pPr>
        <w:sectPr>
          <w:pgSz w:w="11900" w:h="16838" w:orient="portrait"/>
          <w:cols w:equalWidth="0" w:num="1">
            <w:col w:w="11420"/>
          </w:cols>
          <w:pgMar w:left="240" w:top="121" w:right="239" w:bottom="1440" w:gutter="0" w:footer="0" w:header="0"/>
        </w:sectPr>
      </w:pPr>
    </w:p>
    <w:bookmarkStart w:id="9" w:name="page10"/>
    <w:bookmarkEnd w:id="9"/>
    <w:p>
      <w:pPr>
        <w:ind w:left="2380" w:hanging="441"/>
        <w:spacing w:after="0" w:line="271" w:lineRule="auto"/>
        <w:tabs>
          <w:tab w:leader="none" w:pos="2380" w:val="left"/>
        </w:tabs>
        <w:numPr>
          <w:ilvl w:val="0"/>
          <w:numId w:val="1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Following due authorization of a particular award as provided in and in accordance with the 2017 Plan, the Shares issuable pursuant to such award will have been duly authorized by all necessary corporate action on the part of the Company. Upon issuance and delivery of such Shares from time to time pursuant to and in accordance with the terms of the 2017 Plan and the applicable award, including, without limitation, the lapse of any restrictions relating thereto, the satisfaction of any performance conditions associated therewith and any requisite determinations by or pursuant to the authority of the Board or a duly constituted authorized committee thereof as provided therein, and, in the case of stock option awards, payment of the exercise price fixed in such option at least equal to the par value of such Shares, such Shares will be validly issued, fully paid and non-assessable.</w:t>
      </w:r>
    </w:p>
    <w:p>
      <w:pPr>
        <w:spacing w:after="0" w:line="84" w:lineRule="exact"/>
        <w:rPr>
          <w:rFonts w:ascii="Arial" w:cs="Arial" w:eastAsia="Arial" w:hAnsi="Arial"/>
          <w:sz w:val="17"/>
          <w:szCs w:val="17"/>
          <w:color w:val="auto"/>
        </w:rPr>
      </w:pPr>
    </w:p>
    <w:p>
      <w:pPr>
        <w:ind w:left="2380" w:right="80" w:hanging="441"/>
        <w:spacing w:after="0" w:line="277" w:lineRule="auto"/>
        <w:tabs>
          <w:tab w:leader="none" w:pos="2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 personal liability will attach to the holders of the Shares under the laws of Curaçao by reason of their being stockholders of the Company.</w:t>
      </w:r>
    </w:p>
    <w:p>
      <w:pPr>
        <w:spacing w:after="0" w:line="75" w:lineRule="exact"/>
        <w:rPr>
          <w:rFonts w:ascii="Arial" w:cs="Arial" w:eastAsia="Arial" w:hAnsi="Arial"/>
          <w:sz w:val="18"/>
          <w:szCs w:val="18"/>
          <w:color w:val="auto"/>
        </w:rPr>
      </w:pPr>
    </w:p>
    <w:p>
      <w:pPr>
        <w:ind w:left="2380" w:right="480" w:hanging="441"/>
        <w:spacing w:after="0" w:line="277" w:lineRule="auto"/>
        <w:tabs>
          <w:tab w:leader="none" w:pos="2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 consents, approvals, authorizations or other orders of Curaçao governmental authorities are legally required for the issuance of the Shares by the Company.</w:t>
      </w:r>
    </w:p>
    <w:p>
      <w:pPr>
        <w:spacing w:after="0" w:line="170" w:lineRule="exact"/>
        <w:rPr>
          <w:sz w:val="20"/>
          <w:szCs w:val="20"/>
          <w:color w:val="auto"/>
        </w:rPr>
      </w:pPr>
    </w:p>
    <w:p>
      <w:pPr>
        <w:ind w:right="200" w:firstLine="1484"/>
        <w:spacing w:after="0" w:line="277" w:lineRule="auto"/>
        <w:rPr>
          <w:sz w:val="20"/>
          <w:szCs w:val="20"/>
          <w:color w:val="auto"/>
        </w:rPr>
      </w:pPr>
      <w:r>
        <w:rPr>
          <w:rFonts w:ascii="Arial" w:cs="Arial" w:eastAsia="Arial" w:hAnsi="Arial"/>
          <w:sz w:val="18"/>
          <w:szCs w:val="18"/>
          <w:color w:val="auto"/>
        </w:rPr>
        <w:t>This opinion is strictly limited to the matters stated herein and may not read as extending by implication to any matters not specifically referred to herein, including tax matters.</w:t>
      </w:r>
    </w:p>
    <w:p>
      <w:pPr>
        <w:spacing w:after="0" w:line="170" w:lineRule="exact"/>
        <w:rPr>
          <w:sz w:val="20"/>
          <w:szCs w:val="20"/>
          <w:color w:val="auto"/>
        </w:rPr>
      </w:pPr>
    </w:p>
    <w:p>
      <w:pPr>
        <w:jc w:val="both"/>
        <w:ind w:right="260" w:firstLine="1484"/>
        <w:spacing w:after="0" w:line="264" w:lineRule="auto"/>
        <w:rPr>
          <w:sz w:val="20"/>
          <w:szCs w:val="20"/>
          <w:color w:val="auto"/>
        </w:rPr>
      </w:pPr>
      <w:r>
        <w:rPr>
          <w:rFonts w:ascii="Arial" w:cs="Arial" w:eastAsia="Arial" w:hAnsi="Arial"/>
          <w:sz w:val="18"/>
          <w:szCs w:val="18"/>
          <w:color w:val="auto"/>
        </w:rPr>
        <w:t>We consent to the filing of this opinion as an exhibit to the Registration Statement. In giving such consent, we do not thereby concede that we are within the category of persons whose consent is required under Section 7 of the Securities Act or the rules and regulations of the Securities and Exchange Commission promulgated thereunder.</w:t>
      </w:r>
    </w:p>
    <w:p>
      <w:pPr>
        <w:spacing w:after="0" w:line="208"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Sincerely yours,</w:t>
      </w:r>
    </w:p>
    <w:p>
      <w:pPr>
        <w:spacing w:after="0" w:line="22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STvB Advocaten (Curaçao), N.V.</w:t>
      </w:r>
    </w:p>
    <w:p>
      <w:pPr>
        <w:sectPr>
          <w:pgSz w:w="11900" w:h="16838" w:orient="portrait"/>
          <w:cols w:equalWidth="0" w:num="1">
            <w:col w:w="11400"/>
          </w:cols>
          <w:pgMar w:left="240" w:top="274" w:right="25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340" w:firstLine="913"/>
        <w:spacing w:after="0" w:line="264" w:lineRule="auto"/>
        <w:rPr>
          <w:sz w:val="20"/>
          <w:szCs w:val="20"/>
          <w:color w:val="auto"/>
        </w:rPr>
      </w:pPr>
      <w:r>
        <w:rPr>
          <w:rFonts w:ascii="Arial" w:cs="Arial" w:eastAsia="Arial" w:hAnsi="Arial"/>
          <w:sz w:val="18"/>
          <w:szCs w:val="18"/>
          <w:color w:val="auto"/>
        </w:rPr>
        <w:t>We hereby consent to the incorporation by reference in this Registration Statement on Form S-8 of Schlumberger Limited of our report dated January 25, 2017 relating to the consolidated financial statements and the effectiveness of internal control over financial reporting, which appears in Schlumberger Limited’s Annual Report on Form 10-K for the year ended December 31, 2016.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23, 2017</w:t>
      </w:r>
    </w:p>
    <w:p>
      <w:pPr>
        <w:sectPr>
          <w:pgSz w:w="11900" w:h="16838" w:orient="portrait"/>
          <w:cols w:equalWidth="0" w:num="1">
            <w:col w:w="11420"/>
          </w:cols>
          <w:pgMar w:left="240" w:top="121" w:right="23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b w:val="1"/>
          <w:bCs w:val="1"/>
          <w:color w:val="auto"/>
        </w:rPr>
        <w:t>Exhibit 24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Each of the undersigned, in the capacity or capacities set forth below his or her signature as a member of the Board of Directors or an officer, or both, of Schlumberger Limited, a Curaçao corporation (the “Company”), hereby constitutes and appoints Alexander C. Juden and Saul R. Laureles, and each of them, the true and lawful attorneys-in-fact and agents of the undersigned, each of whom will be authorized to act with or without the others, with full power of substitution and resubstitution, for and in the name, place and stead of the undersigned to execute one or more registration statements (whether on Form S-8 or such other form as may be required) with respect to the registration of shares of common stock, par value $0.01 per share, of the Company to be offered and issued under the Schlumberger Limited 2017 Omnibus Stock Incentive Plan or the Schlumberger Discounted Stock Purchase Plan, together with any and all amendments thereto (including post-effective amendments), and to file such registration statements and amendments, with any exhibits thereto and other documents in connection therewith, with the Securities and Exchange Commission. The aforementioned attorneys-in-fact will have full power and authority to do and perform, in the name and on behalf of the undersigned in any and all capacities, every act whatsoever necessary or desirable to be done, as fully and for all intents and purposes as the undersigned might or could do in person, the undersigned hereby ratifying and approving the acts of these attorneys-in-fact. This Power of Attorney may be signed in any number of counterparts, each of which will constitute an original and all of which, taken together, will constitute one Power of Attorney.</w:t>
      </w:r>
    </w:p>
    <w:p>
      <w:pPr>
        <w:sectPr>
          <w:pgSz w:w="11900" w:h="16838" w:orient="portrait"/>
          <w:cols w:equalWidth="0" w:num="1">
            <w:col w:w="11420"/>
          </w:cols>
          <w:pgMar w:left="240" w:top="121" w:right="239" w:bottom="1440" w:gutter="0" w:footer="0" w:header="0"/>
        </w:sectPr>
      </w:pP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Each of the undersigned has executed this Power of Attorney on the 20th day of April, 2017.</w:t>
      </w:r>
    </w:p>
    <w:p>
      <w:pPr>
        <w:spacing w:after="0" w:line="267" w:lineRule="exact"/>
        <w:rPr>
          <w:sz w:val="20"/>
          <w:szCs w:val="20"/>
          <w:color w:val="auto"/>
        </w:rPr>
      </w:pPr>
    </w:p>
    <w:p>
      <w:pPr>
        <w:ind w:left="2860"/>
        <w:spacing w:after="0"/>
        <w:rPr>
          <w:sz w:val="20"/>
          <w:szCs w:val="20"/>
          <w:color w:val="auto"/>
        </w:rPr>
      </w:pPr>
      <w:r>
        <w:rPr>
          <w:rFonts w:ascii="Arial" w:cs="Arial" w:eastAsia="Arial" w:hAnsi="Arial"/>
          <w:sz w:val="14"/>
          <w:szCs w:val="14"/>
          <w:b w:val="1"/>
          <w:bCs w:val="1"/>
          <w:u w:val="single" w:color="auto"/>
          <w:color w:val="auto"/>
        </w:rPr>
        <w:t>Signature</w:t>
      </w:r>
    </w:p>
    <w:p>
      <w:pPr>
        <w:spacing w:after="0" w:line="226"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/s/ Paal Kibsgaard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14605</wp:posOffset>
            </wp:positionV>
            <wp:extent cx="341312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16"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(Paal Kibsgaard)</w:t>
      </w:r>
    </w:p>
    <w:p>
      <w:pPr>
        <w:spacing w:after="0" w:line="225"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/s/ Simon Ayat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14605</wp:posOffset>
            </wp:positionV>
            <wp:extent cx="341312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16"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(Simon Ayat)</w:t>
      </w:r>
    </w:p>
    <w:p>
      <w:pPr>
        <w:spacing w:after="0" w:line="225"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14605</wp:posOffset>
            </wp:positionV>
            <wp:extent cx="341312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16"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(Howard Guild)</w:t>
      </w:r>
    </w:p>
    <w:p>
      <w:pPr>
        <w:spacing w:after="0" w:line="225"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/s/ Peter L.S. Currie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14605</wp:posOffset>
            </wp:positionV>
            <wp:extent cx="341312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16"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(Peter L.S. Currie)</w:t>
      </w:r>
    </w:p>
    <w:p>
      <w:pPr>
        <w:spacing w:after="0" w:line="225"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/s/ Miguel M. Galuccio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14605</wp:posOffset>
            </wp:positionV>
            <wp:extent cx="341312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16" w:lineRule="exact"/>
        <w:rPr>
          <w:sz w:val="20"/>
          <w:szCs w:val="20"/>
          <w:color w:val="auto"/>
        </w:rPr>
      </w:pPr>
    </w:p>
    <w:p>
      <w:pPr>
        <w:ind w:left="2380"/>
        <w:spacing w:after="0"/>
        <w:rPr>
          <w:sz w:val="20"/>
          <w:szCs w:val="20"/>
          <w:color w:val="auto"/>
        </w:rPr>
      </w:pPr>
      <w:r>
        <w:rPr>
          <w:rFonts w:ascii="Arial" w:cs="Arial" w:eastAsia="Arial" w:hAnsi="Arial"/>
          <w:sz w:val="18"/>
          <w:szCs w:val="18"/>
          <w:color w:val="auto"/>
        </w:rPr>
        <w:t>(Miguel M. Galuccio)</w:t>
      </w:r>
    </w:p>
    <w:p>
      <w:pPr>
        <w:spacing w:after="0" w:line="225"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/s/ Maureen Kempston Darkes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14605</wp:posOffset>
            </wp:positionV>
            <wp:extent cx="341312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16"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(V. Maureen Kempston Darkes)</w:t>
      </w:r>
    </w:p>
    <w:p>
      <w:pPr>
        <w:spacing w:after="0" w:line="225"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/s/ Nikolay Kudryavtsev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14605</wp:posOffset>
            </wp:positionV>
            <wp:extent cx="341312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16"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(Nikolay Kudryavtsev)</w:t>
      </w:r>
    </w:p>
    <w:p>
      <w:pPr>
        <w:spacing w:after="0" w:line="225"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/s/ Helge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14605</wp:posOffset>
            </wp:positionV>
            <wp:extent cx="341312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16"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(Helge Lund)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780"/>
        <w:spacing w:after="0"/>
        <w:rPr>
          <w:sz w:val="20"/>
          <w:szCs w:val="20"/>
          <w:color w:val="auto"/>
        </w:rPr>
      </w:pPr>
      <w:r>
        <w:rPr>
          <w:rFonts w:ascii="Arial" w:cs="Arial" w:eastAsia="Arial" w:hAnsi="Arial"/>
          <w:sz w:val="14"/>
          <w:szCs w:val="14"/>
          <w:b w:val="1"/>
          <w:bCs w:val="1"/>
          <w:u w:val="single" w:color="auto"/>
          <w:color w:val="auto"/>
        </w:rPr>
        <w:t>Title</w:t>
      </w:r>
    </w:p>
    <w:p>
      <w:pPr>
        <w:spacing w:after="0" w:line="253" w:lineRule="exact"/>
        <w:rPr>
          <w:sz w:val="20"/>
          <w:szCs w:val="20"/>
          <w:color w:val="auto"/>
        </w:rPr>
      </w:pPr>
    </w:p>
    <w:p>
      <w:pPr>
        <w:jc w:val="center"/>
        <w:ind w:right="580"/>
        <w:spacing w:after="0"/>
        <w:rPr>
          <w:sz w:val="20"/>
          <w:szCs w:val="20"/>
          <w:color w:val="auto"/>
        </w:rPr>
      </w:pPr>
      <w:r>
        <w:rPr>
          <w:rFonts w:ascii="Arial" w:cs="Arial" w:eastAsia="Arial" w:hAnsi="Arial"/>
          <w:sz w:val="18"/>
          <w:szCs w:val="18"/>
          <w:color w:val="auto"/>
        </w:rPr>
        <w:t>Chief Executive Officer and Chairman</w:t>
      </w:r>
    </w:p>
    <w:p>
      <w:pPr>
        <w:spacing w:after="0" w:line="23" w:lineRule="exact"/>
        <w:rPr>
          <w:sz w:val="20"/>
          <w:szCs w:val="20"/>
          <w:color w:val="auto"/>
        </w:rPr>
      </w:pPr>
    </w:p>
    <w:p>
      <w:pPr>
        <w:jc w:val="center"/>
        <w:ind w:right="580"/>
        <w:spacing w:after="0"/>
        <w:rPr>
          <w:sz w:val="20"/>
          <w:szCs w:val="20"/>
          <w:color w:val="auto"/>
        </w:rPr>
      </w:pPr>
      <w:r>
        <w:rPr>
          <w:rFonts w:ascii="Arial" w:cs="Arial" w:eastAsia="Arial" w:hAnsi="Arial"/>
          <w:sz w:val="18"/>
          <w:szCs w:val="18"/>
          <w:color w:val="auto"/>
        </w:rPr>
        <w:t>(Principal Executive Officer)</w:t>
      </w:r>
    </w:p>
    <w:p>
      <w:pPr>
        <w:spacing w:after="0" w:line="238" w:lineRule="exact"/>
        <w:rPr>
          <w:sz w:val="20"/>
          <w:szCs w:val="20"/>
          <w:color w:val="auto"/>
        </w:rPr>
      </w:pPr>
    </w:p>
    <w:p>
      <w:pPr>
        <w:jc w:val="center"/>
        <w:ind w:right="580"/>
        <w:spacing w:after="0" w:line="277" w:lineRule="auto"/>
        <w:rPr>
          <w:sz w:val="20"/>
          <w:szCs w:val="20"/>
          <w:color w:val="auto"/>
        </w:rPr>
      </w:pPr>
      <w:r>
        <w:rPr>
          <w:rFonts w:ascii="Arial" w:cs="Arial" w:eastAsia="Arial" w:hAnsi="Arial"/>
          <w:sz w:val="18"/>
          <w:szCs w:val="18"/>
          <w:color w:val="auto"/>
        </w:rPr>
        <w:t>Executive Vice President and Chief Financial Officer (Principal Financial Officer)</w:t>
      </w:r>
    </w:p>
    <w:p>
      <w:pPr>
        <w:spacing w:after="0" w:line="197" w:lineRule="exact"/>
        <w:rPr>
          <w:sz w:val="20"/>
          <w:szCs w:val="20"/>
          <w:color w:val="auto"/>
        </w:rPr>
      </w:pPr>
    </w:p>
    <w:p>
      <w:pPr>
        <w:jc w:val="center"/>
        <w:ind w:right="580"/>
        <w:spacing w:after="0"/>
        <w:rPr>
          <w:sz w:val="20"/>
          <w:szCs w:val="20"/>
          <w:color w:val="auto"/>
        </w:rPr>
      </w:pPr>
      <w:r>
        <w:rPr>
          <w:rFonts w:ascii="Arial" w:cs="Arial" w:eastAsia="Arial" w:hAnsi="Arial"/>
          <w:sz w:val="18"/>
          <w:szCs w:val="18"/>
          <w:color w:val="auto"/>
        </w:rPr>
        <w:t>Chief Accounting Officer</w:t>
      </w:r>
    </w:p>
    <w:p>
      <w:pPr>
        <w:spacing w:after="0" w:line="23" w:lineRule="exact"/>
        <w:rPr>
          <w:sz w:val="20"/>
          <w:szCs w:val="20"/>
          <w:color w:val="auto"/>
        </w:rPr>
      </w:pPr>
    </w:p>
    <w:p>
      <w:pPr>
        <w:jc w:val="center"/>
        <w:ind w:right="580"/>
        <w:spacing w:after="0"/>
        <w:rPr>
          <w:sz w:val="20"/>
          <w:szCs w:val="20"/>
          <w:color w:val="auto"/>
        </w:rPr>
      </w:pPr>
      <w:r>
        <w:rPr>
          <w:rFonts w:ascii="Arial" w:cs="Arial" w:eastAsia="Arial" w:hAnsi="Arial"/>
          <w:sz w:val="18"/>
          <w:szCs w:val="18"/>
          <w:color w:val="auto"/>
        </w:rPr>
        <w:t>(Principal Accounting Officer)</w:t>
      </w:r>
    </w:p>
    <w:p>
      <w:pPr>
        <w:spacing w:after="0" w:line="23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Director</w:t>
      </w:r>
    </w:p>
    <w:p>
      <w:pPr>
        <w:sectPr>
          <w:pgSz w:w="11900" w:h="16838" w:orient="portrait"/>
          <w:cols w:equalWidth="0" w:num="2">
            <w:col w:w="6680" w:space="320"/>
            <w:col w:w="4420"/>
          </w:cols>
          <w:pgMar w:left="240" w:top="121" w:right="239" w:bottom="1440"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171"/>
        </w:trPr>
        <w:tc>
          <w:tcPr>
            <w:tcW w:w="2380" w:type="dxa"/>
            <w:vAlign w:val="bottom"/>
          </w:tcPr>
          <w:p>
            <w:pPr>
              <w:spacing w:after="0"/>
              <w:rPr>
                <w:sz w:val="14"/>
                <w:szCs w:val="14"/>
                <w:color w:val="auto"/>
              </w:rPr>
            </w:pPr>
          </w:p>
        </w:tc>
        <w:tc>
          <w:tcPr>
            <w:tcW w:w="3000" w:type="dxa"/>
            <w:vAlign w:val="bottom"/>
            <w:gridSpan w:val="2"/>
          </w:tcPr>
          <w:p>
            <w:pPr>
              <w:jc w:val="center"/>
              <w:ind w:right="2400"/>
              <w:spacing w:after="0"/>
              <w:rPr>
                <w:sz w:val="20"/>
                <w:szCs w:val="20"/>
                <w:color w:val="auto"/>
              </w:rPr>
            </w:pPr>
            <w:r>
              <w:rPr>
                <w:rFonts w:ascii="Arial" w:cs="Arial" w:eastAsia="Arial" w:hAnsi="Arial"/>
                <w:sz w:val="14"/>
                <w:szCs w:val="14"/>
                <w:b w:val="1"/>
                <w:bCs w:val="1"/>
                <w:color w:val="auto"/>
                <w:w w:val="92"/>
              </w:rPr>
              <w:t>Signature</w:t>
            </w:r>
          </w:p>
        </w:tc>
        <w:tc>
          <w:tcPr>
            <w:tcW w:w="3360" w:type="dxa"/>
            <w:vAlign w:val="bottom"/>
            <w:gridSpan w:val="3"/>
          </w:tcPr>
          <w:p>
            <w:pPr>
              <w:jc w:val="center"/>
              <w:ind w:left="2673"/>
              <w:spacing w:after="0"/>
              <w:rPr>
                <w:sz w:val="20"/>
                <w:szCs w:val="20"/>
                <w:color w:val="auto"/>
              </w:rPr>
            </w:pPr>
            <w:r>
              <w:rPr>
                <w:rFonts w:ascii="Arial" w:cs="Arial" w:eastAsia="Arial" w:hAnsi="Arial"/>
                <w:sz w:val="14"/>
                <w:szCs w:val="14"/>
                <w:b w:val="1"/>
                <w:bCs w:val="1"/>
                <w:color w:val="auto"/>
                <w:w w:val="97"/>
              </w:rPr>
              <w:t>Title</w:t>
            </w:r>
          </w:p>
        </w:tc>
      </w:tr>
      <w:tr>
        <w:trPr>
          <w:trHeight w:val="20"/>
        </w:trPr>
        <w:tc>
          <w:tcPr>
            <w:tcW w:w="23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26"/>
        </w:trPr>
        <w:tc>
          <w:tcPr>
            <w:tcW w:w="53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2"/>
              </w:rPr>
              <w:t>/s/ Michael E. Marks</w:t>
            </w:r>
          </w:p>
        </w:tc>
        <w:tc>
          <w:tcPr>
            <w:tcW w:w="3360" w:type="dxa"/>
            <w:vAlign w:val="bottom"/>
            <w:gridSpan w:val="3"/>
          </w:tcPr>
          <w:p>
            <w:pPr>
              <w:jc w:val="center"/>
              <w:ind w:left="2673"/>
              <w:spacing w:after="0"/>
              <w:rPr>
                <w:sz w:val="20"/>
                <w:szCs w:val="20"/>
                <w:color w:val="auto"/>
              </w:rPr>
            </w:pPr>
            <w:r>
              <w:rPr>
                <w:rFonts w:ascii="Arial" w:cs="Arial" w:eastAsia="Arial" w:hAnsi="Arial"/>
                <w:sz w:val="18"/>
                <w:szCs w:val="18"/>
                <w:color w:val="auto"/>
                <w:w w:val="95"/>
              </w:rPr>
              <w:t>Director</w:t>
            </w:r>
          </w:p>
        </w:tc>
      </w:tr>
      <w:tr>
        <w:trPr>
          <w:trHeight w:val="224"/>
        </w:trPr>
        <w:tc>
          <w:tcPr>
            <w:tcW w:w="5380" w:type="dxa"/>
            <w:vAlign w:val="bottom"/>
            <w:gridSpan w:val="3"/>
          </w:tcPr>
          <w:p>
            <w:pPr>
              <w:jc w:val="center"/>
              <w:spacing w:after="0"/>
              <w:rPr>
                <w:sz w:val="20"/>
                <w:szCs w:val="20"/>
                <w:color w:val="auto"/>
              </w:rPr>
            </w:pPr>
            <w:r>
              <w:rPr>
                <w:rFonts w:ascii="Arial" w:cs="Arial" w:eastAsia="Arial" w:hAnsi="Arial"/>
                <w:sz w:val="18"/>
                <w:szCs w:val="18"/>
                <w:color w:val="auto"/>
                <w:w w:val="94"/>
              </w:rPr>
              <w:t>(Michael E. Marks)</w:t>
            </w:r>
          </w:p>
        </w:tc>
        <w:tc>
          <w:tcPr>
            <w:tcW w:w="2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431"/>
        </w:trPr>
        <w:tc>
          <w:tcPr>
            <w:tcW w:w="53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4"/>
              </w:rPr>
              <w:t>/s/ Indra K. Nooyi</w:t>
            </w:r>
          </w:p>
        </w:tc>
        <w:tc>
          <w:tcPr>
            <w:tcW w:w="3360" w:type="dxa"/>
            <w:vAlign w:val="bottom"/>
            <w:gridSpan w:val="3"/>
          </w:tcPr>
          <w:p>
            <w:pPr>
              <w:jc w:val="center"/>
              <w:ind w:left="2673"/>
              <w:spacing w:after="0"/>
              <w:rPr>
                <w:sz w:val="20"/>
                <w:szCs w:val="20"/>
                <w:color w:val="auto"/>
              </w:rPr>
            </w:pPr>
            <w:r>
              <w:rPr>
                <w:rFonts w:ascii="Arial" w:cs="Arial" w:eastAsia="Arial" w:hAnsi="Arial"/>
                <w:sz w:val="18"/>
                <w:szCs w:val="18"/>
                <w:color w:val="auto"/>
                <w:w w:val="95"/>
              </w:rPr>
              <w:t>Director</w:t>
            </w:r>
          </w:p>
        </w:tc>
      </w:tr>
      <w:tr>
        <w:trPr>
          <w:trHeight w:val="224"/>
        </w:trPr>
        <w:tc>
          <w:tcPr>
            <w:tcW w:w="5380" w:type="dxa"/>
            <w:vAlign w:val="bottom"/>
            <w:gridSpan w:val="3"/>
          </w:tcPr>
          <w:p>
            <w:pPr>
              <w:jc w:val="center"/>
              <w:spacing w:after="0"/>
              <w:rPr>
                <w:sz w:val="20"/>
                <w:szCs w:val="20"/>
                <w:color w:val="auto"/>
              </w:rPr>
            </w:pPr>
            <w:r>
              <w:rPr>
                <w:rFonts w:ascii="Arial" w:cs="Arial" w:eastAsia="Arial" w:hAnsi="Arial"/>
                <w:sz w:val="18"/>
                <w:szCs w:val="18"/>
                <w:color w:val="auto"/>
                <w:w w:val="96"/>
              </w:rPr>
              <w:t>(Indra K. Nooyi)</w:t>
            </w:r>
          </w:p>
        </w:tc>
        <w:tc>
          <w:tcPr>
            <w:tcW w:w="2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431"/>
        </w:trPr>
        <w:tc>
          <w:tcPr>
            <w:tcW w:w="53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9"/>
              </w:rPr>
              <w:t>/s/ Lubna S. Olayan</w:t>
            </w:r>
          </w:p>
        </w:tc>
        <w:tc>
          <w:tcPr>
            <w:tcW w:w="3360" w:type="dxa"/>
            <w:vAlign w:val="bottom"/>
            <w:gridSpan w:val="3"/>
          </w:tcPr>
          <w:p>
            <w:pPr>
              <w:jc w:val="center"/>
              <w:ind w:left="2673"/>
              <w:spacing w:after="0"/>
              <w:rPr>
                <w:sz w:val="20"/>
                <w:szCs w:val="20"/>
                <w:color w:val="auto"/>
              </w:rPr>
            </w:pPr>
            <w:r>
              <w:rPr>
                <w:rFonts w:ascii="Arial" w:cs="Arial" w:eastAsia="Arial" w:hAnsi="Arial"/>
                <w:sz w:val="18"/>
                <w:szCs w:val="18"/>
                <w:color w:val="auto"/>
                <w:w w:val="95"/>
              </w:rPr>
              <w:t>Director</w:t>
            </w:r>
          </w:p>
        </w:tc>
      </w:tr>
      <w:tr>
        <w:trPr>
          <w:trHeight w:val="224"/>
        </w:trPr>
        <w:tc>
          <w:tcPr>
            <w:tcW w:w="5380" w:type="dxa"/>
            <w:vAlign w:val="bottom"/>
            <w:gridSpan w:val="3"/>
          </w:tcPr>
          <w:p>
            <w:pPr>
              <w:jc w:val="center"/>
              <w:spacing w:after="0"/>
              <w:rPr>
                <w:sz w:val="20"/>
                <w:szCs w:val="20"/>
                <w:color w:val="auto"/>
              </w:rPr>
            </w:pPr>
            <w:r>
              <w:rPr>
                <w:rFonts w:ascii="Arial" w:cs="Arial" w:eastAsia="Arial" w:hAnsi="Arial"/>
                <w:sz w:val="18"/>
                <w:szCs w:val="18"/>
                <w:color w:val="auto"/>
                <w:w w:val="91"/>
              </w:rPr>
              <w:t>(Lubna S. Olayan)</w:t>
            </w:r>
          </w:p>
        </w:tc>
        <w:tc>
          <w:tcPr>
            <w:tcW w:w="2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431"/>
        </w:trPr>
        <w:tc>
          <w:tcPr>
            <w:tcW w:w="53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3"/>
              </w:rPr>
              <w:t>/s/ Leo Rafael Reif</w:t>
            </w:r>
          </w:p>
        </w:tc>
        <w:tc>
          <w:tcPr>
            <w:tcW w:w="3360" w:type="dxa"/>
            <w:vAlign w:val="bottom"/>
            <w:gridSpan w:val="3"/>
          </w:tcPr>
          <w:p>
            <w:pPr>
              <w:jc w:val="center"/>
              <w:ind w:left="2673"/>
              <w:spacing w:after="0"/>
              <w:rPr>
                <w:sz w:val="20"/>
                <w:szCs w:val="20"/>
                <w:color w:val="auto"/>
              </w:rPr>
            </w:pPr>
            <w:r>
              <w:rPr>
                <w:rFonts w:ascii="Arial" w:cs="Arial" w:eastAsia="Arial" w:hAnsi="Arial"/>
                <w:sz w:val="18"/>
                <w:szCs w:val="18"/>
                <w:color w:val="auto"/>
                <w:w w:val="95"/>
              </w:rPr>
              <w:t>Director</w:t>
            </w:r>
          </w:p>
        </w:tc>
      </w:tr>
      <w:tr>
        <w:trPr>
          <w:trHeight w:val="224"/>
        </w:trPr>
        <w:tc>
          <w:tcPr>
            <w:tcW w:w="5380" w:type="dxa"/>
            <w:vAlign w:val="bottom"/>
            <w:gridSpan w:val="3"/>
          </w:tcPr>
          <w:p>
            <w:pPr>
              <w:jc w:val="center"/>
              <w:spacing w:after="0"/>
              <w:rPr>
                <w:sz w:val="20"/>
                <w:szCs w:val="20"/>
                <w:color w:val="auto"/>
              </w:rPr>
            </w:pPr>
            <w:r>
              <w:rPr>
                <w:rFonts w:ascii="Arial" w:cs="Arial" w:eastAsia="Arial" w:hAnsi="Arial"/>
                <w:sz w:val="18"/>
                <w:szCs w:val="18"/>
                <w:color w:val="auto"/>
                <w:w w:val="92"/>
              </w:rPr>
              <w:t>(Leo Rafael Reif)</w:t>
            </w:r>
          </w:p>
        </w:tc>
        <w:tc>
          <w:tcPr>
            <w:tcW w:w="2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431"/>
        </w:trPr>
        <w:tc>
          <w:tcPr>
            <w:tcW w:w="538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0"/>
              </w:rPr>
              <w:t>Tore I. Sandvold</w:t>
            </w:r>
          </w:p>
        </w:tc>
        <w:tc>
          <w:tcPr>
            <w:tcW w:w="3360" w:type="dxa"/>
            <w:vAlign w:val="bottom"/>
            <w:gridSpan w:val="3"/>
          </w:tcPr>
          <w:p>
            <w:pPr>
              <w:jc w:val="center"/>
              <w:ind w:left="2673"/>
              <w:spacing w:after="0"/>
              <w:rPr>
                <w:sz w:val="20"/>
                <w:szCs w:val="20"/>
                <w:color w:val="auto"/>
              </w:rPr>
            </w:pPr>
            <w:r>
              <w:rPr>
                <w:rFonts w:ascii="Arial" w:cs="Arial" w:eastAsia="Arial" w:hAnsi="Arial"/>
                <w:sz w:val="18"/>
                <w:szCs w:val="18"/>
                <w:color w:val="auto"/>
                <w:w w:val="95"/>
              </w:rPr>
              <w:t>Director</w:t>
            </w:r>
          </w:p>
        </w:tc>
      </w:tr>
      <w:tr>
        <w:trPr>
          <w:trHeight w:val="224"/>
        </w:trPr>
        <w:tc>
          <w:tcPr>
            <w:tcW w:w="5380" w:type="dxa"/>
            <w:vAlign w:val="bottom"/>
            <w:gridSpan w:val="3"/>
          </w:tcPr>
          <w:p>
            <w:pPr>
              <w:jc w:val="center"/>
              <w:ind w:right="20"/>
              <w:spacing w:after="0"/>
              <w:rPr>
                <w:sz w:val="20"/>
                <w:szCs w:val="20"/>
                <w:color w:val="auto"/>
              </w:rPr>
            </w:pPr>
            <w:r>
              <w:rPr>
                <w:rFonts w:ascii="Arial" w:cs="Arial" w:eastAsia="Arial" w:hAnsi="Arial"/>
                <w:sz w:val="18"/>
                <w:szCs w:val="18"/>
                <w:color w:val="auto"/>
                <w:w w:val="91"/>
              </w:rPr>
              <w:t>(Tore I. Sandvold)</w:t>
            </w:r>
          </w:p>
        </w:tc>
        <w:tc>
          <w:tcPr>
            <w:tcW w:w="2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431"/>
        </w:trPr>
        <w:tc>
          <w:tcPr>
            <w:tcW w:w="53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3"/>
              </w:rPr>
              <w:t>Henri Seydoux</w:t>
            </w:r>
          </w:p>
        </w:tc>
        <w:tc>
          <w:tcPr>
            <w:tcW w:w="3360" w:type="dxa"/>
            <w:vAlign w:val="bottom"/>
            <w:gridSpan w:val="3"/>
          </w:tcPr>
          <w:p>
            <w:pPr>
              <w:jc w:val="center"/>
              <w:ind w:left="2673"/>
              <w:spacing w:after="0"/>
              <w:rPr>
                <w:sz w:val="20"/>
                <w:szCs w:val="20"/>
                <w:color w:val="auto"/>
              </w:rPr>
            </w:pPr>
            <w:r>
              <w:rPr>
                <w:rFonts w:ascii="Arial" w:cs="Arial" w:eastAsia="Arial" w:hAnsi="Arial"/>
                <w:sz w:val="18"/>
                <w:szCs w:val="18"/>
                <w:color w:val="auto"/>
                <w:w w:val="95"/>
              </w:rPr>
              <w:t>Director</w:t>
            </w:r>
          </w:p>
        </w:tc>
      </w:tr>
      <w:tr>
        <w:trPr>
          <w:trHeight w:val="224"/>
        </w:trPr>
        <w:tc>
          <w:tcPr>
            <w:tcW w:w="5380" w:type="dxa"/>
            <w:vAlign w:val="bottom"/>
            <w:gridSpan w:val="3"/>
          </w:tcPr>
          <w:p>
            <w:pPr>
              <w:jc w:val="center"/>
              <w:spacing w:after="0"/>
              <w:rPr>
                <w:sz w:val="20"/>
                <w:szCs w:val="20"/>
                <w:color w:val="auto"/>
              </w:rPr>
            </w:pPr>
            <w:r>
              <w:rPr>
                <w:rFonts w:ascii="Arial" w:cs="Arial" w:eastAsia="Arial" w:hAnsi="Arial"/>
                <w:sz w:val="18"/>
                <w:szCs w:val="18"/>
                <w:color w:val="auto"/>
                <w:w w:val="93"/>
              </w:rPr>
              <w:t>(Henri Seydoux)</w:t>
            </w:r>
          </w:p>
        </w:tc>
        <w:tc>
          <w:tcPr>
            <w:tcW w:w="2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r>
    </w:tbl>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sectPr>
      <w:pgSz w:w="11900" w:h="16838" w:orient="portrait"/>
      <w:cols w:equalWidth="0" w:num="1">
        <w:col w:w="9739"/>
      </w:cols>
      <w:pgMar w:left="720" w:top="26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decimal"/>
      <w:start w:val="1"/>
    </w:lvl>
  </w:abstractNum>
  <w:abstractNum w:abstractNumId="1">
    <w:nsid w:val="2EB141F2"/>
    <w:multiLevelType w:val="hybridMultilevel"/>
    <w:lvl w:ilvl="0">
      <w:lvlJc w:val="left"/>
      <w:lvlText w:val="(%1)"/>
      <w:numFmt w:val="lowerLetter"/>
      <w:start w:val="1"/>
    </w:lvl>
  </w:abstractNum>
  <w:abstractNum w:abstractNumId="2">
    <w:nsid w:val="41B71EFB"/>
    <w:multiLevelType w:val="hybridMultilevel"/>
    <w:lvl w:ilvl="0">
      <w:lvlJc w:val="left"/>
      <w:lvlText w:val="5"/>
      <w:numFmt w:val="bullet"/>
      <w:start w:val="1"/>
    </w:lvl>
    <w:lvl w:ilvl="1">
      <w:lvlJc w:val="left"/>
      <w:lvlText w:val="-"/>
      <w:numFmt w:val="bullet"/>
      <w:start w:val="1"/>
    </w:lvl>
  </w:abstractNum>
  <w:abstractNum w:abstractNumId="3">
    <w:nsid w:val="79E2A9E3"/>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4">
    <w:nsid w:val="7545E146"/>
    <w:multiLevelType w:val="hybridMultilevel"/>
    <w:lvl w:ilvl="0">
      <w:lvlJc w:val="left"/>
      <w:lvlText w:val="%1"/>
      <w:numFmt w:val="lowerLetter"/>
      <w:start w:val="1"/>
    </w:lvl>
    <w:lvl w:ilvl="1">
      <w:lvlJc w:val="left"/>
      <w:lvlText w:val="(%2)"/>
      <w:numFmt w:val="decimal"/>
      <w:start w:val="2"/>
    </w:lvl>
    <w:lvl w:ilvl="2">
      <w:lvlJc w:val="left"/>
      <w:lvlText w:val="-"/>
      <w:numFmt w:val="bullet"/>
      <w:start w:val="1"/>
    </w:lvl>
  </w:abstractNum>
  <w:abstractNum w:abstractNumId="5">
    <w:nsid w:val="515F007C"/>
    <w:multiLevelType w:val="hybridMultilevel"/>
    <w:lvl w:ilvl="0">
      <w:lvlJc w:val="left"/>
      <w:lvlText w:val="(%1)"/>
      <w:numFmt w:val="lowerLetter"/>
      <w:start w:val="2"/>
    </w:lvl>
    <w:lvl w:ilvl="1">
      <w:lvlJc w:val="left"/>
      <w:lvlText w:val="%2"/>
      <w:numFmt w:val="decimal"/>
      <w:start w:val="1"/>
    </w:lvl>
    <w:lvl w:ilvl="2">
      <w:lvlJc w:val="left"/>
      <w:lvlText w:val="-"/>
      <w:numFmt w:val="bullet"/>
      <w:start w:val="1"/>
    </w:lvl>
  </w:abstractNum>
  <w:abstractNum w:abstractNumId="6">
    <w:nsid w:val="5BD062C2"/>
    <w:multiLevelType w:val="hybridMultilevel"/>
    <w:lvl w:ilvl="0">
      <w:lvlJc w:val="left"/>
      <w:lvlText w:val="5"/>
      <w:numFmt w:val="bullet"/>
      <w:start w:val="1"/>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Roman"/>
      <w:start w:val="1"/>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2019-12-05T06:48:18Z</dcterms:created>
  <dcterms:modified xsi:type="dcterms:W3CDTF">2019-12-05T06:48:18Z</dcterms:modified>
</cp:coreProperties>
</file>