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6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50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60" w:type="dxa"/>
            <w:vAlign w:val="bottom"/>
            <w:gridSpan w:val="8"/>
            <w:vMerge w:val="restart"/>
          </w:tcPr>
          <w:p>
            <w:pPr>
              <w:jc w:val="center"/>
              <w:ind w:right="369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HACKETT JAMES T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-1635760</wp:posOffset>
            </wp:positionV>
            <wp:extent cx="6988810" cy="6038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6038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</w:sectPr>
      </w:pPr>
    </w:p>
    <w:p>
      <w:pPr>
        <w:spacing w:after="0" w:line="33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07/17/2023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56.79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-1801495</wp:posOffset>
            </wp:positionV>
            <wp:extent cx="29845" cy="1806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Acquired pursuant to a dividend reinvestment plan available generally to company shareholders.</w:t>
      </w:r>
    </w:p>
    <w:p>
      <w:pPr>
        <w:ind w:left="6600"/>
        <w:spacing w:after="0" w:line="19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01/26/2024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-27940</wp:posOffset>
            </wp:positionV>
            <wp:extent cx="133540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-16510</wp:posOffset>
            </wp:positionV>
            <wp:extent cx="3124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-84455</wp:posOffset>
            </wp:positionV>
            <wp:extent cx="502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8" Type="http://schemas.openxmlformats.org/officeDocument/2006/relationships/hyperlink" Target="http://www.sec.gov/cgi-bin/browse-edgar?action=getcompany&amp;CIK=0001185909" TargetMode="External"/><Relationship Id="rId9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2024-01-26T15:22:20Z</dcterms:created>
  <dcterms:modified xsi:type="dcterms:W3CDTF">2024-01-26T15:22:20Z</dcterms:modified>
</cp:coreProperties>
</file>