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de La Chevardiere Patrick</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(Last)</w:t>
            </w:r>
          </w:p>
        </w:tc>
        <w:tc>
          <w:tcPr>
            <w:tcW w:w="1020" w:type="dxa"/>
            <w:vAlign w:val="bottom"/>
          </w:tcPr>
          <w:p>
            <w:pPr>
              <w:ind w:left="20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5599 SAN FELIPE, 17TH FLOOR</w:t>
            </w:r>
          </w:p>
        </w:tc>
      </w:tr>
      <w:tr>
        <w:trPr>
          <w:trHeight w:val="208"/>
        </w:trPr>
        <w:tc>
          <w:tcPr>
            <w:tcW w:w="40" w:type="dxa"/>
            <w:vAlign w:val="bottom"/>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020" w:type="dxa"/>
            <w:vAlign w:val="bottom"/>
            <w:tcBorders>
              <w:bottom w:val="single" w:sz="8" w:color="9A9A9A"/>
            </w:tcBorders>
          </w:tcPr>
          <w:p>
            <w:pPr>
              <w:spacing w:after="0"/>
              <w:rPr>
                <w:sz w:val="18"/>
                <w:szCs w:val="18"/>
                <w:color w:val="auto"/>
              </w:rPr>
            </w:pPr>
          </w:p>
        </w:tc>
        <w:tc>
          <w:tcPr>
            <w:tcW w:w="1600" w:type="dxa"/>
            <w:vAlign w:val="bottom"/>
            <w:tcBorders>
              <w:bottom w:val="single" w:sz="8" w:color="9A9A9A"/>
            </w:tcBorders>
          </w:tcPr>
          <w:p>
            <w:pPr>
              <w:spacing w:after="0"/>
              <w:rPr>
                <w:sz w:val="18"/>
                <w:szCs w:val="18"/>
                <w:color w:val="auto"/>
              </w:rPr>
            </w:pPr>
          </w:p>
        </w:tc>
      </w:tr>
      <w:tr>
        <w:trPr>
          <w:trHeight w:val="269"/>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SCHLUMBERGER LIMITED/NV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SLB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40"/>
        </w:trPr>
        <w:tc>
          <w:tcPr>
            <w:tcW w:w="80" w:type="dxa"/>
            <w:vAlign w:val="bottom"/>
            <w:tcBorders>
              <w:bottom w:val="single" w:sz="8" w:color="2C2C2C"/>
            </w:tcBorders>
          </w:tcPr>
          <w:p>
            <w:pPr>
              <w:spacing w:after="0"/>
              <w:rPr>
                <w:sz w:val="12"/>
                <w:szCs w:val="12"/>
                <w:color w:val="auto"/>
              </w:rPr>
            </w:pPr>
          </w:p>
        </w:tc>
        <w:tc>
          <w:tcPr>
            <w:tcW w:w="120" w:type="dxa"/>
            <w:vAlign w:val="bottom"/>
            <w:tcBorders>
              <w:top w:val="single" w:sz="8" w:color="0000EE"/>
              <w:bottom w:val="single" w:sz="8" w:color="2C2C2C"/>
            </w:tcBorders>
          </w:tcPr>
          <w:p>
            <w:pPr>
              <w:spacing w:after="0"/>
              <w:rPr>
                <w:sz w:val="12"/>
                <w:szCs w:val="12"/>
                <w:color w:val="auto"/>
              </w:rPr>
            </w:pPr>
          </w:p>
        </w:tc>
        <w:tc>
          <w:tcPr>
            <w:tcW w:w="2900" w:type="dxa"/>
            <w:vAlign w:val="bottom"/>
            <w:tcBorders>
              <w:top w:val="single" w:sz="8" w:color="0000EE"/>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80"/>
              <w:spacing w:after="0" w:line="113" w:lineRule="exact"/>
              <w:rPr>
                <w:sz w:val="20"/>
                <w:szCs w:val="20"/>
                <w:color w:val="auto"/>
              </w:rPr>
            </w:pPr>
            <w:r>
              <w:rPr>
                <w:rFonts w:ascii="Times New Roman" w:cs="Times New Roman" w:eastAsia="Times New Roman" w:hAnsi="Times New Roman"/>
                <w:sz w:val="13"/>
                <w:szCs w:val="13"/>
                <w:color w:val="0000FF"/>
              </w:rPr>
              <w:t xml:space="preserve">X   </w:t>
            </w:r>
            <w:r>
              <w:rPr>
                <w:rFonts w:ascii="Arial" w:cs="Arial" w:eastAsia="Arial" w:hAnsi="Arial"/>
                <w:sz w:val="10"/>
                <w:szCs w:val="10"/>
                <w:color w:val="000000"/>
              </w:rPr>
              <w:t>Director</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10% Owner</w:t>
            </w: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r>
      <w:tr>
        <w:trPr>
          <w:trHeight w:val="226"/>
        </w:trPr>
        <w:tc>
          <w:tcPr>
            <w:tcW w:w="31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05/01/2024</w:t>
            </w: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9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$0.01 Par Value Per Share</w:t>
            </w:r>
          </w:p>
        </w:tc>
        <w:tc>
          <w:tcPr>
            <w:tcW w:w="1120" w:type="dxa"/>
            <w:vAlign w:val="bottom"/>
            <w:tcBorders>
              <w:bottom w:val="single" w:sz="8" w:color="2C2C2C"/>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0000FF"/>
              </w:rPr>
              <w:t>05/01/2024</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4,001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32,811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1. Pursuant to Schlumberger Limited 2004 Stock and Deferral Plan for Non-Employee Directors.</w:t>
      </w:r>
    </w:p>
    <w:p>
      <w:pPr>
        <w:ind w:left="6580"/>
        <w:spacing w:after="0" w:line="189" w:lineRule="auto"/>
        <w:rPr>
          <w:sz w:val="20"/>
          <w:szCs w:val="20"/>
          <w:color w:val="auto"/>
        </w:rPr>
      </w:pPr>
      <w:r>
        <w:rPr>
          <w:rFonts w:ascii="Times New Roman" w:cs="Times New Roman" w:eastAsia="Times New Roman" w:hAnsi="Times New Roman"/>
          <w:sz w:val="17"/>
          <w:szCs w:val="17"/>
          <w:color w:val="0000FF"/>
        </w:rPr>
        <w:t xml:space="preserve">/s/ Samantha Blons, Attorney- </w:t>
      </w:r>
      <w:r>
        <w:rPr>
          <w:rFonts w:ascii="Times New Roman" w:cs="Times New Roman" w:eastAsia="Times New Roman" w:hAnsi="Times New Roman"/>
          <w:sz w:val="34"/>
          <w:szCs w:val="34"/>
          <w:color w:val="0000FF"/>
          <w:vertAlign w:val="subscript"/>
        </w:rPr>
        <w:t>05/03/2024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-27940</wp:posOffset>
            </wp:positionV>
            <wp:extent cx="1332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1"/>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SCHLUMBERGER LIMITED POWER OF ATTORNEY</w:t>
      </w:r>
    </w:p>
    <w:p>
      <w:pPr>
        <w:spacing w:after="0" w:line="207" w:lineRule="exact"/>
        <w:rPr>
          <w:sz w:val="20"/>
          <w:szCs w:val="20"/>
          <w:color w:val="auto"/>
        </w:rPr>
      </w:pPr>
    </w:p>
    <w:p>
      <w:pPr>
        <w:ind w:right="4059" w:firstLine="728"/>
        <w:spacing w:after="0" w:line="252" w:lineRule="auto"/>
        <w:rPr>
          <w:sz w:val="20"/>
          <w:szCs w:val="20"/>
          <w:color w:val="auto"/>
        </w:rPr>
      </w:pPr>
      <w:r>
        <w:rPr>
          <w:rFonts w:ascii="Courier New" w:cs="Courier New" w:eastAsia="Courier New" w:hAnsi="Courier New"/>
          <w:sz w:val="17"/>
          <w:szCs w:val="17"/>
          <w:color w:val="auto"/>
        </w:rPr>
        <w:t>The undersigned, in his capacity as a director or officer, or both, of Schlumberger Limited, a Curacao corporation (the "Company"), does hereby appoint each of Dianne B. Ralston, Samantha Blons, and LaToyia Tilley, or any of them acting singly, his true and lawful attorney-in-fact with full power of substitution, to (a) prepare, execute in the undersigneds name and on the undersigneds behalf, and submit to the U.S. Securities and Exchange Commission (the "SEC") a Form ID, including amendments thereto, and any other documents necessary or appropriate to obtain codes, passwords and passphrases enabling the undersigned to make electronic filings with the SEC</w:t>
      </w:r>
    </w:p>
    <w:p>
      <w:pPr>
        <w:spacing w:after="0" w:line="4" w:lineRule="exact"/>
        <w:rPr>
          <w:sz w:val="20"/>
          <w:szCs w:val="20"/>
          <w:color w:val="auto"/>
        </w:rPr>
      </w:pPr>
    </w:p>
    <w:p>
      <w:pPr>
        <w:ind w:right="3859"/>
        <w:spacing w:after="0" w:line="249" w:lineRule="auto"/>
        <w:rPr>
          <w:sz w:val="20"/>
          <w:szCs w:val="20"/>
          <w:color w:val="auto"/>
        </w:rPr>
      </w:pPr>
      <w:r>
        <w:rPr>
          <w:rFonts w:ascii="Courier New" w:cs="Courier New" w:eastAsia="Courier New" w:hAnsi="Courier New"/>
          <w:sz w:val="17"/>
          <w:szCs w:val="17"/>
          <w:color w:val="auto"/>
        </w:rPr>
        <w:t>of reports required by Section 16(a) of the Securities Exchange Act of 1934, as amended (the Exchange Act), or any rule or regulation of the SEC; and (b) execute for and on behalf of the undersigned, in the undersigneds capacity as a director or officer, or both, of the Company, Forms 3, 4 and 5 in accordance with Section 16 of the Exchange Act, as well as Forms 144, and complete and execute any amendment or amendments thereto, and to file the same or cause the same to be filed with the SEC.</w:t>
      </w:r>
    </w:p>
    <w:p>
      <w:pPr>
        <w:spacing w:after="0" w:line="1" w:lineRule="exact"/>
        <w:rPr>
          <w:sz w:val="20"/>
          <w:szCs w:val="20"/>
          <w:color w:val="auto"/>
        </w:rPr>
      </w:pPr>
    </w:p>
    <w:p>
      <w:pPr>
        <w:ind w:left="740"/>
        <w:spacing w:after="0"/>
        <w:rPr>
          <w:sz w:val="20"/>
          <w:szCs w:val="20"/>
          <w:color w:val="auto"/>
        </w:rPr>
      </w:pPr>
      <w:r>
        <w:rPr>
          <w:rFonts w:ascii="Courier New" w:cs="Courier New" w:eastAsia="Courier New" w:hAnsi="Courier New"/>
          <w:sz w:val="17"/>
          <w:szCs w:val="17"/>
          <w:color w:val="auto"/>
        </w:rPr>
        <w:t>This Power of Attorney supersedes any and all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prior and existing powers of attorney signed by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undersigned with respect to the subject matter hereof, and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shall remain in full force and effect until the undersigned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is no longer required to file Forms 3, 4, 5 or 144 with</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respect to the undersigneds holdings of and transactions</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securities issued by the Company, unless earlier revoked</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the undersigned in a signed writing delivered to the</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foregoing attorneys-in-fact.</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January 17, 2024</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Patrick de La Chavrdiere</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Patrick de La Chevardiere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792876" TargetMode="External"/><Relationship Id="rId13"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2024-05-03T12:20:51Z</dcterms:created>
  <dcterms:modified xsi:type="dcterms:W3CDTF">2024-05-03T12:20:51Z</dcterms:modified>
</cp:coreProperties>
</file>