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20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60" w:type="dxa"/>
            <w:vAlign w:val="bottom"/>
          </w:tcPr>
          <w:p>
            <w:pPr>
              <w:spacing w:after="0"/>
              <w:rPr>
                <w:sz w:val="9"/>
                <w:szCs w:val="9"/>
                <w:color w:val="auto"/>
              </w:rPr>
            </w:pPr>
          </w:p>
        </w:tc>
        <w:tc>
          <w:tcPr>
            <w:tcW w:w="78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0" w:type="dxa"/>
            <w:vAlign w:val="bottom"/>
            <w:tcBorders>
              <w:left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w w:val="94"/>
              </w:rPr>
              <w:t xml:space="preserve">2 </w:t>
            </w:r>
            <w:r>
              <w:rPr>
                <w:rFonts w:ascii="Arial" w:cs="Arial" w:eastAsia="Arial" w:hAnsi="Arial"/>
                <w:sz w:val="13"/>
                <w:szCs w:val="13"/>
                <w:i w:val="1"/>
                <w:iCs w:val="1"/>
                <w:color w:val="auto"/>
                <w:w w:val="94"/>
              </w:rPr>
              <w:t>(a)</w:t>
            </w:r>
            <w:r>
              <w:rPr>
                <w:rFonts w:ascii="Arial" w:cs="Arial" w:eastAsia="Arial" w:hAnsi="Arial"/>
                <w:sz w:val="13"/>
                <w:szCs w:val="13"/>
                <w:color w:val="auto"/>
                <w:w w:val="94"/>
              </w:rPr>
              <w:t xml:space="preserve"> NAME OF PERSON FOR WHOSE ACCOUNT THE</w:t>
            </w:r>
          </w:p>
        </w:tc>
        <w:tc>
          <w:tcPr>
            <w:tcW w:w="20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Borders>
              <w:left w:val="single" w:sz="8" w:color="auto"/>
            </w:tcBorders>
            <w:gridSpan w:val="3"/>
          </w:tcPr>
          <w:p>
            <w:pPr>
              <w:ind w:left="60"/>
              <w:spacing w:after="0"/>
              <w:rPr>
                <w:sz w:val="20"/>
                <w:szCs w:val="20"/>
                <w:color w:val="auto"/>
              </w:rPr>
            </w:pPr>
            <w:r>
              <w:rPr>
                <w:rFonts w:ascii="Arial" w:cs="Arial" w:eastAsia="Arial" w:hAnsi="Arial"/>
                <w:sz w:val="13"/>
                <w:szCs w:val="13"/>
                <w:color w:val="auto"/>
              </w:rPr>
              <w:t>SECURITIES ARE TO BE SOLD</w:t>
            </w:r>
          </w:p>
        </w:tc>
        <w:tc>
          <w:tcPr>
            <w:tcW w:w="200" w:type="dxa"/>
            <w:vAlign w:val="bottom"/>
            <w:tcBorders>
              <w:right w:val="single" w:sz="8" w:color="auto"/>
            </w:tcBorders>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0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Philippe Lacour-Gayet</w:t>
            </w:r>
          </w:p>
        </w:tc>
        <w:tc>
          <w:tcPr>
            <w:tcW w:w="20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20" w:type="dxa"/>
            <w:vAlign w:val="bottom"/>
            <w:tcBorders>
              <w:right w:val="single" w:sz="8" w:color="auto"/>
            </w:tcBorders>
          </w:tcPr>
          <w:p>
            <w:pPr>
              <w:spacing w:after="0"/>
              <w:rPr>
                <w:sz w:val="9"/>
                <w:szCs w:val="9"/>
                <w:color w:val="auto"/>
              </w:rPr>
            </w:pPr>
          </w:p>
        </w:tc>
        <w:tc>
          <w:tcPr>
            <w:tcW w:w="20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(b)</w:t>
            </w:r>
          </w:p>
        </w:tc>
        <w:tc>
          <w:tcPr>
            <w:tcW w:w="2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2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20" w:type="dxa"/>
            <w:vAlign w:val="bottom"/>
            <w:tcBorders>
              <w:lef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 w:type="dxa"/>
            <w:vAlign w:val="bottom"/>
            <w:tcBorders>
              <w:left w:val="single" w:sz="8" w:color="auto"/>
            </w:tcBorders>
          </w:tcPr>
          <w:p>
            <w:pPr>
              <w:spacing w:after="0"/>
              <w:rPr>
                <w:sz w:val="8"/>
                <w:szCs w:val="8"/>
                <w:color w:val="auto"/>
              </w:rPr>
            </w:pP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 w:type="dxa"/>
            <w:vAlign w:val="bottom"/>
            <w:tcBorders>
              <w:left w:val="single" w:sz="8" w:color="auto"/>
            </w:tcBorders>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left w:val="single" w:sz="8" w:color="auto"/>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6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61,000</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$3,965,000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1,178,270,863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3/13/2007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w w:val="99"/>
              </w:rPr>
              <w:t>1900 St. James Place, Suite 100</w:t>
            </w: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left w:val="single" w:sz="8" w:color="auto"/>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gridSpan w:val="2"/>
          </w:tcPr>
          <w:p>
            <w:pPr>
              <w:jc w:val="right"/>
              <w:ind w:right="15"/>
              <w:spacing w:after="0"/>
              <w:rPr>
                <w:sz w:val="20"/>
                <w:szCs w:val="20"/>
                <w:color w:val="auto"/>
              </w:rPr>
            </w:pPr>
            <w:r>
              <w:rPr>
                <w:rFonts w:ascii="Arial" w:cs="Arial" w:eastAsia="Arial" w:hAnsi="Arial"/>
                <w:sz w:val="13"/>
                <w:szCs w:val="13"/>
                <w:color w:val="auto"/>
              </w:rPr>
              <w:t>1.</w:t>
            </w:r>
          </w:p>
        </w:tc>
        <w:tc>
          <w:tcPr>
            <w:tcW w:w="2880" w:type="dxa"/>
            <w:vAlign w:val="bottom"/>
            <w:gridSpan w:val="2"/>
          </w:tcPr>
          <w:p>
            <w:pPr>
              <w:ind w:left="60"/>
              <w:spacing w:after="0"/>
              <w:rPr>
                <w:sz w:val="20"/>
                <w:szCs w:val="20"/>
                <w:color w:val="auto"/>
              </w:rPr>
            </w:pPr>
            <w:r>
              <w:rPr>
                <w:rFonts w:ascii="Arial" w:cs="Arial" w:eastAsia="Arial" w:hAnsi="Arial"/>
                <w:sz w:val="13"/>
                <w:szCs w:val="13"/>
                <w:color w:val="auto"/>
              </w:rPr>
              <w:t>(a)  Name of issuer</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(e)  Issuer’s telephone number, including area code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gridSpan w:val="2"/>
          </w:tcPr>
          <w:p>
            <w:pPr>
              <w:jc w:val="right"/>
              <w:ind w:right="15"/>
              <w:spacing w:after="0" w:line="135" w:lineRule="exact"/>
              <w:rPr>
                <w:sz w:val="20"/>
                <w:szCs w:val="20"/>
                <w:color w:val="auto"/>
              </w:rPr>
            </w:pPr>
            <w:r>
              <w:rPr>
                <w:rFonts w:ascii="Arial" w:cs="Arial" w:eastAsia="Arial" w:hAnsi="Arial"/>
                <w:sz w:val="13"/>
                <w:szCs w:val="13"/>
                <w:color w:val="auto"/>
              </w:rPr>
              <w:t>2.</w:t>
            </w:r>
          </w:p>
        </w:tc>
        <w:tc>
          <w:tcPr>
            <w:tcW w:w="338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340"/>
              <w:spacing w:after="0" w:line="145" w:lineRule="exact"/>
              <w:rPr>
                <w:sz w:val="20"/>
                <w:szCs w:val="20"/>
                <w:color w:val="auto"/>
              </w:rPr>
            </w:pPr>
            <w:r>
              <w:rPr>
                <w:rFonts w:ascii="Arial" w:cs="Arial" w:eastAsia="Arial" w:hAnsi="Arial"/>
                <w:sz w:val="13"/>
                <w:szCs w:val="13"/>
                <w:color w:val="auto"/>
              </w:rPr>
              <w:t>sold</w:t>
            </w: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3/13/2007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61,000</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3/13/2007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Merrill Lynch</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63 Copps Hill Road</w:t>
            </w:r>
          </w:p>
        </w:tc>
        <w:tc>
          <w:tcPr>
            <w:tcW w:w="2980" w:type="dxa"/>
            <w:vAlign w:val="bottom"/>
            <w:tcBorders>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tcPr>
          <w:p>
            <w:pPr>
              <w:ind w:left="520"/>
              <w:spacing w:after="0" w:line="149" w:lineRule="exact"/>
              <w:rPr>
                <w:sz w:val="20"/>
                <w:szCs w:val="20"/>
                <w:color w:val="auto"/>
              </w:rPr>
            </w:pPr>
            <w:r>
              <w:rPr>
                <w:rFonts w:ascii="Arial" w:cs="Arial" w:eastAsia="Arial" w:hAnsi="Arial"/>
                <w:sz w:val="14"/>
                <w:szCs w:val="14"/>
                <w:color w:val="auto"/>
              </w:rPr>
              <w:t>12/18/2006</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40,000</w:t>
            </w:r>
          </w:p>
        </w:tc>
        <w:tc>
          <w:tcPr>
            <w:tcW w:w="1620" w:type="dxa"/>
            <w:vAlign w:val="bottom"/>
            <w:tcBorders>
              <w:right w:val="single" w:sz="8" w:color="auto"/>
            </w:tcBorders>
          </w:tcPr>
          <w:p>
            <w:pPr>
              <w:jc w:val="right"/>
              <w:ind w:right="433"/>
              <w:spacing w:after="0" w:line="149" w:lineRule="exact"/>
              <w:rPr>
                <w:sz w:val="20"/>
                <w:szCs w:val="20"/>
                <w:color w:val="auto"/>
              </w:rPr>
            </w:pPr>
            <w:r>
              <w:rPr>
                <w:rFonts w:ascii="Arial" w:cs="Arial" w:eastAsia="Arial" w:hAnsi="Arial"/>
                <w:sz w:val="14"/>
                <w:szCs w:val="14"/>
                <w:color w:val="auto"/>
              </w:rPr>
              <w:t>$2,640,000</w:t>
            </w: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Ridgefield, CT 06877</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31"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3/13/2007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Philippe Lacour-Gayet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2019-12-13T06:29:26Z</dcterms:created>
  <dcterms:modified xsi:type="dcterms:W3CDTF">2019-12-13T06:29:26Z</dcterms:modified>
</cp:coreProperties>
</file>